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Rosenthal Arnon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BLVD.,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2"/>
        <w:gridCol w:w="902"/>
        <w:gridCol w:w="773"/>
        <w:gridCol w:w="599"/>
        <w:gridCol w:w="341"/>
        <w:gridCol w:w="1137"/>
        <w:gridCol w:w="434"/>
        <w:gridCol w:w="597"/>
        <w:gridCol w:w="1253"/>
        <w:gridCol w:w="972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1,050,000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922,875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350,000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1,002,500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1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2,367,206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securities are held directly by The Rosenthal Family Revocable Trust Dated November 4, 1994, as restated on June 9, 1999,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securities are held directly by the Adi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securities are held directly by the Noam Rosenthal 2007 Trust dated March 27, 2007, for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securities are held directly by the Shani Rosenthal 2007 Trust dated March 27, 2007, for which the Reporting Person serves as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Grace Wong-Sarad,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7770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3838</Characters>
  <CharactersWithSpaces>4452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