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0893d8k.htm"/>
      <w:bookmarkStart w:id="1" w:name="ksd91089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May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Alector,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455" w:type="dxa"/>
        <w:jc w:val="left"/>
        <w:tblInd w:w="0" w:type="dxa"/>
        <w:tblLayout w:type="fixed"/>
        <w:tblCellMar>
          <w:top w:w="0" w:type="dxa"/>
          <w:left w:w="0" w:type="dxa"/>
          <w:bottom w:w="0" w:type="dxa"/>
          <w:right w:w="0" w:type="dxa"/>
        </w:tblCellMar>
      </w:tblPr>
      <w:tblGrid>
        <w:gridCol w:w="4070"/>
        <w:gridCol w:w="60"/>
        <w:gridCol w:w="1385"/>
        <w:gridCol w:w="60"/>
        <w:gridCol w:w="188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001-38792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82-2933343</w:t>
            </w:r>
          </w:p>
        </w:tc>
      </w:tr>
      <w:tr>
        <w:trPr/>
        <w:tc>
          <w:tcPr>
            <w:tcW w:w="407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3385"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131 Oyster Point Blvd.</w:t>
            </w:r>
          </w:p>
          <w:p>
            <w:pPr>
              <w:pStyle w:val="TableContents"/>
              <w:bidi w:val="0"/>
              <w:spacing w:before="0" w:after="20"/>
              <w:jc w:val="center"/>
              <w:rPr>
                <w:rFonts w:ascii="Times New Roman" w:hAnsi="Times New Roman"/>
                <w:b/>
                <w:sz w:val="20"/>
              </w:rPr>
            </w:pPr>
            <w:r>
              <w:rPr>
                <w:rFonts w:ascii="Times New Roman" w:hAnsi="Times New Roman"/>
                <w:b/>
                <w:sz w:val="20"/>
              </w:rPr>
              <w:t>Suite 600</w:t>
            </w:r>
          </w:p>
        </w:tc>
        <w:tc>
          <w:tcPr>
            <w:tcW w:w="60" w:type="dxa"/>
            <w:tcBorders/>
            <w:vAlign w:val="center"/>
          </w:tcPr>
          <w:p>
            <w:pPr>
              <w:pStyle w:val="TableContents"/>
              <w:bidi w:val="0"/>
              <w:spacing w:before="0" w:after="283"/>
              <w:jc w:val="left"/>
              <w:rPr/>
            </w:pPr>
            <w:r>
              <w:rPr/>
              <w:t> </w:t>
            </w:r>
          </w:p>
        </w:tc>
        <w:tc>
          <w:tcPr>
            <w:tcW w:w="3325" w:type="dxa"/>
            <w:gridSpan w:val="3"/>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94080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(415) 231-5660</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4980" w:type="dxa"/>
        <w:jc w:val="left"/>
        <w:tblInd w:w="0" w:type="dxa"/>
        <w:tblLayout w:type="fixed"/>
        <w:tblCellMar>
          <w:top w:w="0" w:type="dxa"/>
          <w:left w:w="0" w:type="dxa"/>
          <w:bottom w:w="0" w:type="dxa"/>
          <w:right w:w="0" w:type="dxa"/>
        </w:tblCellMar>
      </w:tblPr>
      <w:tblGrid>
        <w:gridCol w:w="1520"/>
        <w:gridCol w:w="60"/>
        <w:gridCol w:w="740"/>
        <w:gridCol w:w="60"/>
        <w:gridCol w:w="260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ALEC</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 xml:space="preserve">The Nasdaq Stock Market LLC </w:t>
            </w:r>
          </w:p>
        </w:tc>
      </w:tr>
    </w:tbl>
    <w:p>
      <w:pPr>
        <w:pStyle w:val="TextBody"/>
        <w:bidi w:val="0"/>
        <w:spacing w:before="180" w:after="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both"/>
        <w:rPr>
          <w:rFonts w:ascii="Times New Roman" w:hAnsi="Times New Roman"/>
          <w:sz w:val="20"/>
        </w:rPr>
      </w:pPr>
      <w:r>
        <w:rPr>
          <w:rFonts w:ascii="Times New Roman" w:hAnsi="Times New Roman"/>
          <w:sz w:val="20"/>
        </w:rPr>
        <w:t>Emerging growth company ☐</w:t>
      </w:r>
    </w:p>
    <w:p>
      <w:pPr>
        <w:pStyle w:val="TextBody"/>
        <w:bidi w:val="0"/>
        <w:spacing w:before="180" w:after="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both"/>
        <w:rPr>
          <w:rFonts w:ascii="Times New Roman" w:hAnsi="Times New Roman"/>
          <w:sz w:val="20"/>
        </w:rPr>
      </w:pPr>
      <w:r>
        <w:rPr>
          <w:rFonts w:ascii="Times New Roman" w:hAnsi="Times New Roman"/>
          <w:sz w:val="20"/>
        </w:rPr>
        <w:t>On May 7, 2026, Alector, Inc. (the “</w:t>
      </w:r>
      <w:r>
        <w:rPr>
          <w:rFonts w:ascii="Times New Roman" w:hAnsi="Times New Roman"/>
          <w:b/>
          <w:sz w:val="20"/>
        </w:rPr>
        <w:t>Company</w:t>
      </w:r>
      <w:r>
        <w:rPr>
          <w:rFonts w:ascii="Times New Roman" w:hAnsi="Times New Roman"/>
          <w:sz w:val="20"/>
        </w:rPr>
        <w:t>”) entered into a Sales Agreement (the “</w:t>
      </w:r>
      <w:r>
        <w:rPr>
          <w:rFonts w:ascii="Times New Roman" w:hAnsi="Times New Roman"/>
          <w:b/>
          <w:sz w:val="20"/>
        </w:rPr>
        <w:t>Sales Agreement</w:t>
      </w:r>
      <w:r>
        <w:rPr>
          <w:rFonts w:ascii="Times New Roman" w:hAnsi="Times New Roman"/>
          <w:sz w:val="20"/>
        </w:rPr>
        <w:t>”) with TD Securities (USA) LLC (“</w:t>
      </w:r>
      <w:r>
        <w:rPr>
          <w:rFonts w:ascii="Times New Roman" w:hAnsi="Times New Roman"/>
          <w:b/>
          <w:sz w:val="20"/>
        </w:rPr>
        <w:t>TD Cowen</w:t>
      </w:r>
      <w:r>
        <w:rPr>
          <w:rFonts w:ascii="Times New Roman" w:hAnsi="Times New Roman"/>
          <w:sz w:val="20"/>
        </w:rPr>
        <w:t>”), pursuant to which the Company may offer and sell from time to time through TD Cowen up to $125,000,000 of shares (the “</w:t>
      </w:r>
      <w:r>
        <w:rPr>
          <w:rFonts w:ascii="Times New Roman" w:hAnsi="Times New Roman"/>
          <w:b/>
          <w:sz w:val="20"/>
        </w:rPr>
        <w:t>Shares</w:t>
      </w:r>
      <w:r>
        <w:rPr>
          <w:rFonts w:ascii="Times New Roman" w:hAnsi="Times New Roman"/>
          <w:sz w:val="20"/>
        </w:rPr>
        <w:t>”) of the Company’s common stock, par value $0.0001 per share (the “</w:t>
      </w:r>
      <w:r>
        <w:rPr>
          <w:rFonts w:ascii="Times New Roman" w:hAnsi="Times New Roman"/>
          <w:b/>
          <w:sz w:val="20"/>
        </w:rPr>
        <w:t>Common Stock</w:t>
      </w:r>
      <w:r>
        <w:rPr>
          <w:rFonts w:ascii="Times New Roman" w:hAnsi="Times New Roman"/>
          <w:sz w:val="20"/>
        </w:rPr>
        <w:t xml:space="preserve">”), in such share amounts as the Company may specify by notice to TD Cowen, in accordance with the terms and conditions set forth in the Sales Agreement. </w:t>
      </w:r>
    </w:p>
    <w:p>
      <w:pPr>
        <w:pStyle w:val="TextBody"/>
        <w:bidi w:val="0"/>
        <w:spacing w:before="240" w:after="0"/>
        <w:jc w:val="both"/>
        <w:rPr>
          <w:rFonts w:ascii="Times New Roman" w:hAnsi="Times New Roman"/>
          <w:sz w:val="20"/>
        </w:rPr>
      </w:pPr>
      <w:r>
        <w:rPr>
          <w:rFonts w:ascii="Times New Roman" w:hAnsi="Times New Roman"/>
          <w:sz w:val="20"/>
        </w:rPr>
        <w:t xml:space="preserve">Sales, if any, of the Shares pursuant to the Sales Agreement may be made in negotiated transactions or transactions that are deemed to be “at-the-market” offerings as defined in Rule 415 under the Securities Act, including sales made directly on The Nasdaq Global Select Market, or sales made to or through a market maker other than on an exchange. Under the Sales Agreement, the Company will set the parameters for the sale of shares, including the number of shares to be issued, the time period during which sales are requested to be made, limitation on the number of shares that may be sold in any single trading day, and any minimum price below which sales may not be made. The Company is not obligated to sell any Shares under the Sales Agreement. </w:t>
      </w:r>
    </w:p>
    <w:p>
      <w:pPr>
        <w:pStyle w:val="TextBody"/>
        <w:bidi w:val="0"/>
        <w:spacing w:before="240" w:after="0"/>
        <w:jc w:val="both"/>
        <w:rPr>
          <w:rFonts w:ascii="Times New Roman" w:hAnsi="Times New Roman"/>
          <w:sz w:val="20"/>
        </w:rPr>
      </w:pPr>
      <w:r>
        <w:rPr>
          <w:rFonts w:ascii="Times New Roman" w:hAnsi="Times New Roman"/>
          <w:sz w:val="20"/>
        </w:rPr>
        <w:t>The Shares will be offered and sold pursuant to the Company’s shelf registration statement on Form S-3 (File No. 333-294241) which was declared effective by the Securities and Exchange Commission (the “</w:t>
      </w:r>
      <w:r>
        <w:rPr>
          <w:rFonts w:ascii="Times New Roman" w:hAnsi="Times New Roman"/>
          <w:b/>
          <w:sz w:val="20"/>
        </w:rPr>
        <w:t>Commission</w:t>
      </w:r>
      <w:r>
        <w:rPr>
          <w:rFonts w:ascii="Times New Roman" w:hAnsi="Times New Roman"/>
          <w:sz w:val="20"/>
        </w:rPr>
        <w:t xml:space="preserve">”) on April 30, 2026. The Company filed a prospectus supplement, dated May 7, 2026, with the Commission in connection with the offer and sale of the Shares. </w:t>
      </w:r>
    </w:p>
    <w:p>
      <w:pPr>
        <w:pStyle w:val="TextBody"/>
        <w:bidi w:val="0"/>
        <w:spacing w:before="240" w:after="0"/>
        <w:jc w:val="both"/>
        <w:rPr>
          <w:rFonts w:ascii="Times New Roman" w:hAnsi="Times New Roman"/>
          <w:sz w:val="20"/>
        </w:rPr>
      </w:pPr>
      <w:r>
        <w:rPr>
          <w:rFonts w:ascii="Times New Roman" w:hAnsi="Times New Roman"/>
          <w:sz w:val="20"/>
        </w:rPr>
        <w:t xml:space="preserve">The Company may terminate the Sales Agreement upon 10 days’ written notice to TD Cowen in its sole discretion at any time or by TD Cowen upon 10 days’ written notice to us in its sole discretion at any time and immediately, upon written notice under certain circumstances, including but not limited to, the occurrence of a Material Adverse Change, as defined in the Sales Agreement. </w:t>
      </w:r>
    </w:p>
    <w:p>
      <w:pPr>
        <w:pStyle w:val="TextBody"/>
        <w:bidi w:val="0"/>
        <w:spacing w:before="240" w:after="0"/>
        <w:jc w:val="both"/>
        <w:rPr>
          <w:rFonts w:ascii="Times New Roman" w:hAnsi="Times New Roman"/>
          <w:sz w:val="20"/>
        </w:rPr>
      </w:pPr>
      <w:r>
        <w:rPr>
          <w:rFonts w:ascii="Times New Roman" w:hAnsi="Times New Roman"/>
          <w:sz w:val="20"/>
        </w:rPr>
        <w:t xml:space="preserve">The Sales Agreement contains customary representations, warranties, and agreements by us, and indemnification rights and obligations of the parties. The Sales Agreement provides that TD Cowen will be entitled to compensation for their services of up to 3.0% of the gross sales price per share of all shares sold through TD Cowen under the Sales Agreement. Under the terms of the Sales Agreement, the Company agreed to indemnify TD Cowen against certain specified types of liabilities, including liabilities under the Securities Act of 1933, as amended, and under the Securities Exchange Act of 1934, as amended, to contribute to payments TD Cowen may be required to make in respect of these liabilities, and to reimburse TD Cowen for certain expenses. In the ordinary course of business, TD Cowen and/or its affiliates have provided, and may in the future provide, various investment banking and other financial services for us for which services they have received and, may in the future receive, customary fees. </w:t>
      </w:r>
    </w:p>
    <w:p>
      <w:pPr>
        <w:pStyle w:val="TextBody"/>
        <w:bidi w:val="0"/>
        <w:spacing w:before="240" w:after="0"/>
        <w:jc w:val="both"/>
        <w:rPr>
          <w:rFonts w:ascii="Times New Roman" w:hAnsi="Times New Roman"/>
          <w:sz w:val="20"/>
        </w:rPr>
      </w:pPr>
      <w:r>
        <w:rPr>
          <w:rFonts w:ascii="Times New Roman" w:hAnsi="Times New Roman"/>
          <w:sz w:val="20"/>
        </w:rPr>
        <w:t xml:space="preserve">The Company intends to use the net proceeds from the sale, if any, of the securities offered in the offering for general corporate purposes, including research, development and manufacturing of the Company’s product candidates, working capital, capital expenditures, other corporate expenses and acquisitions of, or strategic transactions in, complementary products, technologies, or businesses. The Company does not have agreements or commitments for any specific acquisitions or strategic transactions at this time. </w:t>
      </w:r>
    </w:p>
    <w:p>
      <w:pPr>
        <w:pStyle w:val="TextBody"/>
        <w:bidi w:val="0"/>
        <w:spacing w:before="240" w:after="0"/>
        <w:jc w:val="both"/>
        <w:rPr>
          <w:rFonts w:ascii="Times New Roman" w:hAnsi="Times New Roman"/>
          <w:sz w:val="20"/>
        </w:rPr>
      </w:pPr>
      <w:r>
        <w:rPr>
          <w:rFonts w:ascii="Times New Roman" w:hAnsi="Times New Roman"/>
          <w:sz w:val="20"/>
        </w:rPr>
        <w:t xml:space="preserve">The above summary of the Sales Agreement does not purport to be complete and is qualified in its entirety by reference to the Sales Agreement, a copy of which is filed as Exhibit 1.1 to this Current Report on Form 8-K and incorporated herein by reference. The legal opinion of Wilson Sonsini Goodrich &amp; Rosati, Professional Corporation relating to the shares of Common Stock being offered pursuant to the Sales Agreement is filed as Exhibit 5.1 to this Current Report on Form 8-K.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120"/>
        <w:gridCol w:w="9360"/>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center"/>
              <w:rPr/>
            </w:pPr>
            <w:r>
              <w:rPr/>
              <w:t>Exhibit</w:t>
              <w:br/>
              <w:t>No.</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center"/>
              <w:rPr/>
            </w:pPr>
            <w:r>
              <w:rPr/>
              <w:t>Description</w:t>
            </w:r>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910893dex11.htm">
              <w:r>
                <w:rPr>
                  <w:rStyle w:val="InternetLink"/>
                </w:rPr>
                <w:t xml:space="preserve">Sales Agreement, dated May 7, 2026, by and between Alector, Inc., and TD Securities (USA) LLC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910893dex51.htm">
              <w:r>
                <w:rPr>
                  <w:rStyle w:val="InternetLink"/>
                </w:rPr>
                <w:t xml:space="preserve">Opinion of Wilson Sonsini Goodrich &amp; Rosati, Professional Corporation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910893dex51.htm">
              <w:r>
                <w:rPr>
                  <w:rStyle w:val="InternetLink"/>
                </w:rPr>
                <w:t xml:space="preserve">Consent of Wilson Sonsini Goodrich &amp; Rosati, Professional Corporation (included with the opinion filed as Exhibit 5.1)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b/>
              </w:rPr>
            </w:pPr>
            <w:r>
              <w:rPr>
                <w:b/>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Certain schedules and exhibits to this agreement have been omitted pursuant to Item 601(a)(5) of Regulation S-K. A copy of any omitted exhibit or schedule will be furnished to the SEC or its staff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933" w:type="dxa"/>
        <w:jc w:val="left"/>
        <w:tblInd w:w="0" w:type="dxa"/>
        <w:tblLayout w:type="fixed"/>
        <w:tblCellMar>
          <w:top w:w="0" w:type="dxa"/>
          <w:left w:w="0" w:type="dxa"/>
          <w:bottom w:w="0" w:type="dxa"/>
          <w:right w:w="0" w:type="dxa"/>
        </w:tblCellMar>
      </w:tblPr>
      <w:tblGrid>
        <w:gridCol w:w="1550"/>
        <w:gridCol w:w="60"/>
        <w:gridCol w:w="23"/>
        <w:gridCol w:w="60"/>
        <w:gridCol w:w="320"/>
        <w:gridCol w:w="60"/>
        <w:gridCol w:w="3860"/>
      </w:tblGrid>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b/>
              </w:rPr>
            </w:pPr>
            <w:r>
              <w:rPr>
                <w:b/>
              </w:rPr>
              <w:t>ALECTOR, INC.</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3920" w:type="dxa"/>
            <w:gridSpan w:val="2"/>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 May 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Arnon Rosenthal</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pPr>
            <w:r>
              <w:rPr/>
              <w:t xml:space="preserve">Arnon Rosenthal, Ph.D. </w:t>
              <w:br/>
              <w:t>Co-founder and Chief Executive Officer</w:t>
            </w:r>
          </w:p>
        </w:tc>
      </w:tr>
    </w:tbl>
    <w:p>
      <w:pPr>
        <w:pStyle w:val="TextBody"/>
        <w:bidi w:val="0"/>
        <w:spacing w:before="0" w:after="0"/>
        <w:jc w:val="right"/>
        <w:rPr>
          <w:rFonts w:ascii="Times New Roman" w:hAnsi="Times New Roman"/>
          <w:b/>
          <w:sz w:val="20"/>
        </w:rPr>
      </w:pPr>
      <w:bookmarkStart w:id="2" w:name="d910893dex11.htm"/>
      <w:bookmarkStart w:id="3" w:name="ksd910893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ALECTOR, INC. </w:t>
      </w:r>
    </w:p>
    <w:p>
      <w:pPr>
        <w:pStyle w:val="TextBody"/>
        <w:bidi w:val="0"/>
        <w:spacing w:before="240" w:after="0"/>
        <w:jc w:val="center"/>
        <w:rPr>
          <w:rFonts w:ascii="Times New Roman" w:hAnsi="Times New Roman"/>
          <w:b/>
          <w:sz w:val="20"/>
        </w:rPr>
      </w:pPr>
      <w:r>
        <w:rPr>
          <w:rFonts w:ascii="Times New Roman" w:hAnsi="Times New Roman"/>
          <w:b/>
          <w:sz w:val="20"/>
        </w:rPr>
        <w:t xml:space="preserve">$125,000,000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COMMON STOCK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SALES AGREEMENT </w:t>
      </w:r>
    </w:p>
    <w:p>
      <w:pPr>
        <w:pStyle w:val="TextBody"/>
        <w:bidi w:val="0"/>
        <w:spacing w:before="240" w:after="0"/>
        <w:jc w:val="right"/>
        <w:rPr>
          <w:rFonts w:ascii="Times New Roman" w:hAnsi="Times New Roman"/>
          <w:sz w:val="20"/>
        </w:rPr>
      </w:pPr>
      <w:r>
        <w:rPr>
          <w:rFonts w:ascii="Times New Roman" w:hAnsi="Times New Roman"/>
          <w:sz w:val="20"/>
        </w:rPr>
        <w:t xml:space="preserve">May 7, 2026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both"/>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both"/>
        <w:rPr>
          <w:rFonts w:ascii="Times New Roman" w:hAnsi="Times New Roman"/>
          <w:sz w:val="20"/>
        </w:rPr>
      </w:pPr>
      <w:r>
        <w:rPr>
          <w:rFonts w:ascii="Times New Roman" w:hAnsi="Times New Roman"/>
          <w:sz w:val="20"/>
        </w:rPr>
        <w:t>Alector, Inc. (the “</w:t>
      </w:r>
      <w:r>
        <w:rPr>
          <w:rFonts w:ascii="Times New Roman" w:hAnsi="Times New Roman"/>
          <w:b/>
          <w:sz w:val="20"/>
          <w:u w:val="single"/>
        </w:rPr>
        <w:t>Company</w:t>
      </w:r>
      <w:r>
        <w:rPr>
          <w:rFonts w:ascii="Times New Roman" w:hAnsi="Times New Roman"/>
          <w:sz w:val="20"/>
        </w:rPr>
        <w:t>”), confirms its agreement (this “</w:t>
      </w:r>
      <w:r>
        <w:rPr>
          <w:rFonts w:ascii="Times New Roman" w:hAnsi="Times New Roman"/>
          <w:b/>
          <w:sz w:val="20"/>
          <w:u w:val="single"/>
        </w:rPr>
        <w:t>Agreement</w:t>
      </w:r>
      <w:r>
        <w:rPr>
          <w:rFonts w:ascii="Times New Roman" w:hAnsi="Times New Roman"/>
          <w:sz w:val="20"/>
        </w:rPr>
        <w:t>”) with TD Securities (USA) LLC (“</w:t>
      </w:r>
      <w:r>
        <w:rPr>
          <w:rFonts w:ascii="Times New Roman" w:hAnsi="Times New Roman"/>
          <w:b/>
          <w:sz w:val="20"/>
          <w:u w:val="single"/>
        </w:rPr>
        <w:t>TD Cowen</w:t>
      </w:r>
      <w:r>
        <w:rPr>
          <w:rFonts w:ascii="Times New Roman" w:hAnsi="Times New Roman"/>
          <w:sz w:val="20"/>
        </w:rPr>
        <w:t xml:space="preserve">”), as follows: </w:t>
      </w:r>
    </w:p>
    <w:p>
      <w:pPr>
        <w:pStyle w:val="TextBody"/>
        <w:bidi w:val="0"/>
        <w:spacing w:before="240" w:after="0"/>
        <w:jc w:val="both"/>
        <w:rPr>
          <w:rFonts w:ascii="Times New Roman" w:hAnsi="Times New Roman"/>
          <w:sz w:val="20"/>
        </w:rPr>
      </w:pPr>
      <w:r>
        <w:rPr>
          <w:rFonts w:ascii="Times New Roman" w:hAnsi="Times New Roman"/>
          <w:sz w:val="20"/>
        </w:rPr>
        <w:t xml:space="preserve">1. </w:t>
      </w:r>
      <w:r>
        <w:rPr>
          <w:rFonts w:ascii="Times New Roman" w:hAnsi="Times New Roman"/>
          <w:sz w:val="20"/>
          <w:u w:val="single"/>
        </w:rPr>
        <w:t>Issuance and Sale of Shares</w:t>
      </w:r>
      <w:r>
        <w:rPr>
          <w:rFonts w:ascii="Times New Roman" w:hAnsi="Times New Roman"/>
          <w:sz w:val="20"/>
        </w:rPr>
        <w:t>. The Company agrees that, from time to time during the term of this Agreement, on the terms and subject to the conditions set forth herein, it may issue and sell through TD Cowen, acting as agent and/or principal, shares (the “</w:t>
      </w:r>
      <w:r>
        <w:rPr>
          <w:rFonts w:ascii="Times New Roman" w:hAnsi="Times New Roman"/>
          <w:b/>
          <w:sz w:val="20"/>
          <w:u w:val="single"/>
        </w:rPr>
        <w:t>Placement Shares</w:t>
      </w:r>
      <w:r>
        <w:rPr>
          <w:rFonts w:ascii="Times New Roman" w:hAnsi="Times New Roman"/>
          <w:sz w:val="20"/>
        </w:rPr>
        <w:t>”) of the Company’s common stock, par value $0.0001 per share (the “</w:t>
      </w:r>
      <w:r>
        <w:rPr>
          <w:rFonts w:ascii="Times New Roman" w:hAnsi="Times New Roman"/>
          <w:b/>
          <w:sz w:val="20"/>
          <w:u w:val="single"/>
        </w:rPr>
        <w:t>Common Stock</w:t>
      </w:r>
      <w:r>
        <w:rPr>
          <w:rFonts w:ascii="Times New Roman" w:hAnsi="Times New Roman"/>
          <w:sz w:val="20"/>
        </w:rPr>
        <w:t>”), having an aggregate offering price of up to $125,000,000 (the “</w:t>
      </w:r>
      <w:r>
        <w:rPr>
          <w:rFonts w:ascii="Times New Roman" w:hAnsi="Times New Roman"/>
          <w:b/>
          <w:sz w:val="20"/>
          <w:u w:val="single"/>
        </w:rPr>
        <w:t>Maximum Amount</w:t>
      </w:r>
      <w:r>
        <w:rPr>
          <w:rFonts w:ascii="Times New Roman" w:hAnsi="Times New Roman"/>
          <w:sz w:val="20"/>
        </w:rPr>
        <w:t xml:space="preserve">”). Notwithstanding anything to the contrary contained herein, the parties hereto agree that compliance with the limitation set forth in this </w:t>
      </w:r>
      <w:r>
        <w:rPr>
          <w:rFonts w:ascii="Times New Roman" w:hAnsi="Times New Roman"/>
          <w:sz w:val="20"/>
          <w:u w:val="single"/>
        </w:rPr>
        <w:t>Section 1</w:t>
      </w:r>
      <w:r>
        <w:rPr>
          <w:rFonts w:ascii="Times New Roman" w:hAnsi="Times New Roman"/>
          <w:sz w:val="20"/>
        </w:rPr>
        <w:t xml:space="preserve"> 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declared effective by the Securities and Exchange Commission (the “</w:t>
      </w:r>
      <w:r>
        <w:rPr>
          <w:rFonts w:ascii="Times New Roman" w:hAnsi="Times New Roman"/>
          <w:b/>
          <w:sz w:val="20"/>
          <w:u w:val="single"/>
        </w:rPr>
        <w:t>Commission</w:t>
      </w:r>
      <w:r>
        <w:rPr>
          <w:rFonts w:ascii="Times New Roman" w:hAnsi="Times New Roman"/>
          <w:sz w:val="20"/>
        </w:rPr>
        <w:t xml:space="preserve">”), although nothing in this Agreement shall be construed as requiring the Company to use the Registration Statement (as defined below) to issue the Common Stock. The Company acknowledges and agrees that sales of Common Stock under this Agreement may be made through affiliates of TD Cowen, and that TD Cowen may otherwise fulfill its obligations pursuant to this Agreement to or through an affiliated broker-dealer. </w:t>
      </w:r>
    </w:p>
    <w:p>
      <w:pPr>
        <w:pStyle w:val="TextBody"/>
        <w:bidi w:val="0"/>
        <w:spacing w:before="240" w:after="0"/>
        <w:jc w:val="both"/>
        <w:rPr>
          <w:rFonts w:ascii="Times New Roman" w:hAnsi="Times New Roman"/>
          <w:sz w:val="20"/>
        </w:rPr>
      </w:pPr>
      <w:r>
        <w:rPr>
          <w:rFonts w:ascii="Times New Roman" w:hAnsi="Times New Roman"/>
          <w:sz w:val="20"/>
        </w:rPr>
        <w:t>The Company has filed, in accordance with the provisions of the Securities Act of 1933, as amended, and the rules and regulations thereunder (collectively, the “</w:t>
      </w:r>
      <w:r>
        <w:rPr>
          <w:rFonts w:ascii="Times New Roman" w:hAnsi="Times New Roman"/>
          <w:b/>
          <w:sz w:val="20"/>
          <w:u w:val="single"/>
        </w:rPr>
        <w:t>Securities Act</w:t>
      </w:r>
      <w:r>
        <w:rPr>
          <w:rFonts w:ascii="Times New Roman" w:hAnsi="Times New Roman"/>
          <w:sz w:val="20"/>
        </w:rPr>
        <w:t>”), with the Commission a registration statement on Form S-3 (File No. 333-294241), including a base prospectus (the “</w:t>
      </w:r>
      <w:r>
        <w:rPr>
          <w:rFonts w:ascii="Times New Roman" w:hAnsi="Times New Roman"/>
          <w:b/>
          <w:sz w:val="20"/>
          <w:u w:val="single"/>
        </w:rPr>
        <w:t>Basic Prospectus</w:t>
      </w:r>
      <w:r>
        <w:rPr>
          <w:rFonts w:ascii="Times New Roman" w:hAnsi="Times New Roman"/>
          <w:sz w:val="20"/>
        </w:rPr>
        <w:t>”), relating to certain securities (the “</w:t>
      </w:r>
      <w:r>
        <w:rPr>
          <w:rFonts w:ascii="Times New Roman" w:hAnsi="Times New Roman"/>
          <w:b/>
          <w:sz w:val="20"/>
          <w:u w:val="single"/>
        </w:rPr>
        <w:t>Shelf Securities</w:t>
      </w:r>
      <w:r>
        <w:rPr>
          <w:rFonts w:ascii="Times New Roman" w:hAnsi="Times New Roman"/>
          <w:sz w:val="20"/>
        </w:rPr>
        <w:t>”),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hAnsi="Times New Roman"/>
          <w:b/>
          <w:sz w:val="20"/>
          <w:u w:val="single"/>
        </w:rPr>
        <w:t>Exchange Act</w:t>
      </w:r>
      <w:r>
        <w:rPr>
          <w:rFonts w:ascii="Times New Roman" w:hAnsi="Times New Roman"/>
          <w:sz w:val="20"/>
        </w:rPr>
        <w:t>”). The Company has prepared a prospectus supplement specifically relating to the Placement Shares (the “</w:t>
      </w:r>
      <w:r>
        <w:rPr>
          <w:rFonts w:ascii="Times New Roman" w:hAnsi="Times New Roman"/>
          <w:b/>
          <w:sz w:val="20"/>
          <w:u w:val="single"/>
        </w:rPr>
        <w:t>Prospectus Supplement</w:t>
      </w:r>
      <w:r>
        <w:rPr>
          <w:rFonts w:ascii="Times New Roman" w:hAnsi="Times New Roman"/>
          <w:sz w:val="20"/>
        </w:rPr>
        <w:t xml:space="preserve">”) to the Basic Prospectus included as part of such registration statement. The Company has furnished to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TD Cowen, for use by TD Cowen, copies of the Basic Prospectus included as part of such registration statement, as supplemented by the Prospectus Supplement, relating to the Placement Shares. Except where the context otherwise requires, such registration statement, and any post-effective amendment thereto,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with respect to the Placement Shares, is herein called the “</w:t>
      </w:r>
      <w:r>
        <w:rPr>
          <w:rFonts w:ascii="Times New Roman" w:hAnsi="Times New Roman"/>
          <w:b/>
          <w:sz w:val="20"/>
          <w:u w:val="single"/>
        </w:rPr>
        <w:t>Registration Statement.</w:t>
      </w:r>
      <w:r>
        <w:rPr>
          <w:rFonts w:ascii="Times New Roman" w:hAnsi="Times New Roman"/>
          <w:sz w:val="20"/>
        </w:rPr>
        <w:t>” Any registration statement and amendments thereto filed pursuant to Rule 462(b) of the Securities Act and relating to the offering covered by the Registration Statement is herein called a “</w:t>
      </w:r>
      <w:r>
        <w:rPr>
          <w:rFonts w:ascii="Times New Roman" w:hAnsi="Times New Roman"/>
          <w:b/>
          <w:sz w:val="20"/>
          <w:u w:val="single"/>
        </w:rPr>
        <w:t>Rule 462(b) Registration Statement</w:t>
      </w:r>
      <w:r>
        <w:rPr>
          <w:rFonts w:ascii="Times New Roman" w:hAnsi="Times New Roman"/>
          <w:sz w:val="20"/>
        </w:rPr>
        <w:t>” and, after such filing, the “Registration Statement” shall include any Rule 462(b) Registration Statement. The Basic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under the Securities Act (“</w:t>
      </w:r>
      <w:r>
        <w:rPr>
          <w:rFonts w:ascii="Times New Roman" w:hAnsi="Times New Roman"/>
          <w:b/>
          <w:sz w:val="20"/>
          <w:u w:val="single"/>
        </w:rPr>
        <w:t>Rule 433</w:t>
      </w:r>
      <w:r>
        <w:rPr>
          <w:rFonts w:ascii="Times New Roman" w:hAnsi="Times New Roman"/>
          <w:sz w:val="20"/>
        </w:rPr>
        <w:t>”), relating to the Placement Shares that (i) is consented to by TD Cowen, hereinafter referred to as a “</w:t>
      </w:r>
      <w:r>
        <w:rPr>
          <w:rFonts w:ascii="Times New Roman" w:hAnsi="Times New Roman"/>
          <w:b/>
          <w:sz w:val="20"/>
          <w:u w:val="single"/>
        </w:rPr>
        <w:t>Permitted Free Writing Prospectus</w:t>
      </w:r>
      <w:r>
        <w:rPr>
          <w:rFonts w:ascii="Times New Roman" w:hAnsi="Times New Roman"/>
          <w:b/>
          <w:sz w:val="20"/>
        </w:rPr>
        <w:t>,</w:t>
      </w:r>
      <w:r>
        <w:rPr>
          <w:rFonts w:ascii="Times New Roman" w:hAnsi="Times New Roman"/>
          <w:sz w:val="20"/>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hAnsi="Times New Roman"/>
          <w:b/>
          <w:sz w:val="20"/>
          <w:u w:val="single"/>
        </w:rPr>
        <w:t>Prospectus</w:t>
      </w:r>
      <w:r>
        <w:rPr>
          <w:rFonts w:ascii="Times New Roman" w:hAnsi="Times New Roman"/>
          <w:sz w:val="20"/>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hAnsi="Times New Roman"/>
          <w:b/>
          <w:sz w:val="20"/>
          <w:u w:val="single"/>
        </w:rPr>
        <w:t>EDGAR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2. </w:t>
      </w:r>
      <w:r>
        <w:rPr>
          <w:rFonts w:ascii="Times New Roman" w:hAnsi="Times New Roman"/>
          <w:sz w:val="20"/>
          <w:u w:val="single"/>
        </w:rPr>
        <w:t>Placements</w:t>
      </w:r>
      <w:r>
        <w:rPr>
          <w:rFonts w:ascii="Times New Roman" w:hAnsi="Times New Roman"/>
          <w:sz w:val="20"/>
        </w:rPr>
        <w:t>. Each time that the Company wishes to issue and sell the Placement Shares hereunder (each, a “</w:t>
      </w:r>
      <w:r>
        <w:rPr>
          <w:rFonts w:ascii="Times New Roman" w:hAnsi="Times New Roman"/>
          <w:b/>
          <w:sz w:val="20"/>
          <w:u w:val="single"/>
        </w:rPr>
        <w:t>Placement</w:t>
      </w:r>
      <w:r>
        <w:rPr>
          <w:rFonts w:ascii="Times New Roman" w:hAnsi="Times New Roman"/>
          <w:sz w:val="20"/>
        </w:rPr>
        <w:t>”), it will notify TD Cowen by email notice (or other method mutually agreed to in writing by the parties) (a “</w:t>
      </w:r>
      <w:r>
        <w:rPr>
          <w:rFonts w:ascii="Times New Roman" w:hAnsi="Times New Roman"/>
          <w:b/>
          <w:sz w:val="20"/>
          <w:u w:val="single"/>
        </w:rPr>
        <w:t>Placement Notice</w:t>
      </w:r>
      <w:r>
        <w:rPr>
          <w:rFonts w:ascii="Times New Roman" w:hAnsi="Times New Roman"/>
          <w:sz w:val="20"/>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Times New Roman" w:hAnsi="Times New Roman"/>
          <w:sz w:val="20"/>
          <w:u w:val="single"/>
        </w:rPr>
        <w:t>Section 3</w:t>
      </w:r>
      <w:r>
        <w:rPr>
          <w:rFonts w:ascii="Times New Roman" w:hAnsi="Times New Roman"/>
          <w:sz w:val="20"/>
        </w:rPr>
        <w:t xml:space="preserve">) and any minimum price below which sales may not be made, a form of which containing such minimum sales parameters necessary is attached hereto as </w:t>
      </w:r>
      <w:r>
        <w:rPr>
          <w:rFonts w:ascii="Times New Roman" w:hAnsi="Times New Roman"/>
          <w:b/>
          <w:sz w:val="20"/>
          <w:u w:val="single"/>
        </w:rPr>
        <w:t>Schedule 1</w:t>
      </w:r>
      <w:r>
        <w:rPr>
          <w:rFonts w:ascii="Times New Roman" w:hAnsi="Times New Roman"/>
          <w:sz w:val="20"/>
        </w:rPr>
        <w:t xml:space="preserve">. The Placement Notice shall originate from any of the individuals from the Company set forth on </w:t>
      </w:r>
      <w:r>
        <w:rPr>
          <w:rFonts w:ascii="Times New Roman" w:hAnsi="Times New Roman"/>
          <w:b/>
          <w:sz w:val="20"/>
          <w:u w:val="single"/>
        </w:rPr>
        <w:t>Schedule 2</w:t>
      </w:r>
      <w:r>
        <w:rPr>
          <w:rFonts w:ascii="Times New Roman" w:hAnsi="Times New Roman"/>
          <w:sz w:val="20"/>
        </w:rPr>
        <w:t xml:space="preserve"> (with a copy to each of the other individuals from the Company listed on such schedule), and shall be addressed to each of the individuals from TD Cowen set forth on </w:t>
      </w:r>
      <w:r>
        <w:rPr>
          <w:rFonts w:ascii="Times New Roman" w:hAnsi="Times New Roman"/>
          <w:b/>
          <w:sz w:val="20"/>
          <w:u w:val="single"/>
        </w:rPr>
        <w:t>Schedule 2</w:t>
      </w:r>
      <w:r>
        <w:rPr>
          <w:rFonts w:ascii="Times New Roman" w:hAnsi="Times New Roman"/>
          <w:sz w:val="20"/>
        </w:rPr>
        <w:t xml:space="preserve">, as such </w:t>
      </w:r>
      <w:r>
        <w:rPr>
          <w:rFonts w:ascii="Times New Roman" w:hAnsi="Times New Roman"/>
          <w:b/>
          <w:sz w:val="20"/>
          <w:u w:val="single"/>
        </w:rPr>
        <w:t>Schedule 2</w:t>
      </w:r>
      <w:r>
        <w:rPr>
          <w:rFonts w:ascii="Times New Roman" w:hAnsi="Times New Roman"/>
          <w:sz w:val="20"/>
        </w:rPr>
        <w:t xml:space="preserve"> may be amended from time to time. The Placement Notice shall be effective upon receipt by TD Cowen unless and until (i) in accordance with the notice requirements set forth in </w:t>
      </w:r>
      <w:r>
        <w:rPr>
          <w:rFonts w:ascii="Times New Roman" w:hAnsi="Times New Roman"/>
          <w:sz w:val="20"/>
          <w:u w:val="single"/>
        </w:rPr>
        <w:t>Section 4</w:t>
      </w:r>
      <w:r>
        <w:rPr>
          <w:rFonts w:ascii="Times New Roman" w:hAnsi="Times New Roman"/>
          <w:sz w:val="20"/>
        </w:rPr>
        <w:t xml:space="preserve">, TD Cowen declines to accept the terms contained therein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any reason, in its sole discretion, (ii) the entire amount of the Placement Shares have been sold, (iii) in accordance with the notice requirements set forth in </w:t>
      </w:r>
      <w:r>
        <w:rPr>
          <w:rFonts w:ascii="Times New Roman" w:hAnsi="Times New Roman"/>
          <w:sz w:val="20"/>
          <w:u w:val="single"/>
        </w:rPr>
        <w:t>Section 4</w:t>
      </w:r>
      <w:r>
        <w:rPr>
          <w:rFonts w:ascii="Times New Roman" w:hAnsi="Times New Roman"/>
          <w:sz w:val="20"/>
        </w:rPr>
        <w:t xml:space="preserve">, the Company suspends or terminates the Placement Notice, (iv) the Company issues a subsequent Placement Notice with parameters superseding those on the earlier dated Placement Notice, or (v) this Agreement has been terminated under the provisions of </w:t>
      </w:r>
      <w:r>
        <w:rPr>
          <w:rFonts w:ascii="Times New Roman" w:hAnsi="Times New Roman"/>
          <w:sz w:val="20"/>
          <w:u w:val="single"/>
        </w:rPr>
        <w:t>Section 11</w:t>
      </w:r>
      <w:r>
        <w:rPr>
          <w:rFonts w:ascii="Times New Roman" w:hAnsi="Times New Roman"/>
          <w:sz w:val="20"/>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hAnsi="Times New Roman"/>
          <w:b/>
          <w:sz w:val="20"/>
          <w:u w:val="single"/>
        </w:rPr>
        <w:t>Schedule 3</w:t>
      </w:r>
      <w:r>
        <w:rPr>
          <w:rFonts w:ascii="Times New Roman" w:hAnsi="Times New Roman"/>
          <w:b/>
          <w:sz w:val="20"/>
        </w:rPr>
        <w:t>.</w:t>
      </w:r>
      <w:r>
        <w:rPr>
          <w:rFonts w:ascii="Times New Roman" w:hAnsi="Times New Roman"/>
          <w:sz w:val="20"/>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t>
      </w:r>
    </w:p>
    <w:p>
      <w:pPr>
        <w:pStyle w:val="TextBody"/>
        <w:bidi w:val="0"/>
        <w:spacing w:before="240" w:after="0"/>
        <w:jc w:val="both"/>
        <w:rPr>
          <w:rFonts w:ascii="Times New Roman" w:hAnsi="Times New Roman"/>
          <w:sz w:val="20"/>
        </w:rPr>
      </w:pPr>
      <w:r>
        <w:rPr>
          <w:rFonts w:ascii="Times New Roman" w:hAnsi="Times New Roman"/>
          <w:sz w:val="20"/>
        </w:rPr>
        <w:t xml:space="preserve">3. </w:t>
      </w:r>
      <w:r>
        <w:rPr>
          <w:rFonts w:ascii="Times New Roman" w:hAnsi="Times New Roman"/>
          <w:sz w:val="20"/>
          <w:u w:val="single"/>
        </w:rPr>
        <w:t>Sale of Placement Shares by TD Cowen.</w:t>
      </w:r>
      <w:r>
        <w:rPr>
          <w:rFonts w:ascii="Times New Roman" w:hAnsi="Times New Roman"/>
          <w:sz w:val="20"/>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Stock Market LLC (“</w:t>
      </w:r>
      <w:r>
        <w:rPr>
          <w:rFonts w:ascii="Times New Roman" w:hAnsi="Times New Roman"/>
          <w:b/>
          <w:sz w:val="20"/>
          <w:u w:val="single"/>
        </w:rPr>
        <w:t>Nasdaq</w:t>
      </w:r>
      <w:r>
        <w:rPr>
          <w:rFonts w:ascii="Times New Roman" w:hAnsi="Times New Roman"/>
          <w:sz w:val="20"/>
        </w:rPr>
        <w:t xml:space="preserve">”) to sell such Placement Shares up to the amount specified in such Placement Notice, and otherwise in accordance with the terms of such Placement Notice. TD Cowen will provide written confirmation to the Company (including by email correspondence to each of the individuals of the Company set forth on </w:t>
      </w:r>
      <w:r>
        <w:rPr>
          <w:rFonts w:ascii="Times New Roman" w:hAnsi="Times New Roman"/>
          <w:b/>
          <w:sz w:val="20"/>
          <w:u w:val="single"/>
        </w:rPr>
        <w:t>Schedule 2</w:t>
      </w:r>
      <w:r>
        <w:rPr>
          <w:rFonts w:ascii="Times New Roman" w:hAnsi="Times New Roman"/>
          <w:sz w:val="20"/>
        </w:rPr>
        <w:t>)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 w:hAnsi="Times New Roman"/>
          <w:b/>
          <w:sz w:val="20"/>
          <w:u w:val="single"/>
        </w:rPr>
        <w:t>Block Sale</w:t>
      </w:r>
      <w:r>
        <w:rPr>
          <w:rFonts w:ascii="Times New Roman" w:hAnsi="Times New Roman"/>
          <w:sz w:val="20"/>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 w:hAnsi="Times New Roman"/>
          <w:sz w:val="20"/>
          <w:u w:val="single"/>
        </w:rPr>
        <w:t>Section 7</w:t>
      </w:r>
      <w:r>
        <w:rPr>
          <w:rFonts w:ascii="Times New Roman" w:hAnsi="Times New Roman"/>
          <w:sz w:val="20"/>
        </w:rPr>
        <w:t xml:space="preserve"> hereof, each dated the Settlement Date, and such other documents and information as TD Cowen shall reasonably request. TD Cowen may sell Placement Shares in negotiated transactions, including block trades or Block Sales, or by any method permitted by law deemed to be an “at the market” offering as defined in Rule 415 of the Securities Act, including without limitation sales made through Nasdaq or on any other existing trading market for the Common Stock, or by any other method permitted by law.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 w:hAnsi="Times New Roman"/>
          <w:sz w:val="20"/>
          <w:u w:val="single"/>
        </w:rPr>
        <w:t>Section 3</w:t>
      </w:r>
      <w:r>
        <w:rPr>
          <w:rFonts w:ascii="Times New Roman" w:hAnsi="Times New Roman"/>
          <w:sz w:val="20"/>
        </w:rPr>
        <w:t>. For the purposes hereof, “</w:t>
      </w:r>
      <w:r>
        <w:rPr>
          <w:rFonts w:ascii="Times New Roman" w:hAnsi="Times New Roman"/>
          <w:b/>
          <w:sz w:val="20"/>
          <w:u w:val="single"/>
        </w:rPr>
        <w:t>Trading Day</w:t>
      </w:r>
      <w:r>
        <w:rPr>
          <w:rFonts w:ascii="Times New Roman" w:hAnsi="Times New Roman"/>
          <w:sz w:val="20"/>
        </w:rPr>
        <w:t xml:space="preserve">” means any day on which the Company’s Common Stock is purchased and sold on the principal market on which the Common Stock is listed or quoted.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hAnsi="Times New Roman"/>
          <w:b/>
          <w:sz w:val="20"/>
          <w:u w:val="single"/>
        </w:rPr>
        <w:t>Earnings Announcement</w:t>
      </w:r>
      <w:r>
        <w:rPr>
          <w:rFonts w:ascii="Times New Roman" w:hAnsi="Times New Roman"/>
          <w:sz w:val="20"/>
        </w:rPr>
        <w:t xml:space="preserve">”) through and including the time that the Company files a Quarterly Report on Form 10-Q or an Annual Report on Form 10-K that includes consolidated financial statements as of and for the same period or periods, as the case may be, covered by such Earnings Announcement. </w:t>
      </w:r>
    </w:p>
    <w:p>
      <w:pPr>
        <w:pStyle w:val="TextBody"/>
        <w:bidi w:val="0"/>
        <w:spacing w:before="240" w:after="0"/>
        <w:jc w:val="both"/>
        <w:rPr>
          <w:rFonts w:ascii="Times New Roman" w:hAnsi="Times New Roman"/>
          <w:sz w:val="20"/>
        </w:rPr>
      </w:pPr>
      <w:r>
        <w:rPr>
          <w:rFonts w:ascii="Times New Roman" w:hAnsi="Times New Roman"/>
          <w:sz w:val="20"/>
        </w:rPr>
        <w:t xml:space="preserve">4. </w:t>
      </w:r>
      <w:r>
        <w:rPr>
          <w:rFonts w:ascii="Times New Roman" w:hAnsi="Times New Roman"/>
          <w:sz w:val="20"/>
          <w:u w:val="single"/>
        </w:rPr>
        <w:t>Suspension of Sales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Company or TD Cowen may, upon notice to the other party in writing (including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suspend any sale of Placement Shares; </w:t>
      </w:r>
      <w:r>
        <w:rPr>
          <w:rFonts w:ascii="Times New Roman" w:hAnsi="Times New Roman"/>
          <w:i/>
          <w:sz w:val="20"/>
        </w:rPr>
        <w:t>provided, however</w:t>
      </w:r>
      <w:r>
        <w:rPr>
          <w:rFonts w:ascii="Times New Roman" w:hAnsi="Times New Roman"/>
          <w:sz w:val="20"/>
        </w:rPr>
        <w:t xml:space="preserve">, that such suspension shall not affect or impair either party’s obligations with respect to any Placement Shares sold hereunder prior to the receipt of such notice. Each of the parties agrees that no such notice under this </w:t>
      </w:r>
      <w:r>
        <w:rPr>
          <w:rFonts w:ascii="Times New Roman" w:hAnsi="Times New Roman"/>
          <w:sz w:val="20"/>
          <w:u w:val="single"/>
        </w:rPr>
        <w:t>Section 4</w:t>
      </w:r>
      <w:r>
        <w:rPr>
          <w:rFonts w:ascii="Times New Roman" w:hAnsi="Times New Roman"/>
          <w:sz w:val="20"/>
        </w:rPr>
        <w:t xml:space="preserve"> shall be effective against the other unless it is made to one of the individuals named on </w:t>
      </w:r>
      <w:r>
        <w:rPr>
          <w:rFonts w:ascii="Times New Roman" w:hAnsi="Times New Roman"/>
          <w:b/>
          <w:sz w:val="20"/>
          <w:u w:val="single"/>
        </w:rPr>
        <w:t>Schedule 2</w:t>
      </w:r>
      <w:r>
        <w:rPr>
          <w:rFonts w:ascii="Times New Roman" w:hAnsi="Times New Roman"/>
          <w:sz w:val="20"/>
        </w:rPr>
        <w:t xml:space="preserve"> hereto, as such schedule may be amended from time to time. </w:t>
      </w:r>
    </w:p>
    <w:p>
      <w:pPr>
        <w:pStyle w:val="TextBody"/>
        <w:bidi w:val="0"/>
        <w:spacing w:before="240" w:after="0"/>
        <w:jc w:val="both"/>
        <w:rPr>
          <w:rFonts w:ascii="Times New Roman" w:hAnsi="Times New Roman"/>
          <w:sz w:val="20"/>
        </w:rPr>
      </w:pPr>
      <w:r>
        <w:rPr>
          <w:rFonts w:ascii="Times New Roman" w:hAnsi="Times New Roman"/>
          <w:sz w:val="20"/>
        </w:rPr>
        <w:t xml:space="preserve">(b) If either TD Cowen or the Company has reason to believe that the exemptive provisions set forth in Rule 101(c)(1) of Regulation M under the Exchange Act are not satisfied with respect to the Common Stock, it shall promptly notify the other party, and TD Cowen may, at its sole discretion, suspend sales of the Placement Shares under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(c) The Registration Statement was declared effective on April 30, 2026. 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 </w:t>
      </w:r>
    </w:p>
    <w:p>
      <w:pPr>
        <w:pStyle w:val="TextBody"/>
        <w:bidi w:val="0"/>
        <w:spacing w:before="240" w:after="0"/>
        <w:jc w:val="both"/>
        <w:rPr>
          <w:rFonts w:ascii="Times New Roman" w:hAnsi="Times New Roman"/>
          <w:sz w:val="20"/>
        </w:rPr>
      </w:pPr>
      <w:r>
        <w:rPr>
          <w:rFonts w:ascii="Times New Roman" w:hAnsi="Times New Roman"/>
          <w:sz w:val="20"/>
        </w:rPr>
        <w:t xml:space="preserve">5. </w:t>
      </w:r>
      <w:r>
        <w:rPr>
          <w:rFonts w:ascii="Times New Roman" w:hAnsi="Times New Roman"/>
          <w:sz w:val="20"/>
          <w:u w:val="single"/>
        </w:rPr>
        <w:t>Settlement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Settlement of Placement Shares</w:t>
      </w:r>
      <w:r>
        <w:rPr>
          <w:rFonts w:ascii="Times New Roman" w:hAnsi="Times New Roman"/>
          <w:sz w:val="20"/>
        </w:rPr>
        <w:t>. Unless otherwise specified in the applicable Placement Notice, settlement for sales of Placement Shares will occur on the first (1st) Trading Day following the date on which such sales are made (each, a “</w:t>
      </w:r>
      <w:r>
        <w:rPr>
          <w:rFonts w:ascii="Times New Roman" w:hAnsi="Times New Roman"/>
          <w:b/>
          <w:sz w:val="20"/>
          <w:u w:val="single"/>
        </w:rPr>
        <w:t>Settlement Date</w:t>
      </w:r>
      <w:r>
        <w:rPr>
          <w:rFonts w:ascii="Times New Roman" w:hAnsi="Times New Roman"/>
          <w:sz w:val="20"/>
        </w:rPr>
        <w:t>” and the first such settlement date, the “</w:t>
      </w:r>
      <w:r>
        <w:rPr>
          <w:rFonts w:ascii="Times New Roman" w:hAnsi="Times New Roman"/>
          <w:b/>
          <w:sz w:val="20"/>
          <w:u w:val="single"/>
        </w:rPr>
        <w:t>First Delivery Date</w:t>
      </w:r>
      <w:r>
        <w:rPr>
          <w:rFonts w:ascii="Times New Roman" w:hAnsi="Times New Roman"/>
          <w:sz w:val="20"/>
        </w:rPr>
        <w:t>”). The amount of proceeds to be delivered to the Company on a Settlement Date against receipt of the Placement Shares sold (the “</w:t>
      </w:r>
      <w:r>
        <w:rPr>
          <w:rFonts w:ascii="Times New Roman" w:hAnsi="Times New Roman"/>
          <w:b/>
          <w:sz w:val="20"/>
          <w:u w:val="single"/>
        </w:rPr>
        <w:t>Net Proceeds</w:t>
      </w:r>
      <w:r>
        <w:rPr>
          <w:rFonts w:ascii="Times New Roman" w:hAnsi="Times New Roman"/>
          <w:sz w:val="20"/>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 w:hAnsi="Times New Roman"/>
          <w:sz w:val="20"/>
          <w:u w:val="single"/>
        </w:rPr>
        <w:t>Section 2</w:t>
      </w:r>
      <w:r>
        <w:rPr>
          <w:rFonts w:ascii="Times New Roman" w:hAnsi="Times New Roman"/>
          <w:sz w:val="20"/>
        </w:rPr>
        <w:t xml:space="preserve"> hereof, (ii) any other amounts due and payable by the Company to TD Cowen hereunder pursuant to </w:t>
      </w:r>
      <w:r>
        <w:rPr>
          <w:rFonts w:ascii="Times New Roman" w:hAnsi="Times New Roman"/>
          <w:sz w:val="20"/>
          <w:u w:val="single"/>
        </w:rPr>
        <w:t>Section 7(h)</w:t>
      </w:r>
      <w:r>
        <w:rPr>
          <w:rFonts w:ascii="Times New Roman" w:hAnsi="Times New Roman"/>
          <w:sz w:val="20"/>
        </w:rPr>
        <w:t xml:space="preserve"> (Expenses) 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(iii) any transaction fees imposed by any governmental or self-regulatory organization in respect of such sales.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Delivery of Placement Shares</w:t>
      </w:r>
      <w:r>
        <w:rPr>
          <w:rFonts w:ascii="Times New Roman" w:hAnsi="Times New Roman"/>
          <w:sz w:val="20"/>
        </w:rPr>
        <w:t xml:space="preserve">. On or before each Settlement Date, the Company will, or will cause its transfer agent to, electronically transfer the Placement Shares being sold by crediting TD Cowen’s or its designee’s account (provided TD Cowen shall have given the Company written notice of such designee prior to the Settlement Date) at The Depository Trust Company through its Deposit and Withdrawal at Custodian System or by such other means of delivery as may be mutually agreed upon by the parties hereto, and in all cases such Placement Shares shall be freely tradeable, transferable, registered shares in good deliverable form. On each Settlement Date, TD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the Company agrees that in addition to and in no way limiting the rights and obligations set forth in </w:t>
      </w:r>
      <w:r>
        <w:rPr>
          <w:rFonts w:ascii="Times New Roman" w:hAnsi="Times New Roman"/>
          <w:sz w:val="20"/>
          <w:u w:val="single"/>
        </w:rPr>
        <w:t>Section 9(a)</w:t>
      </w:r>
      <w:r>
        <w:rPr>
          <w:rFonts w:ascii="Times New Roman" w:hAnsi="Times New Roman"/>
          <w:sz w:val="20"/>
        </w:rPr>
        <w:t xml:space="preserve"> (Company Indemnification) hereof, it will (i) hold TD Cowen harmless against any loss, claim, damage, or expense (including reasonable legal fees and expenses), as incurred, arising out of or in connection with such default by the Company and (ii) pay to TD Cowen any commission, discount, or other compensation to which it would otherwise have been entitled absent such default. </w:t>
      </w:r>
    </w:p>
    <w:p>
      <w:pPr>
        <w:pStyle w:val="TextBody"/>
        <w:bidi w:val="0"/>
        <w:spacing w:before="240" w:after="0"/>
        <w:jc w:val="both"/>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Company</w:t>
      </w:r>
      <w:r>
        <w:rPr>
          <w:rFonts w:ascii="Times New Roman" w:hAnsi="Times New Roman"/>
          <w:sz w:val="20"/>
        </w:rPr>
        <w:t>. The Company represents and warrants to, and agrees with, TD Cowen that, unless such representation or warranty specifies a different time, as of (i) the date of this Agreement, (ii) each Time of Sale (as defined below), (iii) each Settlement Date, and (iv) each Bring-Down Date (as defined below) (each date included in (i) through (iv), a “</w:t>
      </w:r>
      <w:r>
        <w:rPr>
          <w:rFonts w:ascii="Times New Roman" w:hAnsi="Times New Roman"/>
          <w:b/>
          <w:sz w:val="20"/>
          <w:u w:val="single"/>
        </w:rPr>
        <w:t>Representation Date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Compliance with Registration Requirements</w:t>
      </w:r>
      <w:r>
        <w:rPr>
          <w:rFonts w:ascii="Times New Roman" w:hAnsi="Times New Roman"/>
          <w:sz w:val="20"/>
        </w:rPr>
        <w:t xml:space="preserve">. The Registration Statement has become effective; no stop order suspending the effectiveness of the Registration Statement is in effect; and no proceedings for such purpose or pursuant to Section 8A under the Securities Act are pending before or, to the Knowledge (as defined below) of the Company, threatened by the Commission. If the Registration Statement is an automatic shelf registration statement as defined in Rule 405 under the Securities Act, the Company is at any time while this Agreement is in force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statement. The sale of the Placement Shares hereunder meets the requirements of General Instruction I.B.1 of Form S-3.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Securities Act and Exchange Act Compliance</w:t>
      </w:r>
      <w:r>
        <w:rPr>
          <w:rFonts w:ascii="Times New Roman" w:hAnsi="Times New Roman"/>
          <w:sz w:val="20"/>
        </w:rPr>
        <w:t>. (i)(A) At the respective times the Registration Statement and each amendment thereto became effective, (B) at each deemed effective date with respect to TD Cowen pursuant to Rule 430B(f)(2) under the Securities Act (each, a “</w:t>
      </w:r>
      <w:r>
        <w:rPr>
          <w:rFonts w:ascii="Times New Roman" w:hAnsi="Times New Roman"/>
          <w:b/>
          <w:sz w:val="20"/>
          <w:u w:val="single"/>
        </w:rPr>
        <w:t>Deemed Effective Time</w:t>
      </w:r>
      <w:r>
        <w:rPr>
          <w:rFonts w:ascii="Times New Roman" w:hAnsi="Times New Roman"/>
          <w:sz w:val="20"/>
        </w:rPr>
        <w:t>”), (C) as of each time Placement Shares are sold pursuant to this Agreement (each, a “</w:t>
      </w:r>
      <w:r>
        <w:rPr>
          <w:rFonts w:ascii="Times New Roman" w:hAnsi="Times New Roman"/>
          <w:b/>
          <w:sz w:val="20"/>
          <w:u w:val="single"/>
        </w:rPr>
        <w:t>Time of Sale</w:t>
      </w:r>
      <w:r>
        <w:rPr>
          <w:rFonts w:ascii="Times New Roman" w:hAnsi="Times New Roman"/>
          <w:sz w:val="20"/>
        </w:rPr>
        <w:t>”), (D) at each Settlement Date (as defined below) and (E) at all times during which a prospectus is required by the Securities Act to be delivered (whether physically or through compliance with Rule 172 under the Securities Act or any similar rule) in connection with any sale of Placement Shares (the “</w:t>
      </w:r>
      <w:r>
        <w:rPr>
          <w:rFonts w:ascii="Times New Roman" w:hAnsi="Times New Roman"/>
          <w:b/>
          <w:sz w:val="20"/>
          <w:u w:val="single"/>
        </w:rPr>
        <w:t>Delivery Period</w:t>
      </w:r>
      <w:r>
        <w:rPr>
          <w:rFonts w:ascii="Times New Roman" w:hAnsi="Times New Roman"/>
          <w:sz w:val="20"/>
        </w:rPr>
        <w:t xml:space="preserve">”), the Registration Statement complied and will comply in all material respects with the requirements of the Securities Act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rules and regulations under the Securities Act; (ii) the Basic Prospectus complied, or will comply, at the time it was, or will be filed, with the Commission, complies as of the date hereof (if filed with the Commission on or prior to the date hereof) and, as of each Time of Sale and at all times during the Delivery Period, will comply in all material respects with the rules and regulations under the Securities Act; (iii) each of the Prospectus Supplement and the Prospectus will comply, as of the date that such document is filed with the Commission, as of each Time of Sale, as of each Settlement Date and at all times during the Delivery Period, in all material respects with the rules and regulations under the Securities Act; and (iv) any document that upon filing is deemed to be incorporated by reference into the Registration Statement or Prospectus, when they were filed with the Commission, conformed in all material respects to the requirements of the Exchange Act and the rules and regulations of the Commission thereunder, and any further document so filed and incorporated by reference into the Registration Statement or Prospectus, when they are filed with the Commission, will conform in all material respects to the requirements of the Exchange Act and the rules and regulations of the Commission thereunder.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No Misstatement or Omission</w:t>
      </w:r>
      <w:r>
        <w:rPr>
          <w:rFonts w:ascii="Times New Roman" w:hAnsi="Times New Roman"/>
          <w:sz w:val="20"/>
        </w:rPr>
        <w:t xml:space="preserve">. (i) As of the date hereof, at the respective times the Registration Statement and each amendment thereto became effective and at each Deemed Effective Time, the Registration Statement did not and will not contain an untrue statement of a material fact or omit to state a material fact required to be stated therein or necessary to make the statements therein not misleading; (ii) as of each Time of Sale, the Prospectus (as amended and supplemented at such Time of Sale), did not contain any untrue statement of a material fact or omit to state any material fact necessary in order to make the statements therein, in the light of the circumstances under which they were made, not misleading; (iii) as of its date, the Prospectus did not contain an untrue statement of a material fact or omit to state a material fact necessary in order to make the statements therein, in the light of the circumstances under which they were made, not misleading; and (iv) at any Settlement Date, the Prospectus (as amended and supplemented at such Settlement Date) did not and will not contain an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representation and warranty shall not apply to any statement or omission made in reliance upon and in conformity with information furnished in writing to the Company by TD Cowen expressly for use in the Prospectus.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Offering Materials Furnished to TD Cowen</w:t>
      </w:r>
      <w:r>
        <w:rPr>
          <w:rFonts w:ascii="Times New Roman" w:hAnsi="Times New Roman"/>
          <w:sz w:val="20"/>
        </w:rPr>
        <w:t xml:space="preserve">.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 </w:t>
      </w:r>
    </w:p>
    <w:p>
      <w:pPr>
        <w:pStyle w:val="TextBody"/>
        <w:bidi w:val="0"/>
        <w:spacing w:before="240" w:after="0"/>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Free Writing Prospectus</w:t>
      </w:r>
      <w:r>
        <w:rPr>
          <w:rFonts w:ascii="Times New Roman" w:hAnsi="Times New Roman"/>
          <w:sz w:val="20"/>
        </w:rPr>
        <w:t xml:space="preserve">. Any free writing prospectus that the Company is required to file pursuant to Rule 433(d) under the Securities Act has been, or will be, filed with the Commission in accordance with the requirements of the Securities Act and the applicable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Each free writing prospectus, as of its issue date and at all subsequent times through the completion of the public offer and sale of the Placement Shares or until any earlier date that the Company notified or notifies TD Cowen, did not, does not and will not include any material information that conflicted, conflicts or will conflict with the information contained in, or incorporated by reference into, the Registration Statement or the Prospectus. Each broadly available road show, if any, when considered together with the Prospectus, does not contain any untrue statement of a material fact or omit to state a material fact necessary to make the statements therein, in the light of the circumstances under which they were made, not misleading. Except for the Permitted Free Writing Prospectuses, if any, and electronic road shows, if any, furnished to and approved by TD Cowen, the Company has not prepared, used or referred to, and will not, prepare, use or refer to, any free writing prospectus. </w:t>
      </w:r>
    </w:p>
    <w:p>
      <w:pPr>
        <w:pStyle w:val="TextBody"/>
        <w:bidi w:val="0"/>
        <w:spacing w:before="240" w:after="0"/>
        <w:jc w:val="both"/>
        <w:rPr>
          <w:rFonts w:ascii="Times New Roman" w:hAnsi="Times New Roman"/>
          <w:sz w:val="20"/>
        </w:rPr>
      </w:pPr>
      <w:r>
        <w:rPr>
          <w:rFonts w:ascii="Times New Roman" w:hAnsi="Times New Roman"/>
          <w:sz w:val="20"/>
        </w:rPr>
        <w:t xml:space="preserve">(f) </w:t>
      </w:r>
      <w:r>
        <w:rPr>
          <w:rFonts w:ascii="Times New Roman" w:hAnsi="Times New Roman"/>
          <w:sz w:val="20"/>
          <w:u w:val="single"/>
        </w:rPr>
        <w:t>Emerging Growth Company</w:t>
      </w:r>
      <w:r>
        <w:rPr>
          <w:rFonts w:ascii="Times New Roman" w:hAnsi="Times New Roman"/>
          <w:sz w:val="20"/>
        </w:rPr>
        <w:t xml:space="preserve">. The Company is not an “emerging growth company,” as defined in Section 2(a) of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(g) </w:t>
      </w:r>
      <w:r>
        <w:rPr>
          <w:rFonts w:ascii="Times New Roman" w:hAnsi="Times New Roman"/>
          <w:sz w:val="20"/>
          <w:u w:val="single"/>
        </w:rPr>
        <w:t>Not an Ineligible Issuer</w:t>
      </w:r>
      <w:r>
        <w:rPr>
          <w:rFonts w:ascii="Times New Roman" w:hAnsi="Times New Roman"/>
          <w:sz w:val="20"/>
        </w:rPr>
        <w:t xml:space="preserve">. (i)(A) At the time of filing the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and (C) at the time the Company or any person acting on its behalf (within the meaning, for this clause only, of Rule 163(c)) made any offer relating to the Shelf Securities in reliance on the exemption of Rule 163 under the Securities Act, the Company was not an “ineligible issuer” as defined in Rule 405 of the Securities Act; and (ii)(A) at the time of filing of the Registration Statement, (B) at the earliest time thereafter that the Company or another offering participant made a bona fide offer (within the meaning of Rule 164(h)(2) under the Securities Act) of the Placement Shares and (C) at the date hereof, the Company was not and is not an “ineligible issuer” as defined in Rule 405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Distribution of Offering Material By the Company</w:t>
      </w:r>
      <w:r>
        <w:rPr>
          <w:rFonts w:ascii="Times New Roman" w:hAnsi="Times New Roman"/>
          <w:sz w:val="20"/>
        </w:rPr>
        <w:t>. The Company (i) has not alone engaged in any Testing-the-Waters Communication with any person and (ii) has not authorized anyone to engage in Testing-the-Waters Communications. The Company has not distributed any Testing-the-Waters Communication that is a written communication within the meaning of Rule 405 under the Securities Act. “</w:t>
      </w:r>
      <w:r>
        <w:rPr>
          <w:rFonts w:ascii="Times New Roman" w:hAnsi="Times New Roman"/>
          <w:b/>
          <w:sz w:val="20"/>
          <w:u w:val="single"/>
        </w:rPr>
        <w:t>Testing-the-Waters Communication</w:t>
      </w:r>
      <w:r>
        <w:rPr>
          <w:rFonts w:ascii="Times New Roman" w:hAnsi="Times New Roman"/>
          <w:sz w:val="20"/>
        </w:rPr>
        <w:t xml:space="preserve">” means any communication with potential investors undertaken in reliance on Section 5(d) or Rule 163B of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(i) </w:t>
      </w:r>
      <w:r>
        <w:rPr>
          <w:rFonts w:ascii="Times New Roman" w:hAnsi="Times New Roman"/>
          <w:sz w:val="20"/>
          <w:u w:val="single"/>
        </w:rPr>
        <w:t>The Sales Agreement</w:t>
      </w:r>
      <w:r>
        <w:rPr>
          <w:rFonts w:ascii="Times New Roman" w:hAnsi="Times New Roman"/>
          <w:sz w:val="20"/>
        </w:rPr>
        <w:t xml:space="preserve">. This Agreement has been duly authorized, executed and delivered by the Company. </w:t>
      </w:r>
    </w:p>
    <w:p>
      <w:pPr>
        <w:pStyle w:val="TextBody"/>
        <w:bidi w:val="0"/>
        <w:spacing w:before="240" w:after="0"/>
        <w:jc w:val="both"/>
        <w:rPr>
          <w:rFonts w:ascii="Times New Roman" w:hAnsi="Times New Roman"/>
          <w:sz w:val="20"/>
        </w:rPr>
      </w:pPr>
      <w:r>
        <w:rPr>
          <w:rFonts w:ascii="Times New Roman" w:hAnsi="Times New Roman"/>
          <w:sz w:val="20"/>
        </w:rPr>
        <w:t xml:space="preserve">(j) </w:t>
      </w:r>
      <w:r>
        <w:rPr>
          <w:rFonts w:ascii="Times New Roman" w:hAnsi="Times New Roman"/>
          <w:sz w:val="20"/>
          <w:u w:val="single"/>
        </w:rPr>
        <w:t>Authorization of the Common Stock</w:t>
      </w:r>
      <w:r>
        <w:rPr>
          <w:rFonts w:ascii="Times New Roman" w:hAnsi="Times New Roman"/>
          <w:sz w:val="20"/>
        </w:rPr>
        <w:t xml:space="preserve">. The authorized capital stock of the Company conforms as to legal matters in all material respects to the description thereof contained in, or incorporated by reference into, each of the Registration Statement and the Prospectus. The Placement Shares have been duly authorized and, when paid for, issued and delivered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accordance with the terms of this Agreement, will be validly issued, fully paid and non-assessable, and the issuance of the Placement Shares will not be subject to any preemptive or similar rights. </w:t>
      </w:r>
    </w:p>
    <w:p>
      <w:pPr>
        <w:pStyle w:val="TextBody"/>
        <w:bidi w:val="0"/>
        <w:spacing w:before="240" w:after="0"/>
        <w:jc w:val="both"/>
        <w:rPr>
          <w:rFonts w:ascii="Times New Roman" w:hAnsi="Times New Roman"/>
          <w:sz w:val="20"/>
        </w:rPr>
      </w:pPr>
      <w:r>
        <w:rPr>
          <w:rFonts w:ascii="Times New Roman" w:hAnsi="Times New Roman"/>
          <w:sz w:val="20"/>
        </w:rPr>
        <w:t xml:space="preserve">(k) </w:t>
      </w:r>
      <w:r>
        <w:rPr>
          <w:rFonts w:ascii="Times New Roman" w:hAnsi="Times New Roman"/>
          <w:sz w:val="20"/>
          <w:u w:val="single"/>
        </w:rPr>
        <w:t>Disclosure Related to Capital Stock</w:t>
      </w:r>
      <w:r>
        <w:rPr>
          <w:rFonts w:ascii="Times New Roman" w:hAnsi="Times New Roman"/>
          <w:sz w:val="20"/>
        </w:rPr>
        <w:t xml:space="preserve">. The statements set forth in the Registration Statement and the Prospectus under the caption “Description of Capital Stock”, insofar as they purport to constitute a summary of the terms of the capital stock of the Company, are accurate, complete and fair in all material respects. </w:t>
      </w:r>
    </w:p>
    <w:p>
      <w:pPr>
        <w:pStyle w:val="TextBody"/>
        <w:bidi w:val="0"/>
        <w:spacing w:before="240" w:after="0"/>
        <w:jc w:val="both"/>
        <w:rPr>
          <w:rFonts w:ascii="Times New Roman" w:hAnsi="Times New Roman"/>
          <w:sz w:val="20"/>
        </w:rPr>
      </w:pPr>
      <w:r>
        <w:rPr>
          <w:rFonts w:ascii="Times New Roman" w:hAnsi="Times New Roman"/>
          <w:sz w:val="20"/>
        </w:rPr>
        <w:t xml:space="preserve">(l) </w:t>
      </w:r>
      <w:r>
        <w:rPr>
          <w:rFonts w:ascii="Times New Roman" w:hAnsi="Times New Roman"/>
          <w:sz w:val="20"/>
          <w:u w:val="single"/>
        </w:rPr>
        <w:t>No Applicable Registration or Other Similar Rights</w:t>
      </w:r>
      <w:r>
        <w:rPr>
          <w:rFonts w:ascii="Times New Roman" w:hAnsi="Times New Roman"/>
          <w:sz w:val="20"/>
        </w:rPr>
        <w:t xml:space="preserve">.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Placement Shares registered pursuant to the Registration Statement, except as otherwise have been validly waived or complied with in connection with the issuance and sale of the Placement Shares contemplated hereby. </w:t>
      </w:r>
    </w:p>
    <w:p>
      <w:pPr>
        <w:pStyle w:val="TextBody"/>
        <w:bidi w:val="0"/>
        <w:spacing w:before="240" w:after="0"/>
        <w:jc w:val="both"/>
        <w:rPr>
          <w:rFonts w:ascii="Times New Roman" w:hAnsi="Times New Roman"/>
          <w:sz w:val="20"/>
        </w:rPr>
      </w:pPr>
      <w:r>
        <w:rPr>
          <w:rFonts w:ascii="Times New Roman" w:hAnsi="Times New Roman"/>
          <w:sz w:val="20"/>
        </w:rPr>
        <w:t xml:space="preserve">(m) </w:t>
      </w:r>
      <w:r>
        <w:rPr>
          <w:rFonts w:ascii="Times New Roman" w:hAnsi="Times New Roman"/>
          <w:sz w:val="20"/>
          <w:u w:val="single"/>
        </w:rPr>
        <w:t>No Material Adverse Change</w:t>
      </w:r>
      <w:r>
        <w:rPr>
          <w:rFonts w:ascii="Times New Roman" w:hAnsi="Times New Roman"/>
          <w:sz w:val="20"/>
        </w:rPr>
        <w:t>. There has not occurred any material adverse change, or any development involving a prospective material adverse change, in the condition, financial or otherwise, or in the earnings, business or operations of the Company and its Subsidiaries (as defined below), taken as a whole, (a “</w:t>
      </w:r>
      <w:r>
        <w:rPr>
          <w:rFonts w:ascii="Times New Roman" w:hAnsi="Times New Roman"/>
          <w:b/>
          <w:sz w:val="20"/>
          <w:u w:val="single"/>
        </w:rPr>
        <w:t>Material Adverse Change</w:t>
      </w:r>
      <w:r>
        <w:rPr>
          <w:rFonts w:ascii="Times New Roman" w:hAnsi="Times New Roman"/>
          <w:sz w:val="20"/>
        </w:rPr>
        <w:t xml:space="preserve">”) from that set forth in the Registration Statement or Prospectus. </w:t>
      </w:r>
    </w:p>
    <w:p>
      <w:pPr>
        <w:pStyle w:val="TextBody"/>
        <w:bidi w:val="0"/>
        <w:spacing w:before="240" w:after="0"/>
        <w:jc w:val="both"/>
        <w:rPr>
          <w:rFonts w:ascii="Times New Roman" w:hAnsi="Times New Roman"/>
          <w:sz w:val="20"/>
        </w:rPr>
      </w:pPr>
      <w:r>
        <w:rPr>
          <w:rFonts w:ascii="Times New Roman" w:hAnsi="Times New Roman"/>
          <w:sz w:val="20"/>
        </w:rPr>
        <w:t xml:space="preserve">(n) </w:t>
      </w:r>
      <w:r>
        <w:rPr>
          <w:rFonts w:ascii="Times New Roman" w:hAnsi="Times New Roman"/>
          <w:sz w:val="20"/>
          <w:u w:val="single"/>
        </w:rPr>
        <w:t>Independent Accountants</w:t>
      </w:r>
      <w:r>
        <w:rPr>
          <w:rFonts w:ascii="Times New Roman" w:hAnsi="Times New Roman"/>
          <w:sz w:val="20"/>
        </w:rPr>
        <w:t xml:space="preserve">. Ernst &amp; Young LLP, which has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and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(o) </w:t>
      </w:r>
      <w:r>
        <w:rPr>
          <w:rFonts w:ascii="Times New Roman" w:hAnsi="Times New Roman"/>
          <w:sz w:val="20"/>
          <w:u w:val="single"/>
        </w:rPr>
        <w:t>Preparation of the Financial Statements</w:t>
      </w:r>
      <w:r>
        <w:rPr>
          <w:rFonts w:ascii="Times New Roman" w:hAnsi="Times New Roman"/>
          <w:sz w:val="20"/>
        </w:rPr>
        <w:t xml:space="preserve">. The financial statements (including the related notes thereto) of the Company and its consolidated Subsidiaries included or incorporated by reference in each of the Registration Statement and the Prospectus comply in all material respects with the applicable requirements of the Securities Act and present fairly in all material respects the consolidated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the other financial information included in the Registration Statement and the Prospectus has been derived from the accounting records of the Company and its Subsidiaries and presents fairly in all material respects the information shown thereby. </w:t>
      </w:r>
    </w:p>
    <w:p>
      <w:pPr>
        <w:pStyle w:val="TextBody"/>
        <w:bidi w:val="0"/>
        <w:spacing w:before="240" w:after="0"/>
        <w:jc w:val="both"/>
        <w:rPr>
          <w:rFonts w:ascii="Times New Roman" w:hAnsi="Times New Roman"/>
          <w:sz w:val="20"/>
        </w:rPr>
      </w:pPr>
      <w:r>
        <w:rPr>
          <w:rFonts w:ascii="Times New Roman" w:hAnsi="Times New Roman"/>
          <w:sz w:val="20"/>
        </w:rPr>
        <w:t xml:space="preserve">(p) </w:t>
      </w:r>
      <w:r>
        <w:rPr>
          <w:rFonts w:ascii="Times New Roman" w:hAnsi="Times New Roman"/>
          <w:sz w:val="20"/>
          <w:u w:val="single"/>
        </w:rPr>
        <w:t>XBRL</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240" w:after="0"/>
        <w:jc w:val="both"/>
        <w:rPr>
          <w:rFonts w:ascii="Times New Roman" w:hAnsi="Times New Roman"/>
          <w:sz w:val="20"/>
        </w:rPr>
      </w:pPr>
      <w:r>
        <w:rPr>
          <w:rFonts w:ascii="Times New Roman" w:hAnsi="Times New Roman"/>
          <w:sz w:val="20"/>
        </w:rPr>
        <w:t xml:space="preserve">(q) </w:t>
      </w:r>
      <w:r>
        <w:rPr>
          <w:rFonts w:ascii="Times New Roman" w:hAnsi="Times New Roman"/>
          <w:sz w:val="20"/>
          <w:u w:val="single"/>
        </w:rPr>
        <w:t>Incorporation and Good Standing of the Company and its Subsidiaries</w:t>
      </w:r>
      <w:r>
        <w:rPr>
          <w:rFonts w:ascii="Times New Roman" w:hAnsi="Times New Roman"/>
          <w:sz w:val="20"/>
        </w:rPr>
        <w:t xml:space="preserve">. The Company has been duly incorporated, is validly existing as a corporation in good standing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the laws of the State of Delaware, has the corporate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Each subsidiary of the Company (each a “</w:t>
      </w:r>
      <w:r>
        <w:rPr>
          <w:rFonts w:ascii="Times New Roman" w:hAnsi="Times New Roman"/>
          <w:b/>
          <w:sz w:val="20"/>
          <w:u w:val="single"/>
        </w:rPr>
        <w:t>Subsidiary</w:t>
      </w:r>
      <w:r>
        <w:rPr>
          <w:rFonts w:ascii="Times New Roman" w:hAnsi="Times New Roman"/>
          <w:sz w:val="20"/>
        </w:rPr>
        <w:t xml:space="preserve">”) has been duly organized, is validly existing and in good standing under the laws of the State of Delaware, has the corporate or other organizational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by the Company or a Subsidiary of the Company, free and clear of all liens, encumbrances, equities or claims, except as disclosed in the Registration Statement and the Prospectus. </w:t>
      </w:r>
    </w:p>
    <w:p>
      <w:pPr>
        <w:pStyle w:val="TextBody"/>
        <w:bidi w:val="0"/>
        <w:spacing w:before="240" w:after="0"/>
        <w:jc w:val="both"/>
        <w:rPr>
          <w:rFonts w:ascii="Times New Roman" w:hAnsi="Times New Roman"/>
          <w:sz w:val="20"/>
        </w:rPr>
      </w:pPr>
      <w:r>
        <w:rPr>
          <w:rFonts w:ascii="Times New Roman" w:hAnsi="Times New Roman"/>
          <w:sz w:val="20"/>
        </w:rPr>
        <w:t xml:space="preserve">(r) </w:t>
      </w:r>
      <w:r>
        <w:rPr>
          <w:rFonts w:ascii="Times New Roman" w:hAnsi="Times New Roman"/>
          <w:sz w:val="20"/>
          <w:u w:val="single"/>
        </w:rPr>
        <w:t>Capital Stock Matters</w:t>
      </w:r>
      <w:r>
        <w:rPr>
          <w:rFonts w:ascii="Times New Roman" w:hAnsi="Times New Roman"/>
          <w:sz w:val="20"/>
        </w:rPr>
        <w:t xml:space="preserve">. The shares of Common Stock outstanding prior to the issuance of the Placement Shares have been duly authorized and are validly issued, fully paid and non-assessable. </w:t>
      </w:r>
    </w:p>
    <w:p>
      <w:pPr>
        <w:pStyle w:val="TextBody"/>
        <w:bidi w:val="0"/>
        <w:spacing w:before="240" w:after="0"/>
        <w:jc w:val="both"/>
        <w:rPr>
          <w:rFonts w:ascii="Times New Roman" w:hAnsi="Times New Roman"/>
          <w:sz w:val="20"/>
        </w:rPr>
      </w:pPr>
      <w:r>
        <w:rPr>
          <w:rFonts w:ascii="Times New Roman" w:hAnsi="Times New Roman"/>
          <w:sz w:val="20"/>
        </w:rPr>
        <w:t xml:space="preserve">(s) </w:t>
      </w:r>
      <w:r>
        <w:rPr>
          <w:rFonts w:ascii="Times New Roman" w:hAnsi="Times New Roman"/>
          <w:sz w:val="20"/>
          <w:u w:val="single"/>
        </w:rPr>
        <w:t>Non-Contravention of Existing Instruments; No Further Authorizations or Approvals Required</w:t>
      </w:r>
      <w:r>
        <w:rPr>
          <w:rFonts w:ascii="Times New Roman" w:hAnsi="Times New Roman"/>
          <w:sz w:val="20"/>
        </w:rPr>
        <w:t xml:space="preserve">. 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cases of clauses (i), (iii), and (iv), as would not reasonably be likely to have a material adverse effect on the Company and its Subsidiaries, taken as a whole or adversely affect the ability of the Company to perform its obligations under this Agreement, and no consent, approval, authorization or order of, or qualification with, any governmental body or agency is required for the performance by the Company of its obligations under this Agreement, except such as may have been previously obtained or may be required by the securities or Blue Sky laws of the various states in connection with the offer and sale of the Placement Shares. </w:t>
      </w:r>
    </w:p>
    <w:p>
      <w:pPr>
        <w:pStyle w:val="TextBody"/>
        <w:bidi w:val="0"/>
        <w:spacing w:before="240" w:after="0"/>
        <w:jc w:val="both"/>
        <w:rPr>
          <w:rFonts w:ascii="Times New Roman" w:hAnsi="Times New Roman"/>
          <w:sz w:val="20"/>
        </w:rPr>
      </w:pPr>
      <w:r>
        <w:rPr>
          <w:rFonts w:ascii="Times New Roman" w:hAnsi="Times New Roman"/>
          <w:sz w:val="20"/>
        </w:rPr>
        <w:t xml:space="preserve">(t) </w:t>
      </w:r>
      <w:r>
        <w:rPr>
          <w:rFonts w:ascii="Times New Roman" w:hAnsi="Times New Roman"/>
          <w:sz w:val="20"/>
          <w:u w:val="single"/>
        </w:rPr>
        <w:t>No Material Actions or Proceedings</w:t>
      </w:r>
      <w:r>
        <w:rPr>
          <w:rFonts w:ascii="Times New Roman" w:hAnsi="Times New Roman"/>
          <w:sz w:val="20"/>
        </w:rPr>
        <w:t>. There are no legal or governmental proceedings pending or, to the knowledge of the Company (“</w:t>
      </w:r>
      <w:r>
        <w:rPr>
          <w:rFonts w:ascii="Times New Roman" w:hAnsi="Times New Roman"/>
          <w:b/>
          <w:sz w:val="20"/>
          <w:u w:val="single"/>
        </w:rPr>
        <w:t>Knowledge</w:t>
      </w:r>
      <w:r>
        <w:rPr>
          <w:rFonts w:ascii="Times New Roman" w:hAnsi="Times New Roman"/>
          <w:sz w:val="20"/>
        </w:rPr>
        <w:t xml:space="preserve">”), threatened to which the Company or any of its Subsidiaries is a party or to which any of the properties of the Company or any of its Subsidiaries is subject (i) other than proceedings accurately described in all material respects in the Registration Statement and the Prospectus and proceedings that would not reasonably be expected to have a material adverse effect on the Company and its Subsidiaries, taken as a whole, or on the power or ability of the Company to perform its obligations under this Agreement or to consummate the transactions contemplated by this Agreement and the Prospectus or (ii) that are required to be described in the Registration Statement or the Prospectus and are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 </w:t>
      </w:r>
    </w:p>
    <w:p>
      <w:pPr>
        <w:pStyle w:val="TextBody"/>
        <w:bidi w:val="0"/>
        <w:spacing w:before="240" w:after="0"/>
        <w:jc w:val="both"/>
        <w:rPr>
          <w:rFonts w:ascii="Times New Roman" w:hAnsi="Times New Roman"/>
          <w:sz w:val="20"/>
        </w:rPr>
      </w:pPr>
      <w:r>
        <w:rPr>
          <w:rFonts w:ascii="Times New Roman" w:hAnsi="Times New Roman"/>
          <w:sz w:val="20"/>
        </w:rPr>
        <w:t xml:space="preserve">(u) </w:t>
      </w:r>
      <w:r>
        <w:rPr>
          <w:rFonts w:ascii="Times New Roman" w:hAnsi="Times New Roman"/>
          <w:sz w:val="20"/>
          <w:u w:val="single"/>
        </w:rPr>
        <w:t>All Necessary Permits, etc</w:t>
      </w:r>
      <w:r>
        <w:rPr>
          <w:rFonts w:ascii="Times New Roman" w:hAnsi="Times New Roman"/>
          <w:sz w:val="20"/>
        </w:rPr>
        <w:t xml:space="preserve">. The Company and its Subsidiaries possess all certificates, authorizations and permits issued by the appropriate federal, state or foreign regulatory authorities necessary to conduct their respective businesses,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 except as described in the Registration Statement and Prospectus. </w:t>
      </w:r>
    </w:p>
    <w:p>
      <w:pPr>
        <w:pStyle w:val="TextBody"/>
        <w:bidi w:val="0"/>
        <w:spacing w:before="240" w:after="0"/>
        <w:jc w:val="both"/>
        <w:rPr>
          <w:rFonts w:ascii="Times New Roman" w:hAnsi="Times New Roman"/>
          <w:sz w:val="20"/>
        </w:rPr>
      </w:pPr>
      <w:r>
        <w:rPr>
          <w:rFonts w:ascii="Times New Roman" w:hAnsi="Times New Roman"/>
          <w:sz w:val="20"/>
        </w:rPr>
        <w:t xml:space="preserve">(v) </w:t>
      </w:r>
      <w:r>
        <w:rPr>
          <w:rFonts w:ascii="Times New Roman" w:hAnsi="Times New Roman"/>
          <w:sz w:val="20"/>
          <w:u w:val="single"/>
        </w:rPr>
        <w:t>Regulatory Matters</w:t>
      </w:r>
      <w:r>
        <w:rPr>
          <w:rFonts w:ascii="Times New Roman" w:hAnsi="Times New Roman"/>
          <w:sz w:val="20"/>
        </w:rPr>
        <w:t>. The Company and its Subsidiaries have operated at all times and are currently in compliance with all applicable statutes, rules, regulations and policies of the U.S. Food and Drug Administration (the “</w:t>
      </w:r>
      <w:r>
        <w:rPr>
          <w:rFonts w:ascii="Times New Roman" w:hAnsi="Times New Roman"/>
          <w:b/>
          <w:sz w:val="20"/>
          <w:u w:val="single"/>
        </w:rPr>
        <w:t>FDA</w:t>
      </w:r>
      <w:r>
        <w:rPr>
          <w:rFonts w:ascii="Times New Roman" w:hAnsi="Times New Roman"/>
          <w:sz w:val="20"/>
        </w:rPr>
        <w:t>”) and applicable foreign regulatory authorities, including the European Medicines Agency and the UK Medicines &amp; Healthcare products Regulatory Agency (collectively, the “</w:t>
      </w:r>
      <w:r>
        <w:rPr>
          <w:rFonts w:ascii="Times New Roman" w:hAnsi="Times New Roman"/>
          <w:b/>
          <w:sz w:val="20"/>
          <w:u w:val="single"/>
        </w:rPr>
        <w:t>Regulatory Authorities</w:t>
      </w:r>
      <w:r>
        <w:rPr>
          <w:rFonts w:ascii="Times New Roman" w:hAnsi="Times New Roman"/>
          <w:sz w:val="20"/>
        </w:rPr>
        <w:t xml:space="preserve">”), except where failure to be in compliance would not reasonably be expected to have a material adverse effect on the Company and its Subsidiaries, taken as a whole,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Food, Drug, and Cosmetic Act and the regulations promulgated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w:t>
            </w:r>
            <w:r>
              <w:rPr>
                <w:rFonts w:ascii="Times New Roman" w:hAnsi="Times New Roman"/>
                <w:b/>
                <w:sz w:val="20"/>
                <w:u w:val="single"/>
              </w:rPr>
              <w:t>HIPAA</w:t>
            </w:r>
            <w:r>
              <w:rPr>
                <w:rFonts w:ascii="Times New Roman" w:hAnsi="Times New Roman"/>
                <w:sz w:val="20"/>
              </w:rPr>
              <w:t xml:space="preserve">”) (42 U.S.C. Section 1320d et seq.), the exclusion laws, the statutes, regulations and directives of applicable government funded or sponsored healthcare programs, and the regulations promulgated pursuant to such statutes;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any other law or regulation the purpose of which is to protect the privacy of individuals or prescribers;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Patient Protection and Affordable Care Act of 2010, as amended by the Health Care and Education Reconciliation Act of 2010, the regulations promulgated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(v)</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U.S. Controlled Substances Act (21 U.S.C. Section 801 et seq.);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licensure, quality, safety and accreditation requirements under applicable federal, state, local or foreign laws or regulatory bodies;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all other local, state, federal, national, supranational and foreign laws, relating to the regulation of the Company or its Subsidiaries and the ownership, testing, development, manufacture, packaging, processing, use, distribution, marketing, labeling, promotion, sale, offer for sale, storage, import, export or disposal of any product under development, manufactured or distributed by the Company (clauses (i) through (vii), collectively, “</w:t>
            </w:r>
            <w:r>
              <w:rPr>
                <w:rFonts w:ascii="Times New Roman" w:hAnsi="Times New Roman"/>
                <w:b/>
                <w:sz w:val="20"/>
                <w:u w:val="single"/>
              </w:rPr>
              <w:t>Health Care Laws</w:t>
            </w:r>
            <w:r>
              <w:rPr>
                <w:rFonts w:ascii="Times New Roman" w:hAnsi="Times New Roman"/>
                <w:sz w:val="20"/>
              </w:rPr>
              <w:t xml:space="preserve">”). </w:t>
            </w:r>
          </w:p>
        </w:tc>
      </w:tr>
    </w:tbl>
    <w:p>
      <w:pPr>
        <w:pStyle w:val="TextBody"/>
        <w:bidi w:val="0"/>
        <w:spacing w:before="240" w:after="0"/>
        <w:jc w:val="both"/>
        <w:rPr>
          <w:rFonts w:ascii="Times New Roman" w:hAnsi="Times New Roman"/>
          <w:sz w:val="20"/>
        </w:rPr>
      </w:pPr>
      <w:r>
        <w:rPr>
          <w:rFonts w:ascii="Times New Roman" w:hAnsi="Times New Roman"/>
          <w:sz w:val="20"/>
        </w:rPr>
        <w:t xml:space="preserve">(w) </w:t>
      </w:r>
      <w:r>
        <w:rPr>
          <w:rFonts w:ascii="Times New Roman" w:hAnsi="Times New Roman"/>
          <w:sz w:val="20"/>
          <w:u w:val="single"/>
        </w:rPr>
        <w:t>Company Tests and Trials</w:t>
      </w:r>
      <w:r>
        <w:rPr>
          <w:rFonts w:ascii="Times New Roman" w:hAnsi="Times New Roman"/>
          <w:sz w:val="20"/>
        </w:rPr>
        <w:t xml:space="preserve">. (i) Except as would not reasonably be expected to result in a Material Adverse Change the Company and its Subsidiaries, the studies, tests and preclinical and clinical trials conducted by or, to the Knowledge of the Company, any studies tests and preclinical and clinical trials conducted on behalf of or sponsored by the Company or its Subsidiaries or in which the Company or its Subsidiaries have participated, were, and if still pending are, being conducted in accordance with standard medical and experimental protocols, procedures and controls pursuant to accepted professional scientific research standards and procedures, and all applicable Health Care Laws, rules and regulations of the Regulatory Authorities and current Good Clinical Practices and Good Laboratory Practices; (ii) the descriptions of the results of such studies and trials contained in the Registration Statement and the Prospectus are accurate and complete in all material respects and fairly present the data derived from such trials and studies; (iii) the Company has no Knowledge of any other studies or trials not described in the Registration Statement and the Prospectus, the results of which the Company reasonably believes are inconsistent with or call into question the results described or referred to in the Registration Statement and the Prospectus; (iv) the Company has provided TD Cowen with all material substantive written notices, correspondence and summaries of all other material communications provided to the Company or its Subsidiaries from the Regulatory Authorities; and (v) neither the Company nor any of its Subsidiaries have received any written notices, correspondence or other communications from any Regulatory Authority or any other governmental entity requiring or threatening the termination, modification or suspension of any studies or trials that are described in the Registration Statement and the Prospectus or the results of which are referred to in the Registration Statement and the Prospectus, and, to the Company’s Knowledge, there are no reasonable grounds for the same. </w:t>
      </w:r>
    </w:p>
    <w:p>
      <w:pPr>
        <w:pStyle w:val="TextBody"/>
        <w:bidi w:val="0"/>
        <w:spacing w:before="240" w:after="0"/>
        <w:jc w:val="both"/>
        <w:rPr>
          <w:rFonts w:ascii="Times New Roman" w:hAnsi="Times New Roman"/>
          <w:sz w:val="20"/>
        </w:rPr>
      </w:pPr>
      <w:r>
        <w:rPr>
          <w:rFonts w:ascii="Times New Roman" w:hAnsi="Times New Roman"/>
          <w:sz w:val="20"/>
        </w:rPr>
        <w:t xml:space="preserve">(x) </w:t>
      </w:r>
      <w:r>
        <w:rPr>
          <w:rFonts w:ascii="Times New Roman" w:hAnsi="Times New Roman"/>
          <w:sz w:val="20"/>
          <w:u w:val="single"/>
        </w:rPr>
        <w:t>Required Reports and Records</w:t>
      </w:r>
      <w:r>
        <w:rPr>
          <w:rFonts w:ascii="Times New Roman" w:hAnsi="Times New Roman"/>
          <w:sz w:val="20"/>
        </w:rPr>
        <w:t xml:space="preserve">. (i) the Company and its Subsidiaries have filed, obtained,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in all material respects, timely, complete, accurate and not misleading on the date filed (or were corrected or supplemented by a subsequent submission); (ii) neither the Company nor its Subsidiaries have received written notice of any claim, action, suit,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neither the Company nor its Subsidiaries are a party to any corporate integrity agreements, monitoring agreements, consent decrees, settlement orders, or similar agreements with or imposed by any Regulatory Authority or other governmental entity; and (iv) neither the Company, its Subsidiaries nor any of their respective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 </w:t>
      </w:r>
    </w:p>
    <w:p>
      <w:pPr>
        <w:pStyle w:val="TextBody"/>
        <w:bidi w:val="0"/>
        <w:spacing w:before="240" w:after="0"/>
        <w:jc w:val="both"/>
        <w:rPr>
          <w:rFonts w:ascii="Times New Roman" w:hAnsi="Times New Roman"/>
          <w:sz w:val="20"/>
        </w:rPr>
      </w:pPr>
      <w:r>
        <w:rPr>
          <w:rFonts w:ascii="Times New Roman" w:hAnsi="Times New Roman"/>
          <w:sz w:val="20"/>
        </w:rPr>
        <w:t xml:space="preserve">(y) </w:t>
      </w:r>
      <w:r>
        <w:rPr>
          <w:rFonts w:ascii="Times New Roman" w:hAnsi="Times New Roman"/>
          <w:sz w:val="20"/>
          <w:u w:val="single"/>
        </w:rPr>
        <w:t>Tax Law Compliance</w:t>
      </w:r>
      <w:r>
        <w:rPr>
          <w:rFonts w:ascii="Times New Roman" w:hAnsi="Times New Roman"/>
          <w:sz w:val="20"/>
        </w:rPr>
        <w:t xml:space="preserve">. The Company and each of its Subsidiaries have filed all federal, state, local and foreign tax returns required to be filed through the date of this Agreement or have obtained extensions thereof (except where the failure to file would not, individually or in the aggregate, reasonably be expected to have a material adverse effect) and have paid all taxes required to be paid thereon (except for cases in which the failure to file or pay would not, individually or in the aggregate, reasonably be expected to have a material adverse effect, or, except as currently being contested in good faith and for which reserves required by U.S. GAAP have been created in the financial statements of the Company), and no unpaid tax deficiency has been determined adversely to the Company or any of its Subsidiaries which has had (nor does the Company nor any of its Subsidiaries have any notice or Knowledge of any unpaid tax deficiency which could reasonably be expected to be determined adversely to the Company or its Subsidiaries) and which could reasonably be expected to have a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(z) </w:t>
      </w:r>
      <w:r>
        <w:rPr>
          <w:rFonts w:ascii="Times New Roman" w:hAnsi="Times New Roman"/>
          <w:sz w:val="20"/>
          <w:u w:val="single"/>
        </w:rPr>
        <w:t>Company Not an “Investment Company</w:t>
      </w:r>
      <w:r>
        <w:rPr>
          <w:rFonts w:ascii="Times New Roman" w:hAnsi="Times New Roman"/>
          <w:sz w:val="20"/>
        </w:rPr>
        <w:t xml:space="preserve">”. The Company is not, and after giving effect to the offering and sale of the Placement Shares and the application of the proceeds thereof as described in the Prospectus will not be, required to register as an “investment company” as such term is defined in the Investment Company Act of 1940, as amended. </w:t>
      </w:r>
    </w:p>
    <w:p>
      <w:pPr>
        <w:pStyle w:val="TextBody"/>
        <w:bidi w:val="0"/>
        <w:spacing w:before="240" w:after="0"/>
        <w:jc w:val="both"/>
        <w:rPr>
          <w:rFonts w:ascii="Times New Roman" w:hAnsi="Times New Roman"/>
          <w:sz w:val="20"/>
        </w:rPr>
      </w:pPr>
      <w:r>
        <w:rPr>
          <w:rFonts w:ascii="Times New Roman" w:hAnsi="Times New Roman"/>
          <w:sz w:val="20"/>
        </w:rPr>
        <w:t xml:space="preserve">(aa) </w:t>
      </w:r>
      <w:r>
        <w:rPr>
          <w:rFonts w:ascii="Times New Roman" w:hAnsi="Times New Roman"/>
          <w:sz w:val="20"/>
          <w:u w:val="single"/>
        </w:rPr>
        <w:t>Insurance</w:t>
      </w:r>
      <w:r>
        <w:rPr>
          <w:rFonts w:ascii="Times New Roman" w:hAnsi="Times New Roman"/>
          <w:sz w:val="20"/>
        </w:rPr>
        <w:t xml:space="preserve">. The Company and each of its Subsidiaries are insured by insurers of recognized financial responsibility against such losses and risks and in such amounts as, in the Company’s reasonable judgment,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its Subsidiaries, taken as a whole, except as described in the Registration Statement and Prospectus. </w:t>
      </w:r>
    </w:p>
    <w:p>
      <w:pPr>
        <w:pStyle w:val="TextBody"/>
        <w:bidi w:val="0"/>
        <w:spacing w:before="240" w:after="0"/>
        <w:jc w:val="both"/>
        <w:rPr>
          <w:rFonts w:ascii="Times New Roman" w:hAnsi="Times New Roman"/>
          <w:sz w:val="20"/>
        </w:rPr>
      </w:pPr>
      <w:r>
        <w:rPr>
          <w:rFonts w:ascii="Times New Roman" w:hAnsi="Times New Roman"/>
          <w:sz w:val="20"/>
        </w:rPr>
        <w:t xml:space="preserve">(bb) </w:t>
      </w:r>
      <w:r>
        <w:rPr>
          <w:rFonts w:ascii="Times New Roman" w:hAnsi="Times New Roman"/>
          <w:sz w:val="20"/>
          <w:u w:val="single"/>
        </w:rPr>
        <w:t>No Price Stabilization or Manipulation</w:t>
      </w:r>
      <w:r>
        <w:rPr>
          <w:rFonts w:ascii="Times New Roman" w:hAnsi="Times New Roman"/>
          <w:sz w:val="20"/>
        </w:rPr>
        <w:t xml:space="preserve">. The Company has not taken or will not take, directly or indirectly, any action designed to cause or result in, or which has constituted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which constitute, the stabilization or manipulation of the price of any security of the Company to facilitate the sale or resale of the Placement Shares in violation of Regulation M of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(cc) </w:t>
      </w:r>
      <w:r>
        <w:rPr>
          <w:rFonts w:ascii="Times New Roman" w:hAnsi="Times New Roman"/>
          <w:sz w:val="20"/>
          <w:u w:val="single"/>
        </w:rPr>
        <w:t>No Unlawful Contributions or Other Payments</w:t>
      </w:r>
      <w:r>
        <w:rPr>
          <w:rFonts w:ascii="Times New Roman" w:hAnsi="Times New Roman"/>
          <w:sz w:val="20"/>
        </w:rPr>
        <w:t xml:space="preserve">. (i) None of the Company or its Subsidiaries or controlled affiliates, or any director, officer, or employee of the Company nor, to the Company’s Knowledge, any agent or representative of the Company or of any of its Subsidiaries or affiliates, has taken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improperly influence official action, or to any person in violation of any applicable anti-corruption laws; (ii) the Company and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 </w:t>
      </w:r>
    </w:p>
    <w:p>
      <w:pPr>
        <w:pStyle w:val="TextBody"/>
        <w:bidi w:val="0"/>
        <w:spacing w:before="240" w:after="0"/>
        <w:jc w:val="both"/>
        <w:rPr>
          <w:rFonts w:ascii="Times New Roman" w:hAnsi="Times New Roman"/>
          <w:sz w:val="20"/>
        </w:rPr>
      </w:pPr>
      <w:r>
        <w:rPr>
          <w:rFonts w:ascii="Times New Roman" w:hAnsi="Times New Roman"/>
          <w:sz w:val="20"/>
        </w:rPr>
        <w:t xml:space="preserve">(dd) </w:t>
      </w:r>
      <w:r>
        <w:rPr>
          <w:rFonts w:ascii="Times New Roman" w:hAnsi="Times New Roman"/>
          <w:sz w:val="20"/>
          <w:u w:val="single"/>
        </w:rPr>
        <w:t>Compliance with Money Laundering Laws</w:t>
      </w:r>
      <w:r>
        <w:rPr>
          <w:rFonts w:ascii="Times New Roman" w:hAnsi="Times New Roman"/>
          <w:sz w:val="20"/>
        </w:rPr>
        <w:t>. 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u w:val="single"/>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spacing w:before="240" w:after="0"/>
        <w:jc w:val="both"/>
        <w:rPr>
          <w:rFonts w:ascii="Times New Roman" w:hAnsi="Times New Roman"/>
          <w:sz w:val="20"/>
        </w:rPr>
      </w:pPr>
      <w:r>
        <w:rPr>
          <w:rFonts w:ascii="Times New Roman" w:hAnsi="Times New Roman"/>
          <w:sz w:val="20"/>
        </w:rPr>
        <w:t xml:space="preserve">(ee) </w:t>
      </w:r>
      <w:r>
        <w:rPr>
          <w:rFonts w:ascii="Times New Roman" w:hAnsi="Times New Roman"/>
          <w:sz w:val="20"/>
          <w:u w:val="single"/>
        </w:rPr>
        <w:t>Compliance with OFAC</w:t>
      </w:r>
      <w:r>
        <w:rPr>
          <w:rFonts w:ascii="Times New Roman" w:hAnsi="Times New Roman"/>
          <w:sz w:val="20"/>
        </w:rPr>
        <w:t>. (i) None of the Company, any of its Subsidiaries, or any director, officer, or employee thereof, or, to the Company’s Knowledge, any agent, controlled affiliate or representative of the Company or any of its Subsidiaries, is an individual or entity (“</w:t>
      </w:r>
      <w:r>
        <w:rPr>
          <w:rFonts w:ascii="Times New Roman" w:hAnsi="Times New Roman"/>
          <w:b/>
          <w:sz w:val="20"/>
          <w:u w:val="single"/>
        </w:rPr>
        <w:t>Person</w:t>
      </w:r>
      <w:r>
        <w:rPr>
          <w:rFonts w:ascii="Times New Roman" w:hAnsi="Times New Roman"/>
          <w:sz w:val="20"/>
        </w:rPr>
        <w:t xml:space="preserve">”) that is, or is owned or controlled by one or more Persons that are: </w:t>
      </w:r>
    </w:p>
    <w:p>
      <w:pPr>
        <w:pStyle w:val="TextBody"/>
        <w:bidi w:val="0"/>
        <w:spacing w:before="120" w:after="0"/>
        <w:jc w:val="both"/>
        <w:rPr>
          <w:rFonts w:ascii="Times New Roman" w:hAnsi="Times New Roman"/>
          <w:sz w:val="20"/>
        </w:rPr>
      </w:pPr>
      <w:r>
        <w:rPr>
          <w:rFonts w:ascii="Times New Roman" w:hAnsi="Times New Roman"/>
          <w:sz w:val="20"/>
        </w:rPr>
        <w:t>(A) the subject or target of any economic, financial or trade sanctions administered or enforced by the United States Government, including, without limitation, the U.S. Department of Treasury’s Office of Foreign Assets Control, the United Nations Security Council, the European Union, His Majesty’s Treasury, the Swiss Secretariat of Economic Affairs, or other relevant sanctions authority (collectively, “</w:t>
      </w:r>
      <w:r>
        <w:rPr>
          <w:rFonts w:ascii="Times New Roman" w:hAnsi="Times New Roman"/>
          <w:b/>
          <w:sz w:val="20"/>
          <w:u w:val="single"/>
        </w:rPr>
        <w:t>Sanctions</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located, organized or resident in a country or territory that is the subject of Sanctions (including, without limitation, the so-called Donetsk People’s Republic, the so-called Luhansk People’s Republic, the Crimea Region of Ukraine, the non-government controlled areas of the Zaporizhzhia and Kherson Regions, Cuba, Iran, North Korea and Syria). </w:t>
      </w:r>
    </w:p>
    <w:p>
      <w:pPr>
        <w:pStyle w:val="TextBody"/>
        <w:bidi w:val="0"/>
        <w:spacing w:before="240" w:after="0"/>
        <w:jc w:val="both"/>
        <w:rPr>
          <w:rFonts w:ascii="Times New Roman" w:hAnsi="Times New Roman"/>
          <w:sz w:val="20"/>
        </w:rPr>
      </w:pPr>
      <w:r>
        <w:rPr>
          <w:rFonts w:ascii="Times New Roman" w:hAnsi="Times New Roman"/>
          <w:sz w:val="20"/>
        </w:rPr>
        <w:t xml:space="preserve">(ii) The Company will not, directly or indirectly, use the proceeds of the offering, or lend, contribute or otherwise make available such proceeds to any Subsidiary, joint venture partner or other Person: </w:t>
      </w:r>
    </w:p>
    <w:p>
      <w:pPr>
        <w:pStyle w:val="TextBody"/>
        <w:bidi w:val="0"/>
        <w:spacing w:before="120" w:after="0"/>
        <w:jc w:val="both"/>
        <w:rPr>
          <w:rFonts w:ascii="Times New Roman" w:hAnsi="Times New Roman"/>
          <w:sz w:val="20"/>
        </w:rPr>
      </w:pPr>
      <w:r>
        <w:rPr>
          <w:rFonts w:ascii="Times New Roman" w:hAnsi="Times New Roman"/>
          <w:sz w:val="20"/>
        </w:rPr>
        <w:t xml:space="preserve">(A) to fund or facilitate any activities of or business (i) with any Person or in any country or territory that, at the time of such funding or facilitation, is a designated target of Sanctions, (ii) in or involving a country or territory which at the time of such funding is the subject of comprehensive country-wide or territory-wide Sanctions, other than Cuba or Iran; or </w:t>
      </w:r>
    </w:p>
    <w:p>
      <w:pPr>
        <w:pStyle w:val="TextBody"/>
        <w:bidi w:val="0"/>
        <w:spacing w:before="120" w:after="0"/>
        <w:jc w:val="both"/>
        <w:rPr>
          <w:rFonts w:ascii="Times New Roman" w:hAnsi="Times New Roman"/>
          <w:sz w:val="20"/>
        </w:rPr>
      </w:pPr>
      <w:r>
        <w:rPr>
          <w:rFonts w:ascii="Times New Roman" w:hAnsi="Times New Roman"/>
          <w:sz w:val="20"/>
        </w:rPr>
        <w:t xml:space="preserve">(B) in any other manner that will result in a violation of Sanctions by any Person (including any Person participating in the offering, whether as underwriter, advisor, investor or otherwise). </w:t>
      </w:r>
    </w:p>
    <w:p>
      <w:pPr>
        <w:pStyle w:val="TextBody"/>
        <w:bidi w:val="0"/>
        <w:spacing w:before="240" w:after="0"/>
        <w:jc w:val="both"/>
        <w:rPr>
          <w:rFonts w:ascii="Times New Roman" w:hAnsi="Times New Roman"/>
          <w:sz w:val="20"/>
        </w:rPr>
      </w:pPr>
      <w:r>
        <w:rPr>
          <w:rFonts w:ascii="Times New Roman" w:hAnsi="Times New Roman"/>
          <w:sz w:val="20"/>
        </w:rPr>
        <w:t xml:space="preserve">(iii) The Company represents and covenants that, regardless of Sanctions, it will not, directly or indirectly, use the proceeds of the transaction, or lend, contribute or otherwise make available such proceeds to any Subsidiary, joint venture partner or other Person, to fund any activities of or business in or involving Cuba or Iran. </w:t>
      </w:r>
    </w:p>
    <w:p>
      <w:pPr>
        <w:pStyle w:val="TextBody"/>
        <w:bidi w:val="0"/>
        <w:spacing w:before="240" w:after="0"/>
        <w:jc w:val="both"/>
        <w:rPr>
          <w:rFonts w:ascii="Times New Roman" w:hAnsi="Times New Roman"/>
          <w:sz w:val="20"/>
        </w:rPr>
      </w:pPr>
      <w:r>
        <w:rPr>
          <w:rFonts w:ascii="Times New Roman" w:hAnsi="Times New Roman"/>
          <w:sz w:val="20"/>
        </w:rPr>
        <w:t xml:space="preserve">(iv) Since April 24, 2019, the Company and its Subsidiaries have not knowingly engaged in, are not now knowingly engaged in, and will not knowingly engage in, any dealings or transactions with any Person, or in any country or territory, that at the time of the dealing or transaction is or was the subject of Sanctions. </w:t>
      </w:r>
    </w:p>
    <w:p>
      <w:pPr>
        <w:pStyle w:val="TextBody"/>
        <w:bidi w:val="0"/>
        <w:spacing w:before="240" w:after="0"/>
        <w:jc w:val="both"/>
        <w:rPr>
          <w:rFonts w:ascii="Times New Roman" w:hAnsi="Times New Roman"/>
          <w:sz w:val="20"/>
        </w:rPr>
      </w:pPr>
      <w:r>
        <w:rPr>
          <w:rFonts w:ascii="Times New Roman" w:hAnsi="Times New Roman"/>
          <w:sz w:val="20"/>
        </w:rPr>
        <w:t xml:space="preserve">(ff) </w:t>
      </w:r>
      <w:r>
        <w:rPr>
          <w:rFonts w:ascii="Times New Roman" w:hAnsi="Times New Roman"/>
          <w:sz w:val="20"/>
          <w:u w:val="single"/>
        </w:rPr>
        <w:t>Company’s Accounting System</w:t>
      </w:r>
      <w:r>
        <w:rPr>
          <w:rFonts w:ascii="Times New Roman" w:hAnsi="Times New Roman"/>
          <w:sz w:val="20"/>
        </w:rPr>
        <w:t xml:space="preserve">.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Except as described in the Registration Statement and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(gg) </w:t>
      </w:r>
      <w:r>
        <w:rPr>
          <w:rFonts w:ascii="Times New Roman" w:hAnsi="Times New Roman"/>
          <w:sz w:val="20"/>
          <w:u w:val="single"/>
        </w:rPr>
        <w:t>Disclosure Controls</w:t>
      </w:r>
      <w:r>
        <w:rPr>
          <w:rFonts w:ascii="Times New Roman" w:hAnsi="Times New Roman"/>
          <w:sz w:val="20"/>
        </w:rPr>
        <w:t xml:space="preserve">. The Company maintains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 and such disclosure controls and procedures were effective as of the end of the Company’s most recently completed fiscal quarter. </w:t>
      </w:r>
    </w:p>
    <w:p>
      <w:pPr>
        <w:pStyle w:val="TextBody"/>
        <w:bidi w:val="0"/>
        <w:spacing w:before="240" w:after="0"/>
        <w:jc w:val="both"/>
        <w:rPr>
          <w:rFonts w:ascii="Times New Roman" w:hAnsi="Times New Roman"/>
          <w:sz w:val="20"/>
        </w:rPr>
      </w:pPr>
      <w:r>
        <w:rPr>
          <w:rFonts w:ascii="Times New Roman" w:hAnsi="Times New Roman"/>
          <w:sz w:val="20"/>
        </w:rPr>
        <w:t xml:space="preserve">(hh) </w:t>
      </w:r>
      <w:r>
        <w:rPr>
          <w:rFonts w:ascii="Times New Roman" w:hAnsi="Times New Roman"/>
          <w:sz w:val="20"/>
          <w:u w:val="single"/>
        </w:rPr>
        <w:t>Compliance with Environmental Laws</w:t>
      </w:r>
      <w:r>
        <w:rPr>
          <w:rFonts w:ascii="Times New Roman" w:hAnsi="Times New Roman"/>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u w:val="single"/>
        </w:rPr>
        <w:t>Environmental Laws</w:t>
      </w:r>
      <w:r>
        <w:rPr>
          <w:rFonts w:ascii="Times New Roman" w:hAnsi="Times New Roman"/>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 </w:t>
      </w:r>
    </w:p>
    <w:p>
      <w:pPr>
        <w:pStyle w:val="TextBody"/>
        <w:bidi w:val="0"/>
        <w:spacing w:before="240" w:after="0"/>
        <w:jc w:val="both"/>
        <w:rPr>
          <w:rFonts w:ascii="Times New Roman" w:hAnsi="Times New Roman"/>
          <w:sz w:val="20"/>
        </w:rPr>
      </w:pPr>
      <w:r>
        <w:rPr>
          <w:rFonts w:ascii="Times New Roman" w:hAnsi="Times New Roman"/>
          <w:sz w:val="20"/>
        </w:rPr>
        <w:t xml:space="preserve">(ii) </w:t>
      </w:r>
      <w:r>
        <w:rPr>
          <w:rFonts w:ascii="Times New Roman" w:hAnsi="Times New Roman"/>
          <w:sz w:val="20"/>
          <w:u w:val="single"/>
        </w:rPr>
        <w:t>Intellectual Property</w:t>
      </w:r>
      <w:r>
        <w:rPr>
          <w:rFonts w:ascii="Times New Roman" w:hAnsi="Times New Roman"/>
          <w:sz w:val="20"/>
        </w:rPr>
        <w:t>. Except as would not reasonably be expected to have a material adverse effect, the Company and its Subsidiaries own or possess or have the right to use, or can acquire on commercially reasonable terms, adequate rights to use all material patents, patent rights, licenses, inventions, copyrights, know-how (including trade secrets and other unpatented and/or unpatentable proprietary or confidential information, systems or procedures), trademarks, service marks and trade names, domain names and other source indicators, and other intellectual property and similar rights, including registrations and applications for registration thereof (collectively “</w:t>
      </w:r>
      <w:r>
        <w:rPr>
          <w:rFonts w:ascii="Times New Roman" w:hAnsi="Times New Roman"/>
          <w:b/>
          <w:sz w:val="20"/>
          <w:u w:val="single"/>
        </w:rPr>
        <w:t>Intellectual Property Rights</w:t>
      </w:r>
      <w:r>
        <w:rPr>
          <w:rFonts w:ascii="Times New Roman" w:hAnsi="Times New Roman"/>
          <w:sz w:val="20"/>
        </w:rPr>
        <w:t xml:space="preserve">”) necessary to the conduct of the business as described in the Registration Statement and the Prospectus, now operated or currently contemplated to be conducted by them. Each material application or registration owned by or exclusively licensed to the Company or its Subsidiaries is being diligently prosecuted, and all other material Intellectual Property Rights owned by or exclusively licensed to the Company or its Subsidiaries is being diligently maintained. Except as described in the Registration Statement or the Prospectus, to the Company’s Knowledge, neither the Company nor any of its Subsidiaries has infringed, misappropriated, or otherwise violated the Intellectual Property Rights of any third party in any material respect, and neither the manufacture of, nor the use or sale of, any of the Company’s or any of its Subsidiaries’ products or contemplated products would infringe or otherwise violate the Intellectual Property Rights of any third party in any material respect. Except as disclosed in the Registration Statement or the Prospectus, or except as would not, individually or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aggregate, have a material adverse effect on the Company or any of its Subsidiaries, (i) to the Company’s Knowledge, there are no rights of third parties to any of the Intellectual Property Rights owned or purported to be owned by the Company or its Subsidiaries except for rights explicitly granted to third parties through licenses granted by the Company, (ii) to the Company’s Knowledge, there is no material infringement, misappropriation, breach, default or other violation, or the occurrence of any event that with notice or the passage of time would constitute any of the foregoing, by any third party of any of the Intellectual Property Rights of the Company or any of its Subsidiaries, (iii) none of the Intellectual Property Rights used or held for use by the Company or any of its Subsidiaries has been obtained or is being used or held for use by the Company or any of its Subsidiaries in material violation of any contractual obligation binding on the Company or any of its Subsidiaries or, to the Company’s Knowledge, in violation of any rights of any third party, (iv) the Company and its Subsidiaries have taken reasonable steps in accordance with normal industry practice to maintain the confidentiality of all Intellectual Property Rights the value of which to the Company or any Subsidiary is contingent upon maintaining the confidentiality thereof, (v) to the Company’s Knowledge, all Intellectual Property Rights owned by or exclusively licensed to the Company or any of its Subsidiaries are valid and enforceable, and (vi) there is no pending or, to the Company’s Knowledge, threatened action, suit, proceeding or claim by any third party (A) challenging the Company’s or any of its Subsidiaries’ rights in or to, or alleging the violation of any of the terms of, any of the Company’s or its Subsidiaries’ Intellectual Property Rights, (B) challenging the validity, enforceability or scope of any Intellectual Property Rights owned by or exclusively licensed to the Company or any of its Subsidiaries, or (C) alleging that the Company or any of its Subsidiaries has infringed, misappropriated or otherwise violated or conflicted with any Intellectual Property Rights of any third party, and in the case of each of clauses (A), (B) and (C) above, the Company is unaware of any fact which would form a reasonable basis for any such action, suit, proceeding or claim. </w:t>
      </w:r>
    </w:p>
    <w:p>
      <w:pPr>
        <w:pStyle w:val="TextBody"/>
        <w:bidi w:val="0"/>
        <w:spacing w:before="240" w:after="0"/>
        <w:jc w:val="both"/>
        <w:rPr>
          <w:rFonts w:ascii="Times New Roman" w:hAnsi="Times New Roman"/>
          <w:sz w:val="20"/>
        </w:rPr>
      </w:pPr>
      <w:r>
        <w:rPr>
          <w:rFonts w:ascii="Times New Roman" w:hAnsi="Times New Roman"/>
          <w:sz w:val="20"/>
        </w:rPr>
        <w:t xml:space="preserve">(jj) </w:t>
      </w:r>
      <w:r>
        <w:rPr>
          <w:rFonts w:ascii="Times New Roman" w:hAnsi="Times New Roman"/>
          <w:sz w:val="20"/>
          <w:u w:val="single"/>
        </w:rPr>
        <w:t>Listing</w:t>
      </w:r>
      <w:r>
        <w:rPr>
          <w:rFonts w:ascii="Times New Roman" w:hAnsi="Times New Roman"/>
          <w:sz w:val="20"/>
        </w:rPr>
        <w:t xml:space="preserve">. The Company is subject to and in compliance in all material respects with the reporting requirements of Section 13 or Section 15(d) of the Exchange Act. The Common Stock is registered pursuant to Section 12(b) or Section 12(g) of the Exchange Act and is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All of the Placement Shares that have been or may be sold under this Agreement have been approved for listing on Nasdaq, subject to official notice of issuance; the Company has taken all necessary actions to ensure that, upon and at all times after Nasdaq shall have approved the Placement Shares for listing, it will be in compliance with all applicable corporate governance requirements set forth in Nasdaq’s listing rules that are then in effect. </w:t>
      </w:r>
    </w:p>
    <w:p>
      <w:pPr>
        <w:pStyle w:val="TextBody"/>
        <w:bidi w:val="0"/>
        <w:spacing w:before="240" w:after="0"/>
        <w:jc w:val="both"/>
        <w:rPr>
          <w:rFonts w:ascii="Times New Roman" w:hAnsi="Times New Roman"/>
          <w:sz w:val="20"/>
        </w:rPr>
      </w:pPr>
      <w:r>
        <w:rPr>
          <w:rFonts w:ascii="Times New Roman" w:hAnsi="Times New Roman"/>
          <w:sz w:val="20"/>
        </w:rPr>
        <w:t xml:space="preserve">(kk) </w:t>
      </w:r>
      <w:r>
        <w:rPr>
          <w:rFonts w:ascii="Times New Roman" w:hAnsi="Times New Roman"/>
          <w:sz w:val="20"/>
          <w:u w:val="single"/>
        </w:rPr>
        <w:t>Brokers</w:t>
      </w:r>
      <w:r>
        <w:rPr>
          <w:rFonts w:ascii="Times New Roman" w:hAnsi="Times New Roman"/>
          <w:sz w:val="20"/>
        </w:rPr>
        <w:t xml:space="preserve">. Except for TD Cowen, there is no broker, finder or other party that is entitled to receive from the Company any brokerage or finder’s fee or other fee or commission as a result of any transactions contemplated by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(ll) </w:t>
      </w:r>
      <w:r>
        <w:rPr>
          <w:rFonts w:ascii="Times New Roman" w:hAnsi="Times New Roman"/>
          <w:sz w:val="20"/>
          <w:u w:val="single"/>
        </w:rPr>
        <w:t>No Outstanding Loans or Other Indebtedness</w:t>
      </w:r>
      <w:r>
        <w:rPr>
          <w:rFonts w:ascii="Times New Roman" w:hAnsi="Times New Roman"/>
          <w:sz w:val="20"/>
        </w:rPr>
        <w:t xml:space="preserve">. Except as described in the Prospectus, there are no outstanding loans, advances (except normal advances for business expenses in the ordinary course of business) or guarantees or indebtedness by the Company 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 the benefit of any of the officers or directors of the Company or any of the members of any of them. </w:t>
      </w:r>
    </w:p>
    <w:p>
      <w:pPr>
        <w:pStyle w:val="TextBody"/>
        <w:bidi w:val="0"/>
        <w:spacing w:before="240" w:after="0"/>
        <w:jc w:val="both"/>
        <w:rPr>
          <w:rFonts w:ascii="Times New Roman" w:hAnsi="Times New Roman"/>
          <w:sz w:val="20"/>
        </w:rPr>
      </w:pPr>
      <w:r>
        <w:rPr>
          <w:rFonts w:ascii="Times New Roman" w:hAnsi="Times New Roman"/>
          <w:sz w:val="20"/>
        </w:rPr>
        <w:t xml:space="preserve">(mm) </w:t>
      </w:r>
      <w:r>
        <w:rPr>
          <w:rFonts w:ascii="Times New Roman" w:hAnsi="Times New Roman"/>
          <w:sz w:val="20"/>
          <w:u w:val="single"/>
        </w:rPr>
        <w:t>No Reliance</w:t>
      </w:r>
      <w:r>
        <w:rPr>
          <w:rFonts w:ascii="Times New Roman" w:hAnsi="Times New Roman"/>
          <w:sz w:val="20"/>
        </w:rPr>
        <w:t xml:space="preserve">. The Company has not relied upon TD Cowen or legal counsel for TD Cowen for any legal, tax or accounting advice in connection with the offering and sale of the Placement Shares. </w:t>
      </w:r>
    </w:p>
    <w:p>
      <w:pPr>
        <w:pStyle w:val="TextBody"/>
        <w:bidi w:val="0"/>
        <w:spacing w:before="240" w:after="0"/>
        <w:jc w:val="both"/>
        <w:rPr>
          <w:rFonts w:ascii="Times New Roman" w:hAnsi="Times New Roman"/>
          <w:sz w:val="20"/>
        </w:rPr>
      </w:pPr>
      <w:r>
        <w:rPr>
          <w:rFonts w:ascii="Times New Roman" w:hAnsi="Times New Roman"/>
          <w:sz w:val="20"/>
        </w:rPr>
        <w:t xml:space="preserve">(nn) </w:t>
      </w:r>
      <w:r>
        <w:rPr>
          <w:rFonts w:ascii="Times New Roman" w:hAnsi="Times New Roman"/>
          <w:sz w:val="20"/>
          <w:u w:val="single"/>
        </w:rPr>
        <w:t>Lending Relationship</w:t>
      </w:r>
      <w:r>
        <w:rPr>
          <w:rFonts w:ascii="Times New Roman" w:hAnsi="Times New Roman"/>
          <w:sz w:val="20"/>
        </w:rPr>
        <w:t xml:space="preserve">. The Company does not intend to use any of the proceeds from the sale of the Placement Shares to repay any outstanding debt owed to TD Cowen or any affiliate of TD Cowen. </w:t>
      </w:r>
    </w:p>
    <w:p>
      <w:pPr>
        <w:pStyle w:val="TextBody"/>
        <w:bidi w:val="0"/>
        <w:spacing w:before="240" w:after="0"/>
        <w:jc w:val="both"/>
        <w:rPr>
          <w:rFonts w:ascii="Times New Roman" w:hAnsi="Times New Roman"/>
          <w:sz w:val="20"/>
        </w:rPr>
      </w:pPr>
      <w:r>
        <w:rPr>
          <w:rFonts w:ascii="Times New Roman" w:hAnsi="Times New Roman"/>
          <w:sz w:val="20"/>
        </w:rPr>
        <w:t xml:space="preserve">(oo) </w:t>
      </w:r>
      <w:r>
        <w:rPr>
          <w:rFonts w:ascii="Times New Roman" w:hAnsi="Times New Roman"/>
          <w:sz w:val="20"/>
          <w:u w:val="single"/>
        </w:rPr>
        <w:t>FINRA Exemption</w:t>
      </w:r>
      <w:r>
        <w:rPr>
          <w:rFonts w:ascii="Times New Roman" w:hAnsi="Times New Roman"/>
          <w:sz w:val="20"/>
        </w:rPr>
        <w:t>. As of the date hereof, the Company qualifies as an “experienced issuer” (within the meaning of the Financial Industry Regulatory Authority (“</w:t>
      </w:r>
      <w:r>
        <w:rPr>
          <w:rFonts w:ascii="Times New Roman" w:hAnsi="Times New Roman"/>
          <w:b/>
          <w:sz w:val="20"/>
          <w:u w:val="single"/>
        </w:rPr>
        <w:t>FINRA</w:t>
      </w:r>
      <w:r>
        <w:rPr>
          <w:rFonts w:ascii="Times New Roman" w:hAnsi="Times New Roman"/>
          <w:sz w:val="20"/>
        </w:rPr>
        <w:t xml:space="preserve">”) Rule 5110(j)(6)) for purposes of the exemption from filing under FINRA Rule 5110(h)(1)(C). </w:t>
      </w:r>
    </w:p>
    <w:p>
      <w:pPr>
        <w:pStyle w:val="TextBody"/>
        <w:bidi w:val="0"/>
        <w:spacing w:before="240" w:after="0"/>
        <w:jc w:val="both"/>
        <w:rPr>
          <w:rFonts w:ascii="Times New Roman" w:hAnsi="Times New Roman"/>
          <w:sz w:val="20"/>
        </w:rPr>
      </w:pPr>
      <w:r>
        <w:rPr>
          <w:rFonts w:ascii="Times New Roman" w:hAnsi="Times New Roman"/>
          <w:sz w:val="20"/>
        </w:rPr>
        <w:t xml:space="preserve">(pp) </w:t>
      </w:r>
      <w:r>
        <w:rPr>
          <w:rFonts w:ascii="Times New Roman" w:hAnsi="Times New Roman"/>
          <w:sz w:val="20"/>
          <w:u w:val="single"/>
        </w:rPr>
        <w:t>Compliance with Laws</w:t>
      </w:r>
      <w:r>
        <w:rPr>
          <w:rFonts w:ascii="Times New Roman" w:hAnsi="Times New Roman"/>
          <w:sz w:val="20"/>
        </w:rPr>
        <w:t xml:space="preserve">.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 </w:t>
      </w:r>
    </w:p>
    <w:p>
      <w:pPr>
        <w:pStyle w:val="TextBody"/>
        <w:bidi w:val="0"/>
        <w:spacing w:before="240" w:after="0"/>
        <w:jc w:val="both"/>
        <w:rPr>
          <w:rFonts w:ascii="Times New Roman" w:hAnsi="Times New Roman"/>
          <w:sz w:val="20"/>
        </w:rPr>
      </w:pPr>
      <w:r>
        <w:rPr>
          <w:rFonts w:ascii="Times New Roman" w:hAnsi="Times New Roman"/>
          <w:sz w:val="20"/>
        </w:rPr>
        <w:t xml:space="preserve">(qq) </w:t>
      </w:r>
      <w:r>
        <w:rPr>
          <w:rFonts w:ascii="Times New Roman" w:hAnsi="Times New Roman"/>
          <w:sz w:val="20"/>
          <w:u w:val="single"/>
        </w:rPr>
        <w:t>Privacy Laws</w:t>
      </w:r>
      <w:r>
        <w:rPr>
          <w:rFonts w:ascii="Times New Roman" w:hAnsi="Times New Roman"/>
          <w:sz w:val="20"/>
        </w:rPr>
        <w:t>. (i) Except as would not reasonably be expected to have a material adverse effect on the Company and its Subsidiaries, taken as a whole, the Company and each of its Subsidiaries have complied and are presently in compliance with all applicable internal and external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disclosure or other processing by the Company or any of its Subsidiaries of personal, personally identifiable, household, sensitive, confidential or regulated data or information (“</w:t>
      </w:r>
      <w:r>
        <w:rPr>
          <w:rFonts w:ascii="Times New Roman" w:hAnsi="Times New Roman"/>
          <w:b/>
          <w:sz w:val="20"/>
          <w:u w:val="single"/>
        </w:rPr>
        <w:t>Data Security Obligations</w:t>
      </w:r>
      <w:r>
        <w:rPr>
          <w:rFonts w:ascii="Times New Roman" w:hAnsi="Times New Roman"/>
          <w:sz w:val="20"/>
        </w:rPr>
        <w:t>”, and such data, “</w:t>
      </w:r>
      <w:r>
        <w:rPr>
          <w:rFonts w:ascii="Times New Roman" w:hAnsi="Times New Roman"/>
          <w:b/>
          <w:sz w:val="20"/>
          <w:u w:val="single"/>
        </w:rPr>
        <w:t>Personal Data</w:t>
      </w:r>
      <w:r>
        <w:rPr>
          <w:rFonts w:ascii="Times New Roman" w:hAnsi="Times New Roman"/>
          <w:sz w:val="20"/>
        </w:rPr>
        <w:t xml:space="preserve">”); (ii) the Company and its Subsidiaries have not received any written notification or complaint alleging any material non-compliance by the Company, any of its Subsidiaries or third parties acting on the Company’s or its Subsidiaries’ behalf with any Data Security Obligation; and (iii) there is no action, suit or proceeding by or before any court or governmental agency, authority or body pending or, to the Company’s Knowledge, threatened, alleging non-compliance by the Company, any of its Subsidiaries or third parties acting on the Company’s or its Subsidiaries’ behalf with any Data Security Obligation. </w:t>
      </w:r>
    </w:p>
    <w:p>
      <w:pPr>
        <w:pStyle w:val="TextBody"/>
        <w:bidi w:val="0"/>
        <w:spacing w:before="240" w:after="0"/>
        <w:jc w:val="both"/>
        <w:rPr>
          <w:rFonts w:ascii="Times New Roman" w:hAnsi="Times New Roman"/>
          <w:sz w:val="20"/>
        </w:rPr>
      </w:pPr>
      <w:r>
        <w:rPr>
          <w:rFonts w:ascii="Times New Roman" w:hAnsi="Times New Roman"/>
          <w:sz w:val="20"/>
        </w:rPr>
        <w:t xml:space="preserve">(rr) </w:t>
      </w:r>
      <w:r>
        <w:rPr>
          <w:rFonts w:ascii="Times New Roman" w:hAnsi="Times New Roman"/>
          <w:sz w:val="20"/>
          <w:u w:val="single"/>
        </w:rPr>
        <w:t>IT Systems</w:t>
      </w:r>
      <w:r>
        <w:rPr>
          <w:rFonts w:ascii="Times New Roman" w:hAnsi="Times New Roman"/>
          <w:sz w:val="20"/>
        </w:rPr>
        <w:t xml:space="preserve">. Except as would not reasonably be expected to have a material adverse effect on the Company and its Subsidiaries, taken as a whole, (i) the Company and each of its Subsidiaries have implemented appropriate technical and organizational measures designed to protect the information technology systems and Personal Data used in connection with the Company’s and its Subsidiaries’ businesses, including having established, maintained, implemented and complied with reasonable information technology, information security, cybersecurity and data protection controls, policies and procedures that are designed to protect against and prevent breach, destruction, loss, unauthorized distribution, use, access, disablement, misappropriation or modification, or other compromise or misuse of any information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system or Personal Data in the possession or control of the Company or its Subsidiaries and used in connection with the operation of the Company’s and its Subsidiaries’ businesses (“</w:t>
      </w:r>
      <w:r>
        <w:rPr>
          <w:rFonts w:ascii="Times New Roman" w:hAnsi="Times New Roman"/>
          <w:b/>
          <w:sz w:val="20"/>
        </w:rPr>
        <w:t>Breach</w:t>
      </w:r>
      <w:r>
        <w:rPr>
          <w:rFonts w:ascii="Times New Roman" w:hAnsi="Times New Roman"/>
          <w:sz w:val="20"/>
        </w:rPr>
        <w:t xml:space="preserve">”); and (ii) to the Company’s Knowledge, there has been no such Breach and the Company and its Subsidiaries have not been notified in writing of any such Breach. </w:t>
      </w:r>
    </w:p>
    <w:p>
      <w:pPr>
        <w:pStyle w:val="TextBody"/>
        <w:bidi w:val="0"/>
        <w:spacing w:before="240" w:after="0"/>
        <w:jc w:val="both"/>
        <w:rPr>
          <w:rFonts w:ascii="Times New Roman" w:hAnsi="Times New Roman"/>
          <w:sz w:val="20"/>
        </w:rPr>
      </w:pPr>
      <w:r>
        <w:rPr>
          <w:rFonts w:ascii="Times New Roman" w:hAnsi="Times New Roman"/>
          <w:sz w:val="20"/>
        </w:rPr>
        <w:t xml:space="preserve">(ss) </w:t>
      </w:r>
      <w:r>
        <w:rPr>
          <w:rFonts w:ascii="Times New Roman" w:hAnsi="Times New Roman"/>
          <w:sz w:val="20"/>
          <w:u w:val="single"/>
        </w:rPr>
        <w:t>Export and Import Laws</w:t>
      </w:r>
      <w:r>
        <w:rPr>
          <w:rFonts w:ascii="Times New Roman" w:hAnsi="Times New Roman"/>
          <w:sz w:val="20"/>
        </w:rPr>
        <w:t>. Each of the Company and the Subsidiaries, and, to the Company’s Knowledge, each of their affiliates and any director, officer, agent or employee of, or other person associated with or acting on behalf of, the Company has acted at all times in compliance, in all material respects, with applicable Export and Import Laws (as defined below) and there are no material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hAnsi="Times New Roman"/>
          <w:b/>
          <w:sz w:val="20"/>
          <w:u w:val="single"/>
        </w:rPr>
        <w:t>Export and Import Laws</w:t>
      </w:r>
      <w:r>
        <w:rPr>
          <w:rFonts w:ascii="Times New Roman" w:hAnsi="Times New Roman"/>
          <w:sz w:val="20"/>
        </w:rPr>
        <w:t xml:space="preserve">”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 </w:t>
      </w:r>
    </w:p>
    <w:p>
      <w:pPr>
        <w:pStyle w:val="TextBody"/>
        <w:bidi w:val="0"/>
        <w:spacing w:before="240" w:after="0"/>
        <w:jc w:val="both"/>
        <w:rPr>
          <w:rFonts w:ascii="Times New Roman" w:hAnsi="Times New Roman"/>
          <w:sz w:val="20"/>
        </w:rPr>
      </w:pPr>
      <w:r>
        <w:rPr>
          <w:rFonts w:ascii="Times New Roman" w:hAnsi="Times New Roman"/>
          <w:sz w:val="20"/>
        </w:rPr>
        <w:t xml:space="preserve">(tt) </w:t>
      </w:r>
      <w:r>
        <w:rPr>
          <w:rFonts w:ascii="Times New Roman" w:hAnsi="Times New Roman"/>
          <w:sz w:val="20"/>
          <w:u w:val="single"/>
        </w:rPr>
        <w:t>Other At The Market Sales Agreements</w:t>
      </w:r>
      <w:r>
        <w:rPr>
          <w:rFonts w:ascii="Times New Roman" w:hAnsi="Times New Roman"/>
          <w:sz w:val="20"/>
        </w:rPr>
        <w:t xml:space="preserve">. The Company is not a party to any agreement with an agent or underwriter for any other “at the market” offering. </w:t>
      </w:r>
    </w:p>
    <w:p>
      <w:pPr>
        <w:pStyle w:val="TextBody"/>
        <w:bidi w:val="0"/>
        <w:spacing w:before="240" w:after="0"/>
        <w:jc w:val="both"/>
        <w:rPr>
          <w:rFonts w:ascii="Times New Roman" w:hAnsi="Times New Roman"/>
          <w:sz w:val="20"/>
        </w:rPr>
      </w:pPr>
      <w:r>
        <w:rPr>
          <w:rFonts w:ascii="Times New Roman" w:hAnsi="Times New Roman"/>
          <w:sz w:val="20"/>
        </w:rPr>
        <w:t xml:space="preserve">(uu) </w:t>
      </w:r>
      <w:r>
        <w:rPr>
          <w:rFonts w:ascii="Times New Roman" w:hAnsi="Times New Roman"/>
          <w:sz w:val="20"/>
          <w:u w:val="single"/>
        </w:rPr>
        <w:t>Outbound Investment Security Program</w:t>
      </w:r>
      <w:r>
        <w:rPr>
          <w:rFonts w:ascii="Times New Roman" w:hAnsi="Times New Roman"/>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 w:hAnsi="Times New Roman"/>
          <w:b/>
          <w:sz w:val="20"/>
          <w:u w:val="single"/>
        </w:rPr>
        <w:t>Covered Activity</w:t>
      </w:r>
      <w:r>
        <w:rPr>
          <w:rFonts w:ascii="Times New Roman" w:hAnsi="Times New Roman"/>
          <w:sz w:val="20"/>
        </w:rPr>
        <w:t xml:space="preserve">”).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 or plan to engage in any Covered Activity. </w:t>
      </w:r>
    </w:p>
    <w:p>
      <w:pPr>
        <w:pStyle w:val="TextBody"/>
        <w:bidi w:val="0"/>
        <w:spacing w:before="240" w:after="0"/>
        <w:jc w:val="both"/>
        <w:rPr>
          <w:rFonts w:ascii="Times New Roman" w:hAnsi="Times New Roman"/>
          <w:sz w:val="20"/>
        </w:rPr>
      </w:pPr>
      <w:r>
        <w:rPr>
          <w:rFonts w:ascii="Times New Roman" w:hAnsi="Times New Roman"/>
          <w:sz w:val="20"/>
        </w:rPr>
        <w:t xml:space="preserve">(vv) </w:t>
      </w:r>
      <w:r>
        <w:rPr>
          <w:rFonts w:ascii="Times New Roman" w:hAnsi="Times New Roman"/>
          <w:sz w:val="20"/>
          <w:u w:val="single"/>
        </w:rPr>
        <w:t>Real and Personal Property</w:t>
      </w:r>
      <w:r>
        <w:rPr>
          <w:rFonts w:ascii="Times New Roman" w:hAnsi="Times New Roman"/>
          <w:sz w:val="20"/>
        </w:rPr>
        <w:t xml:space="preserve">. Neither the Company nor its Subsidiaries own any real property. The Company and its Subsidiaries have good and marketable title to all personal property (other than intellectual property, which is addressed exclusively in </w:t>
      </w:r>
      <w:r>
        <w:rPr>
          <w:rFonts w:ascii="Times New Roman" w:hAnsi="Times New Roman"/>
          <w:sz w:val="20"/>
          <w:u w:val="single"/>
        </w:rPr>
        <w:t>Section 6(ii</w:t>
      </w:r>
      <w:r>
        <w:rPr>
          <w:rFonts w:ascii="Times New Roman" w:hAnsi="Times New Roman"/>
          <w:sz w:val="20"/>
        </w:rPr>
        <w:t xml:space="preserve">)) owned by them which is material to the business of the Company and its Subsidiaries, taken as a whole, in each case free and clear of all liens, encumbrances and defects except such as are described in the Registration Statement and the Prospectus or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to the Knowledge of the Company, enforceable leases with such exceptions as are not material and do not materially interfere with the use made and proposed to be made of such property and buildings by the Company and its Subsidiaries, in each case except as described in the Registration Statement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(ww) </w:t>
      </w:r>
      <w:r>
        <w:rPr>
          <w:rFonts w:ascii="Times New Roman" w:hAnsi="Times New Roman"/>
          <w:sz w:val="20"/>
          <w:u w:val="single"/>
        </w:rPr>
        <w:t>Compliance with ERISA</w:t>
      </w:r>
      <w:r>
        <w:rPr>
          <w:rFonts w:ascii="Times New Roman" w:hAnsi="Times New Roman"/>
          <w:sz w:val="20"/>
        </w:rPr>
        <w:t>. (i) Each employee benefit plan, within the meaning of Section 3(3) of the Employee Retirement Income Security Act of 1974, as amended (“</w:t>
      </w:r>
      <w:r>
        <w:rPr>
          <w:rFonts w:ascii="Times New Roman" w:hAnsi="Times New Roman"/>
          <w:b/>
          <w:sz w:val="20"/>
          <w:u w:val="single"/>
        </w:rPr>
        <w:t>ERISA</w:t>
      </w:r>
      <w:r>
        <w:rPr>
          <w:rFonts w:ascii="Times New Roman" w:hAnsi="Times New Roman"/>
          <w:sz w:val="20"/>
        </w:rPr>
        <w:t xml:space="preserve">”), for which the Company or any member of its “Controlled Group” (for the purpose of this </w:t>
      </w:r>
      <w:r>
        <w:rPr>
          <w:rFonts w:ascii="Times New Roman" w:hAnsi="Times New Roman"/>
          <w:sz w:val="20"/>
          <w:u w:val="single"/>
        </w:rPr>
        <w:t>Section 6(uu)</w:t>
      </w:r>
      <w:r>
        <w:rPr>
          <w:rFonts w:ascii="Times New Roman" w:hAnsi="Times New Roman"/>
          <w:sz w:val="20"/>
        </w:rPr>
        <w:t>, “</w:t>
      </w:r>
      <w:r>
        <w:rPr>
          <w:rFonts w:ascii="Times New Roman" w:hAnsi="Times New Roman"/>
          <w:b/>
          <w:sz w:val="20"/>
          <w:u w:val="single"/>
        </w:rPr>
        <w:t>Controlled Group</w:t>
      </w:r>
      <w:r>
        <w:rPr>
          <w:rFonts w:ascii="Times New Roman" w:hAnsi="Times New Roman"/>
          <w:sz w:val="20"/>
        </w:rPr>
        <w:t>” is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w:t>
      </w:r>
      <w:r>
        <w:rPr>
          <w:rFonts w:ascii="Times New Roman" w:hAnsi="Times New Roman"/>
          <w:b/>
          <w:sz w:val="20"/>
          <w:u w:val="single"/>
        </w:rPr>
        <w:t>Code</w:t>
      </w:r>
      <w:r>
        <w:rPr>
          <w:rFonts w:ascii="Times New Roman" w:hAnsi="Times New Roman"/>
          <w:sz w:val="20"/>
        </w:rPr>
        <w:t>”)) would have any liability (each, a “</w:t>
      </w:r>
      <w:r>
        <w:rPr>
          <w:rFonts w:ascii="Times New Roman" w:hAnsi="Times New Roman"/>
          <w:b/>
          <w:sz w:val="20"/>
        </w:rPr>
        <w:t>Plan</w:t>
      </w:r>
      <w:r>
        <w:rPr>
          <w:rFonts w:ascii="Times New Roman" w:hAnsi="Times New Roman"/>
          <w:sz w:val="20"/>
        </w:rPr>
        <w:t xml:space="preserve">”) has been maintained in material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reasonably be expected to have a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(xx) </w:t>
      </w:r>
      <w:r>
        <w:rPr>
          <w:rFonts w:ascii="Times New Roman" w:hAnsi="Times New Roman"/>
          <w:sz w:val="20"/>
          <w:u w:val="single"/>
        </w:rPr>
        <w:t>Sarbanes-Oxley Act</w:t>
      </w:r>
      <w:r>
        <w:rPr>
          <w:rFonts w:ascii="Times New Roman" w:hAnsi="Times New Roman"/>
          <w:sz w:val="20"/>
        </w:rPr>
        <w:t>. There is and has been no failure on the part of the Company or any of its Subsidiaries or, to the Company’s Knowledge, any of their officers or directors, in their capacities as such, to comply with any provision of the Sarbanes-Oxley Act of 2002 and the rules and regulations promulgated in connection therewith (the “</w:t>
      </w:r>
      <w:r>
        <w:rPr>
          <w:rFonts w:ascii="Times New Roman" w:hAnsi="Times New Roman"/>
          <w:b/>
          <w:sz w:val="20"/>
          <w:u w:val="single"/>
        </w:rPr>
        <w:t>Sarbanes-Oxley Act</w:t>
      </w:r>
      <w:r>
        <w:rPr>
          <w:rFonts w:ascii="Times New Roman" w:hAnsi="Times New Roman"/>
          <w:sz w:val="20"/>
        </w:rPr>
        <w:t xml:space="preserve">”) then applicable to the Company or any of its Subsidiaries, including Section 402 related to loans and Sections 302 and 906 related to certifications.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(yy) </w:t>
      </w:r>
      <w:r>
        <w:rPr>
          <w:rFonts w:ascii="Times New Roman" w:hAnsi="Times New Roman"/>
          <w:sz w:val="20"/>
          <w:u w:val="single"/>
        </w:rPr>
        <w:t>Statistical and Market Data</w:t>
      </w:r>
      <w:r>
        <w:rPr>
          <w:rFonts w:ascii="Times New Roman" w:hAnsi="Times New Roman"/>
          <w:sz w:val="20"/>
        </w:rPr>
        <w:t xml:space="preserve">. The statistical, industry-related and market-related data included in the Registration Statement and the Prospectus are based on or derived from sources that the Company believes, after reasonable inquiry, to be reliable and accurate in all material respects, such data is consistent with the sources from which they are derived, and, to the extent required, the Company has obtained the written consent to the use of such data from such sources. </w:t>
      </w:r>
    </w:p>
    <w:p>
      <w:pPr>
        <w:pStyle w:val="TextBody"/>
        <w:bidi w:val="0"/>
        <w:spacing w:before="240" w:after="0"/>
        <w:jc w:val="both"/>
        <w:rPr>
          <w:rFonts w:ascii="Times New Roman" w:hAnsi="Times New Roman"/>
          <w:sz w:val="20"/>
        </w:rPr>
      </w:pPr>
      <w:r>
        <w:rPr>
          <w:rFonts w:ascii="Times New Roman" w:hAnsi="Times New Roman"/>
          <w:sz w:val="20"/>
        </w:rPr>
        <w:t xml:space="preserve">(zz) </w:t>
      </w:r>
      <w:r>
        <w:rPr>
          <w:rFonts w:ascii="Times New Roman" w:hAnsi="Times New Roman"/>
          <w:sz w:val="20"/>
          <w:u w:val="single"/>
        </w:rPr>
        <w:t>No Acquisitions or Dispositions</w:t>
      </w:r>
      <w:r>
        <w:rPr>
          <w:rFonts w:ascii="Times New Roman" w:hAnsi="Times New Roman"/>
          <w:sz w:val="20"/>
        </w:rPr>
        <w:t xml:space="preserve">. Subsequent to the respective dates as of which information is given in each of the Registration Statement and the Prospectus, (i) the Company and its Subsidiaries have not incurred any material liability or obligation, direct or contingent, nor entered into any material transaction; (ii) the Company has not purchased any of its outstanding capital stock other than from employees or other service providers in connection with such person’s termination of services from the Company or its Subsidiaries pursuant to equity compensation plans or agreements described in the Registration Statement and the Prospectus or in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of equity awards or grants of equity awards or forfeiture of equity awards outstanding as of such respective dates as of which information is given in each of the Registration Statement and the Prospectus, in each case granted pursuant to the equity compensation plans described in the Registration Statement and the Prospectus), short-term debt or long-term debt of the Company and its Subsidiaries, taken as a whole. </w:t>
      </w:r>
    </w:p>
    <w:p>
      <w:pPr>
        <w:pStyle w:val="TextBody"/>
        <w:bidi w:val="0"/>
        <w:spacing w:before="240" w:after="0"/>
        <w:jc w:val="both"/>
        <w:rPr>
          <w:rFonts w:ascii="Times New Roman" w:hAnsi="Times New Roman"/>
          <w:sz w:val="20"/>
        </w:rPr>
      </w:pPr>
      <w:r>
        <w:rPr>
          <w:rFonts w:ascii="Times New Roman" w:hAnsi="Times New Roman"/>
          <w:sz w:val="20"/>
        </w:rPr>
        <w:t xml:space="preserve">(aaa) </w:t>
      </w:r>
      <w:r>
        <w:rPr>
          <w:rFonts w:ascii="Times New Roman" w:hAnsi="Times New Roman"/>
          <w:sz w:val="20"/>
          <w:u w:val="single"/>
        </w:rPr>
        <w:t>Labor Disputes</w:t>
      </w:r>
      <w:r>
        <w:rPr>
          <w:rFonts w:ascii="Times New Roman" w:hAnsi="Times New Roman"/>
          <w:sz w:val="20"/>
        </w:rPr>
        <w:t xml:space="preserve">. No material labor dispute with the employees of the Company or any of its Subsidiaries exists, except as described in the Registration Statement and the Prospectus, or, to the Knowledge of the Company, is imminent; and the Company is not aware of any existing, threatened or imminent labor disturbance by the employees of any of its principal suppliers, manufacturers or contractors that could have a material adverse effect on the Company and its Subsidiaries, taken as a whole. </w:t>
      </w:r>
    </w:p>
    <w:p>
      <w:pPr>
        <w:pStyle w:val="TextBody"/>
        <w:bidi w:val="0"/>
        <w:spacing w:before="240" w:after="0"/>
        <w:jc w:val="both"/>
        <w:rPr>
          <w:rFonts w:ascii="Times New Roman" w:hAnsi="Times New Roman"/>
          <w:sz w:val="20"/>
        </w:rPr>
      </w:pPr>
      <w:r>
        <w:rPr>
          <w:rFonts w:ascii="Times New Roman" w:hAnsi="Times New Roman"/>
          <w:sz w:val="20"/>
        </w:rPr>
        <w:t xml:space="preserve">Any certificate signed by an officer of the Company and delivered to TD Cowen or to counsel for TD Cowen pursuant to or in connection with this Agreement shall be deemed to be a representation and warranty by the Company to TD Cowen as to the matters set forth therein. </w:t>
      </w:r>
    </w:p>
    <w:p>
      <w:pPr>
        <w:pStyle w:val="TextBody"/>
        <w:bidi w:val="0"/>
        <w:spacing w:before="240" w:after="0"/>
        <w:jc w:val="both"/>
        <w:rPr>
          <w:rFonts w:ascii="Times New Roman" w:hAnsi="Times New Roman"/>
          <w:sz w:val="20"/>
        </w:rPr>
      </w:pPr>
      <w:r>
        <w:rPr>
          <w:rFonts w:ascii="Times New Roman" w:hAnsi="Times New Roman"/>
          <w:sz w:val="20"/>
        </w:rPr>
        <w:t xml:space="preserve">The Company acknowledges that TD Cowen and, for purposes of the opinions to be delivered pursuant to </w:t>
      </w:r>
      <w:r>
        <w:rPr>
          <w:rFonts w:ascii="Times New Roman" w:hAnsi="Times New Roman"/>
          <w:sz w:val="20"/>
          <w:u w:val="single"/>
        </w:rPr>
        <w:t>Section 7</w:t>
      </w:r>
      <w:r>
        <w:rPr>
          <w:rFonts w:ascii="Times New Roman" w:hAnsi="Times New Roman"/>
          <w:sz w:val="20"/>
        </w:rPr>
        <w:t xml:space="preserve"> hereof, counsel to the Company and counsel to TD Cowen, will rely upon the accuracy and truthfulness of the foregoing representations and hereby consents to such reliance. </w:t>
      </w:r>
    </w:p>
    <w:p>
      <w:pPr>
        <w:pStyle w:val="TextBody"/>
        <w:bidi w:val="0"/>
        <w:spacing w:before="240" w:after="0"/>
        <w:jc w:val="both"/>
        <w:rPr>
          <w:rFonts w:ascii="Times New Roman" w:hAnsi="Times New Roman"/>
          <w:sz w:val="20"/>
        </w:rPr>
      </w:pPr>
      <w:r>
        <w:rPr>
          <w:rFonts w:ascii="Times New Roman" w:hAnsi="Times New Roman"/>
          <w:sz w:val="20"/>
        </w:rPr>
        <w:t xml:space="preserve">7. </w:t>
      </w:r>
      <w:r>
        <w:rPr>
          <w:rFonts w:ascii="Times New Roman" w:hAnsi="Times New Roman"/>
          <w:sz w:val="20"/>
          <w:u w:val="single"/>
        </w:rPr>
        <w:t>Covenants of the Company</w:t>
      </w:r>
      <w:r>
        <w:rPr>
          <w:rFonts w:ascii="Times New Roman" w:hAnsi="Times New Roman"/>
          <w:sz w:val="20"/>
        </w:rPr>
        <w:t xml:space="preserve">. The Company covenants and agrees with TD Cowen that: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Amendments</w:t>
      </w:r>
      <w:r>
        <w:rPr>
          <w:rFonts w:ascii="Times New Roman" w:hAnsi="Times New Roman"/>
          <w:sz w:val="20"/>
        </w:rPr>
        <w:t xml:space="preserve">.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Commission for any amendment or supplement to the Registration Statement or Prospectus or for additional information, (ii) the Company will prepare and file with the Commission, promptly upon TD Cowen’s request, any amendments or supplements to the Registration Statement or Prospectus that, in TD Cowen’s reasonable opinion, may be necessary or advisable in connection with the distribution of the Placement Shares by TD Cowen (</w:t>
      </w:r>
      <w:r>
        <w:rPr>
          <w:rFonts w:ascii="Times New Roman" w:hAnsi="Times New Roman"/>
          <w:i/>
          <w:sz w:val="20"/>
        </w:rPr>
        <w:t>provided, however</w:t>
      </w:r>
      <w:r>
        <w:rPr>
          <w:rFonts w:ascii="Times New Roman" w:hAnsi="Times New Roman"/>
          <w:sz w:val="20"/>
        </w:rPr>
        <w:t>, that the failure of TD Cowen to make such request shall not relieve the Company of any obligation or liability hereunder, or affect TD Cowen’s right to rely on the representations and warranties made by the Company in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 w:hAnsi="Times New Roman"/>
          <w:i/>
          <w:sz w:val="20"/>
        </w:rPr>
        <w:t>provided, however</w:t>
      </w:r>
      <w:r>
        <w:rPr>
          <w:rFonts w:ascii="Times New Roman" w:hAnsi="Times New Roman"/>
          <w:sz w:val="20"/>
        </w:rPr>
        <w:t xml:space="preserve">, that the failure of TD Cowen to make such objection shall not relieve the Company of any obligation or liability hereunder, or affect TD Cowen’s right to rely on the representations and warranties made by the Company in this Agreement)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Commission Stop Orders</w:t>
      </w:r>
      <w:r>
        <w:rPr>
          <w:rFonts w:ascii="Times New Roman" w:hAnsi="Times New Roman"/>
          <w:sz w:val="20"/>
        </w:rPr>
        <w:t xml:space="preserve">.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 of Experienced Issuer Disqualification</w:t>
      </w:r>
      <w:r>
        <w:rPr>
          <w:rFonts w:ascii="Times New Roman" w:hAnsi="Times New Roman"/>
          <w:sz w:val="20"/>
        </w:rPr>
        <w:t xml:space="preserve">. The Company will advise TD Cowen promptly after it obtains knowledge that it no longer qualifies as an “experienced issuer” (within the meaning of FINRA Rule 5110(j)(6)) for purposes of the exemption from filing under FINRA Rule 5110(h)(1)(C).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Delivery of Prospectus; Subsequent Changes</w:t>
      </w:r>
      <w:r>
        <w:rPr>
          <w:rFonts w:ascii="Times New Roman" w:hAnsi="Times New Roman"/>
          <w:sz w:val="20"/>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will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p>
    <w:p>
      <w:pPr>
        <w:pStyle w:val="TextBody"/>
        <w:bidi w:val="0"/>
        <w:spacing w:before="240" w:after="0"/>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Listing of Placement Shares</w:t>
      </w:r>
      <w:r>
        <w:rPr>
          <w:rFonts w:ascii="Times New Roman" w:hAnsi="Times New Roman"/>
          <w:sz w:val="20"/>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 w:hAnsi="Times New Roman"/>
          <w:i/>
          <w:sz w:val="20"/>
        </w:rPr>
        <w:t>provided, however,</w:t>
      </w:r>
      <w:r>
        <w:rPr>
          <w:rFonts w:ascii="Times New Roman" w:hAnsi="Times New Roman"/>
          <w:sz w:val="20"/>
        </w:rPr>
        <w:t xml:space="preserve"> that the Company shall not be required in connection therewith to qualify as a foreign corporation or dealer in securities or file a general consent to service of process in any jurisdiction. </w:t>
      </w:r>
    </w:p>
    <w:p>
      <w:pPr>
        <w:pStyle w:val="TextBody"/>
        <w:bidi w:val="0"/>
        <w:spacing w:before="240" w:after="0"/>
        <w:jc w:val="both"/>
        <w:rPr>
          <w:rFonts w:ascii="Times New Roman" w:hAnsi="Times New Roman"/>
          <w:sz w:val="20"/>
        </w:rPr>
      </w:pPr>
      <w:r>
        <w:rPr>
          <w:rFonts w:ascii="Times New Roman" w:hAnsi="Times New Roman"/>
          <w:sz w:val="20"/>
        </w:rPr>
        <w:t xml:space="preserve">(f) </w:t>
      </w:r>
      <w:r>
        <w:rPr>
          <w:rFonts w:ascii="Times New Roman" w:hAnsi="Times New Roman"/>
          <w:sz w:val="20"/>
          <w:u w:val="single"/>
        </w:rPr>
        <w:t>Delivery of Registration Statement and Prospectus</w:t>
      </w:r>
      <w:r>
        <w:rPr>
          <w:rFonts w:ascii="Times New Roman" w:hAnsi="Times New Roman"/>
          <w:sz w:val="20"/>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hAnsi="Times New Roman"/>
          <w:i/>
          <w:sz w:val="20"/>
        </w:rPr>
        <w:t>provided, however,</w:t>
      </w:r>
      <w:r>
        <w:rPr>
          <w:rFonts w:ascii="Times New Roman" w:hAnsi="Times New Roman"/>
          <w:sz w:val="20"/>
        </w:rPr>
        <w:t xml:space="preserve"> that the Company shall not be required to furnish any document (other than the Prospectus) to TD Cowen to the extent such document is available on EDGAR. </w:t>
      </w:r>
    </w:p>
    <w:p>
      <w:pPr>
        <w:pStyle w:val="TextBody"/>
        <w:bidi w:val="0"/>
        <w:spacing w:before="240" w:after="0"/>
        <w:jc w:val="both"/>
        <w:rPr>
          <w:rFonts w:ascii="Times New Roman" w:hAnsi="Times New Roman"/>
          <w:sz w:val="20"/>
        </w:rPr>
      </w:pPr>
      <w:r>
        <w:rPr>
          <w:rFonts w:ascii="Times New Roman" w:hAnsi="Times New Roman"/>
          <w:sz w:val="20"/>
        </w:rPr>
        <w:t xml:space="preserve">(g) </w:t>
      </w:r>
      <w:r>
        <w:rPr>
          <w:rFonts w:ascii="Times New Roman" w:hAnsi="Times New Roman"/>
          <w:sz w:val="20"/>
          <w:u w:val="single"/>
        </w:rPr>
        <w:t>Earnings Statement</w:t>
      </w:r>
      <w:r>
        <w:rPr>
          <w:rFonts w:ascii="Times New Roman" w:hAnsi="Times New Roman"/>
          <w:sz w:val="20"/>
        </w:rPr>
        <w:t xml:space="preserve">.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Expenses</w:t>
      </w:r>
      <w:r>
        <w:rPr>
          <w:rFonts w:ascii="Times New Roman" w:hAnsi="Times New Roman"/>
          <w:sz w:val="20"/>
        </w:rPr>
        <w:t xml:space="preserve">. The Company, whether or not the transactions contemplated hereby are consummated or this Agreement is terminated, in accordance with the provisions of </w:t>
      </w:r>
      <w:r>
        <w:rPr>
          <w:rFonts w:ascii="Times New Roman" w:hAnsi="Times New Roman"/>
          <w:sz w:val="20"/>
          <w:u w:val="single"/>
        </w:rPr>
        <w:t>Section 11</w:t>
      </w:r>
      <w:r>
        <w:rPr>
          <w:rFonts w:ascii="Times New Roman" w:hAnsi="Times New Roman"/>
          <w:sz w:val="20"/>
        </w:rPr>
        <w:t xml:space="preserve"> hereof,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hAnsi="Times New Roman"/>
          <w:sz w:val="20"/>
          <w:u w:val="single"/>
        </w:rPr>
        <w:t>Section 7(e)</w:t>
      </w:r>
      <w:r>
        <w:rPr>
          <w:rFonts w:ascii="Times New Roman" w:hAnsi="Times New Roman"/>
          <w:sz w:val="20"/>
        </w:rPr>
        <w:t xml:space="preserve"> (Listing of Placement Shares) of this Agreement, including filing fees (provided, however, that any fees or disbursements of counsel for TD Cowen in connection therewith shall be paid by TD Cowen except as set forth in (vii) below), (iv)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reasonable fees and disbursements of TD Cowen’s outside counsel for filings with the FINRA Corporate Financing Department in an amount up to $10,000, and (viii) the reasonable fees and disbursements of TD Cowen’s counsel in amounts not to exceed (A) $75,000 in connection with execution of this Agreement and (B) $25,000 in connection with each Bring-Down Date with respect to which the Company is obligated to deliver a certificate pursuant to </w:t>
      </w:r>
      <w:r>
        <w:rPr>
          <w:rFonts w:ascii="Times New Roman" w:hAnsi="Times New Roman"/>
          <w:sz w:val="20"/>
          <w:u w:val="single"/>
        </w:rPr>
        <w:t>Section 7(n)</w:t>
      </w:r>
      <w:r>
        <w:rPr>
          <w:rFonts w:ascii="Times New Roman" w:hAnsi="Times New Roman"/>
          <w:sz w:val="20"/>
        </w:rPr>
        <w:t xml:space="preserve">, for which no waiver is applicable. </w:t>
      </w:r>
    </w:p>
    <w:p>
      <w:pPr>
        <w:pStyle w:val="TextBody"/>
        <w:bidi w:val="0"/>
        <w:spacing w:before="240" w:after="0"/>
        <w:jc w:val="both"/>
        <w:rPr>
          <w:rFonts w:ascii="Times New Roman" w:hAnsi="Times New Roman"/>
          <w:sz w:val="20"/>
        </w:rPr>
      </w:pPr>
      <w:r>
        <w:rPr>
          <w:rFonts w:ascii="Times New Roman" w:hAnsi="Times New Roman"/>
          <w:sz w:val="20"/>
        </w:rPr>
        <w:t xml:space="preserve">(i) </w:t>
      </w:r>
      <w:r>
        <w:rPr>
          <w:rFonts w:ascii="Times New Roman" w:hAnsi="Times New Roman"/>
          <w:sz w:val="20"/>
          <w:u w:val="single"/>
        </w:rPr>
        <w:t>Use of Proceeds</w:t>
      </w:r>
      <w:r>
        <w:rPr>
          <w:rFonts w:ascii="Times New Roman" w:hAnsi="Times New Roman"/>
          <w:sz w:val="20"/>
        </w:rPr>
        <w:t xml:space="preserve">. The Company will use the Net Proceeds as described in the Prospectus in the section entitled “Use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(j) </w:t>
      </w:r>
      <w:r>
        <w:rPr>
          <w:rFonts w:ascii="Times New Roman" w:hAnsi="Times New Roman"/>
          <w:sz w:val="20"/>
          <w:u w:val="single"/>
        </w:rPr>
        <w:t>Notice of Other Sales</w:t>
      </w:r>
      <w:r>
        <w:rPr>
          <w:rFonts w:ascii="Times New Roman" w:hAnsi="Times New Roman"/>
          <w:sz w:val="20"/>
        </w:rPr>
        <w:t xml:space="preserve">. During the pendency of any Placement Notice given hereunder, and for five (5)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hAnsi="Times New Roman"/>
          <w:i/>
          <w:sz w:val="20"/>
        </w:rPr>
        <w:t>provided</w:t>
      </w:r>
      <w:r>
        <w:rPr>
          <w:rFonts w:ascii="Times New Roman" w:hAnsi="Times New Roman"/>
          <w:sz w:val="20"/>
        </w:rPr>
        <w:t xml:space="preserve">, that such notice shall not be required in connection with the (i) issuance, grant or sale of Common Stock, options to purchase shares of Common Stock or Common Stock issuable upon the exercise of options or other equity awards pursuant to any stock option, stock bonus or other stock plan or arrangement described in the Prospectus,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TD Cowen in advance, (iv) any shares of Common Stock issuable upon the exchange, conversion or redemption of securities or the exercise of warrants, options or other rights in effect or outstanding or otherwise disclosed in writing to TD Cowen prior to the date of the applicable Placement Notice or (v) the issuance or sale of shares of Common Stock, or securities convertible into or exercisable for Common Stock, offered and sold in a privately negotiated transaction to vendors, customers, investors, strategic partners or potential strategic partners, collaborators, joint venturers, equipment leasing providers, financial institutions or other lenders in connection with debt arrangements, and otherwise conducted in a manner so as not to be integrated with the offering of Common Stock hereby. </w:t>
      </w:r>
    </w:p>
    <w:p>
      <w:pPr>
        <w:pStyle w:val="TextBody"/>
        <w:bidi w:val="0"/>
        <w:spacing w:before="240" w:after="0"/>
        <w:jc w:val="both"/>
        <w:rPr>
          <w:rFonts w:ascii="Times New Roman" w:hAnsi="Times New Roman"/>
          <w:sz w:val="20"/>
        </w:rPr>
      </w:pPr>
      <w:r>
        <w:rPr>
          <w:rFonts w:ascii="Times New Roman" w:hAnsi="Times New Roman"/>
          <w:sz w:val="20"/>
        </w:rPr>
        <w:t xml:space="preserve">(k) </w:t>
      </w:r>
      <w:r>
        <w:rPr>
          <w:rFonts w:ascii="Times New Roman" w:hAnsi="Times New Roman"/>
          <w:sz w:val="20"/>
          <w:u w:val="single"/>
        </w:rPr>
        <w:t>Change of Circumstances</w:t>
      </w:r>
      <w:r>
        <w:rPr>
          <w:rFonts w:ascii="Times New Roman" w:hAnsi="Times New Roman"/>
          <w:sz w:val="20"/>
        </w:rPr>
        <w:t xml:space="preserve">.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(l) </w:t>
      </w:r>
      <w:r>
        <w:rPr>
          <w:rFonts w:ascii="Times New Roman" w:hAnsi="Times New Roman"/>
          <w:sz w:val="20"/>
          <w:u w:val="single"/>
        </w:rPr>
        <w:t>Due Diligence Cooperation</w:t>
      </w:r>
      <w:r>
        <w:rPr>
          <w:rFonts w:ascii="Times New Roman" w:hAnsi="Times New Roman"/>
          <w:sz w:val="20"/>
        </w:rPr>
        <w:t xml:space="preserve">.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as TD Cowen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(m) </w:t>
      </w:r>
      <w:r>
        <w:rPr>
          <w:rFonts w:ascii="Times New Roman" w:hAnsi="Times New Roman"/>
          <w:sz w:val="20"/>
          <w:u w:val="single"/>
        </w:rPr>
        <w:t>Required Filings Relating to Placement of Placement Shares</w:t>
      </w:r>
      <w:r>
        <w:rPr>
          <w:rFonts w:ascii="Times New Roman" w:hAnsi="Times New Roman"/>
          <w:sz w:val="20"/>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hAnsi="Times New Roman"/>
          <w:b/>
          <w:sz w:val="20"/>
          <w:u w:val="single"/>
        </w:rPr>
        <w:t>Filing Date</w:t>
      </w:r>
      <w:r>
        <w:rPr>
          <w:rFonts w:ascii="Times New Roman" w:hAnsi="Times New Roman"/>
          <w:sz w:val="20"/>
        </w:rPr>
        <w:t xml:space="preserve">”),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w:t>
      </w:r>
    </w:p>
    <w:p>
      <w:pPr>
        <w:pStyle w:val="TextBody"/>
        <w:bidi w:val="0"/>
        <w:spacing w:before="240" w:after="0"/>
        <w:jc w:val="both"/>
        <w:rPr>
          <w:rFonts w:ascii="Times New Roman" w:hAnsi="Times New Roman"/>
          <w:sz w:val="20"/>
        </w:rPr>
      </w:pPr>
      <w:r>
        <w:rPr>
          <w:rFonts w:ascii="Times New Roman" w:hAnsi="Times New Roman"/>
          <w:sz w:val="20"/>
        </w:rPr>
        <w:t xml:space="preserve">(n) </w:t>
      </w:r>
      <w:r>
        <w:rPr>
          <w:rFonts w:ascii="Times New Roman" w:hAnsi="Times New Roman"/>
          <w:sz w:val="20"/>
          <w:u w:val="single"/>
        </w:rPr>
        <w:t>Bring-Down Dates; Certificate</w:t>
      </w:r>
      <w:r>
        <w:rPr>
          <w:rFonts w:ascii="Times New Roman" w:hAnsi="Times New Roman"/>
          <w:sz w:val="20"/>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 w:hAnsi="Times New Roman"/>
          <w:sz w:val="20"/>
          <w:u w:val="single"/>
        </w:rPr>
        <w:t>Section 7(m)</w:t>
      </w:r>
      <w:r>
        <w:rPr>
          <w:rFonts w:ascii="Times New Roman" w:hAnsi="Times New Roman"/>
          <w:sz w:val="20"/>
        </w:rPr>
        <w:t xml:space="preserve"> (Required Filings Relating to Placement of Placement Shares)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under the Exchange Act and TD Cowen reasonably determines, in its sole discretion that the information contained in, or incorporated by reference into, such Form 8-K is material to a holder of Common Stock or to an offering of the Placement Shares (each date of filing of one or more of the documents referred to in clauses (i) through (iv) shall be a “</w:t>
      </w:r>
      <w:r>
        <w:rPr>
          <w:rFonts w:ascii="Times New Roman" w:hAnsi="Times New Roman"/>
          <w:b/>
          <w:sz w:val="20"/>
          <w:u w:val="single"/>
        </w:rPr>
        <w:t>Bring-Down Date</w:t>
      </w:r>
      <w:r>
        <w:rPr>
          <w:rFonts w:ascii="Times New Roman" w:hAnsi="Times New Roman"/>
          <w:sz w:val="20"/>
        </w:rPr>
        <w:t xml:space="preserve">”); the Company shall furnish TD Cowen with a certificate, in the form attached hereto as </w:t>
      </w:r>
      <w:r>
        <w:rPr>
          <w:rFonts w:ascii="Times New Roman" w:hAnsi="Times New Roman"/>
          <w:sz w:val="20"/>
          <w:u w:val="single"/>
        </w:rPr>
        <w:t>Exhibit 7(n)</w:t>
      </w:r>
      <w:r>
        <w:rPr>
          <w:rFonts w:ascii="Times New Roman" w:hAnsi="Times New Roman"/>
          <w:sz w:val="20"/>
        </w:rPr>
        <w:t xml:space="preserve"> within one (1) Trading Day of any Bring-Down Date if requested by TD Cowen. The requirement to provide a certificate under this </w:t>
      </w:r>
      <w:r>
        <w:rPr>
          <w:rFonts w:ascii="Times New Roman" w:hAnsi="Times New Roman"/>
          <w:sz w:val="20"/>
          <w:u w:val="single"/>
        </w:rPr>
        <w:t>Section 7(n)</w:t>
      </w:r>
      <w:r>
        <w:rPr>
          <w:rFonts w:ascii="Times New Roman" w:hAnsi="Times New Roman"/>
          <w:sz w:val="20"/>
        </w:rPr>
        <w:t xml:space="preserve"> shall be automatically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TD Cowen with a certificate under this </w:t>
      </w:r>
      <w:r>
        <w:rPr>
          <w:rFonts w:ascii="Times New Roman" w:hAnsi="Times New Roman"/>
          <w:sz w:val="20"/>
          <w:u w:val="single"/>
        </w:rPr>
        <w:t>Section 7(n)</w:t>
      </w:r>
      <w:r>
        <w:rPr>
          <w:rFonts w:ascii="Times New Roman" w:hAnsi="Times New Roman"/>
          <w:sz w:val="20"/>
        </w:rPr>
        <w:t xml:space="preserve">, then before the Company delivers the Placement Notice or TD Cowen sells any Placement Shares, the Company shall provide TD Cowen with a certificate, in the form attached hereto as </w:t>
      </w:r>
      <w:r>
        <w:rPr>
          <w:rFonts w:ascii="Times New Roman" w:hAnsi="Times New Roman"/>
          <w:sz w:val="20"/>
          <w:u w:val="single"/>
        </w:rPr>
        <w:t>Exhibit 7(n)</w:t>
      </w:r>
      <w:r>
        <w:rPr>
          <w:rFonts w:ascii="Times New Roman" w:hAnsi="Times New Roman"/>
          <w:sz w:val="20"/>
        </w:rPr>
        <w:t xml:space="preserve">, dated the date of the Placement Notice. </w:t>
      </w:r>
    </w:p>
    <w:p>
      <w:pPr>
        <w:pStyle w:val="TextBody"/>
        <w:bidi w:val="0"/>
        <w:spacing w:before="240" w:after="0"/>
        <w:jc w:val="both"/>
        <w:rPr>
          <w:rFonts w:ascii="Times New Roman" w:hAnsi="Times New Roman"/>
          <w:sz w:val="20"/>
        </w:rPr>
      </w:pPr>
      <w:r>
        <w:rPr>
          <w:rFonts w:ascii="Times New Roman" w:hAnsi="Times New Roman"/>
          <w:sz w:val="20"/>
        </w:rPr>
        <w:t xml:space="preserve">(o) </w:t>
      </w:r>
      <w:r>
        <w:rPr>
          <w:rFonts w:ascii="Times New Roman" w:hAnsi="Times New Roman"/>
          <w:sz w:val="20"/>
          <w:u w:val="single"/>
        </w:rPr>
        <w:t>Legal Opinion</w:t>
      </w:r>
      <w:r>
        <w:rPr>
          <w:rFonts w:ascii="Times New Roman" w:hAnsi="Times New Roman"/>
          <w:sz w:val="20"/>
        </w:rPr>
        <w:t xml:space="preserve">. On or prior to the First Delivery Date and within one (1) Trading Day of each Bring-Down Date with respect to which the Company is obligated to deliver a certificate in the form attached hereto as </w:t>
      </w:r>
      <w:r>
        <w:rPr>
          <w:rFonts w:ascii="Times New Roman" w:hAnsi="Times New Roman"/>
          <w:sz w:val="20"/>
          <w:u w:val="single"/>
        </w:rPr>
        <w:t>Exhibit 7(n)</w:t>
      </w:r>
      <w:r>
        <w:rPr>
          <w:rFonts w:ascii="Times New Roman" w:hAnsi="Times New Roman"/>
          <w:sz w:val="20"/>
        </w:rPr>
        <w:t xml:space="preserve"> for which no waiver is applicable, the Company shall cause to be furnished to TD Cowen a written opinion and negative assurance letter of Wilson Sonsini Goodrich &amp; Rosati, P.C. (“</w:t>
      </w:r>
      <w:r>
        <w:rPr>
          <w:rFonts w:ascii="Times New Roman" w:hAnsi="Times New Roman"/>
          <w:b/>
          <w:sz w:val="20"/>
          <w:u w:val="single"/>
        </w:rPr>
        <w:t>Company Counsel</w:t>
      </w:r>
      <w:r>
        <w:rPr>
          <w:rFonts w:ascii="Times New Roman" w:hAnsi="Times New Roman"/>
          <w:sz w:val="20"/>
        </w:rPr>
        <w:t xml:space="preserve">”), or other counsel reasonably satisfactory to TD Cowen, in form and substance reasonably satisfactory to TD Cowen and its counsel, dated the date that the opinion and negative assurance letter are required to be delivered, modified, as necessary, to relate to the Registration Statement and the Prospectus as then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or supplemented;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lieu of such opinions and negative assurance letters for subsequent Bring-Down Dates, Company Counsel may furnish TD Cowen with a letter to the effect that TD Cowen may rely on a prior opinion or negative assurance letter delivered under this </w:t>
      </w:r>
      <w:r>
        <w:rPr>
          <w:rFonts w:ascii="Times New Roman" w:hAnsi="Times New Roman"/>
          <w:sz w:val="20"/>
          <w:u w:val="single"/>
        </w:rPr>
        <w:t>Section 7(o)</w:t>
      </w:r>
      <w:r>
        <w:rPr>
          <w:rFonts w:ascii="Times New Roman" w:hAnsi="Times New Roman"/>
          <w:sz w:val="20"/>
        </w:rPr>
        <w:t xml:space="preserve"> to the same extent as if it were dated the date of such letter (except that statements in such prior opinion or negative assurance letter shall be deemed to relate to the Registration Statement and the Prospectus as amended or supplemented at such Bring-Down Date). </w:t>
      </w:r>
    </w:p>
    <w:p>
      <w:pPr>
        <w:pStyle w:val="TextBody"/>
        <w:bidi w:val="0"/>
        <w:spacing w:before="240" w:after="0"/>
        <w:jc w:val="both"/>
        <w:rPr>
          <w:rFonts w:ascii="Times New Roman" w:hAnsi="Times New Roman"/>
          <w:sz w:val="20"/>
        </w:rPr>
      </w:pPr>
      <w:r>
        <w:rPr>
          <w:rFonts w:ascii="Times New Roman" w:hAnsi="Times New Roman"/>
          <w:sz w:val="20"/>
        </w:rPr>
        <w:t xml:space="preserve">(p) </w:t>
      </w:r>
      <w:r>
        <w:rPr>
          <w:rFonts w:ascii="Times New Roman" w:hAnsi="Times New Roman"/>
          <w:sz w:val="20"/>
          <w:u w:val="single"/>
        </w:rPr>
        <w:t>Legal Opinions of Company Intellectual Property Counsel</w:t>
      </w:r>
      <w:r>
        <w:rPr>
          <w:rFonts w:ascii="Times New Roman" w:hAnsi="Times New Roman"/>
          <w:sz w:val="20"/>
        </w:rPr>
        <w:t xml:space="preserve">. On the initial Bring-Down Date and thereafter within one (1) Business Day (as defined below) of each subsequent Representation Date for which the Company delivers a certificate pursuant to </w:t>
      </w:r>
      <w:r>
        <w:rPr>
          <w:rFonts w:ascii="Times New Roman" w:hAnsi="Times New Roman"/>
          <w:sz w:val="20"/>
          <w:u w:val="single"/>
        </w:rPr>
        <w:t>Section 7(n)</w:t>
      </w:r>
      <w:r>
        <w:rPr>
          <w:rFonts w:ascii="Times New Roman" w:hAnsi="Times New Roman"/>
          <w:sz w:val="20"/>
        </w:rPr>
        <w:t xml:space="preserve">, the Company shall cause to be furnished to TD Cowen, dated as of such date, in form and substance reasonably satisfactory to TD Cowen, the written opinions of Morrison &amp; Foerster LLP and Sterne, Kessler, Goldstein &amp; Fox P.L.L.C, intellectual property counsel for the Company, as described in </w:t>
      </w:r>
      <w:r>
        <w:rPr>
          <w:rFonts w:ascii="Times New Roman" w:hAnsi="Times New Roman"/>
          <w:sz w:val="20"/>
          <w:u w:val="single"/>
        </w:rPr>
        <w:t>Section 8(g)</w:t>
      </w:r>
      <w:r>
        <w:rPr>
          <w:rFonts w:ascii="Times New Roman" w:hAnsi="Times New Roman"/>
          <w:sz w:val="20"/>
        </w:rPr>
        <w:t xml:space="preserve"> (Legal Opinions of Company Intellectual Property Counsel), modified as necessary to relate to the Registration Statement and the Prospectus as amended and supplemented to the time of delivery of such opinions;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lieu of such opinions for subsequent Bring-Down Dates, counsel may furnish TD Cowen with letters to the effect that TD Cowen may rely on prior opinions delivered under this </w:t>
      </w:r>
      <w:r>
        <w:rPr>
          <w:rFonts w:ascii="Times New Roman" w:hAnsi="Times New Roman"/>
          <w:sz w:val="20"/>
          <w:u w:val="single"/>
        </w:rPr>
        <w:t>Section 7(p)</w:t>
      </w:r>
      <w:r>
        <w:rPr>
          <w:rFonts w:ascii="Times New Roman" w:hAnsi="Times New Roman"/>
          <w:sz w:val="20"/>
        </w:rPr>
        <w:t xml:space="preserve"> to the same extent as if they were dated the date of such letter (except that statements in such prior opinions shall be deemed to relate to the Registration Statement and the Prospectus as amended or supplemented at such Bring-Down Date); </w:t>
      </w:r>
      <w:r>
        <w:rPr>
          <w:rFonts w:ascii="Times New Roman" w:hAnsi="Times New Roman"/>
          <w:i/>
          <w:sz w:val="20"/>
        </w:rPr>
        <w:t xml:space="preserve">provided further </w:t>
      </w:r>
      <w:r>
        <w:rPr>
          <w:rFonts w:ascii="Times New Roman" w:hAnsi="Times New Roman"/>
          <w:sz w:val="20"/>
        </w:rPr>
        <w:t xml:space="preserve">that the Company shall cause Morrison &amp; Foerster LLP and Sterne, Kessler, Goldstein &amp; Fox P.L.L.C to each furnish at least one such opinion to TD Cowen annually within one (1) Trading Day of each Bring-Down Date related to the Company’s filing of its annual report on Form 10-K with respect to which the Company is obligated to deliver a certificate in the form attached hereto as </w:t>
      </w:r>
      <w:r>
        <w:rPr>
          <w:rFonts w:ascii="Times New Roman" w:hAnsi="Times New Roman"/>
          <w:sz w:val="20"/>
          <w:u w:val="single"/>
        </w:rPr>
        <w:t>Exhibit 7(n)</w:t>
      </w:r>
      <w:r>
        <w:rPr>
          <w:rFonts w:ascii="Times New Roman" w:hAnsi="Times New Roman"/>
          <w:sz w:val="20"/>
        </w:rPr>
        <w:t xml:space="preserve"> for which no waiver is applicable. </w:t>
      </w:r>
    </w:p>
    <w:p>
      <w:pPr>
        <w:pStyle w:val="TextBody"/>
        <w:bidi w:val="0"/>
        <w:spacing w:before="240" w:after="0"/>
        <w:jc w:val="both"/>
        <w:rPr>
          <w:rFonts w:ascii="Times New Roman" w:hAnsi="Times New Roman"/>
          <w:sz w:val="20"/>
        </w:rPr>
      </w:pPr>
      <w:r>
        <w:rPr>
          <w:rFonts w:ascii="Times New Roman" w:hAnsi="Times New Roman"/>
          <w:sz w:val="20"/>
        </w:rPr>
        <w:t xml:space="preserve">(q) </w:t>
      </w:r>
      <w:r>
        <w:rPr>
          <w:rFonts w:ascii="Times New Roman" w:hAnsi="Times New Roman"/>
          <w:sz w:val="20"/>
          <w:u w:val="single"/>
        </w:rPr>
        <w:t>Comfort Letter</w:t>
      </w:r>
      <w:r>
        <w:rPr>
          <w:rFonts w:ascii="Times New Roman" w:hAnsi="Times New Roman"/>
          <w:sz w:val="20"/>
        </w:rPr>
        <w:t xml:space="preserve">. On or prior to the First Delivery Date and within one (1) Trading Day of each Bring-Down Date with respect to which the Company is obligated to deliver a certificate in the form attached hereto as </w:t>
      </w:r>
      <w:r>
        <w:rPr>
          <w:rFonts w:ascii="Times New Roman" w:hAnsi="Times New Roman"/>
          <w:sz w:val="20"/>
          <w:u w:val="single"/>
        </w:rPr>
        <w:t>Exhibit 7(n)</w:t>
      </w:r>
      <w:r>
        <w:rPr>
          <w:rFonts w:ascii="Times New Roman" w:hAnsi="Times New Roman"/>
          <w:sz w:val="20"/>
        </w:rPr>
        <w:t xml:space="preserve"> for which no waiver is applicable, the Company shall cause its independent accountants to furnish TD Cowen letters (the “</w:t>
      </w:r>
      <w:r>
        <w:rPr>
          <w:rFonts w:ascii="Times New Roman" w:hAnsi="Times New Roman"/>
          <w:b/>
          <w:sz w:val="20"/>
          <w:u w:val="single"/>
        </w:rPr>
        <w:t>Comfort Letters</w:t>
      </w:r>
      <w:r>
        <w:rPr>
          <w:rFonts w:ascii="Times New Roman" w:hAnsi="Times New Roman"/>
          <w:sz w:val="20"/>
        </w:rPr>
        <w:t>”), dated the date the Comfort Letter is delivered, in form and substance satisfactory to TD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rFonts w:ascii="Times New Roman" w:hAnsi="Times New Roman"/>
          <w:b/>
          <w:sz w:val="20"/>
          <w:u w:val="single"/>
        </w:rPr>
        <w:t>Initial Comfort Letter</w:t>
      </w:r>
      <w:r>
        <w:rPr>
          <w:rFonts w:ascii="Times New Roman" w:hAnsi="Times New Roman"/>
          <w:sz w:val="20"/>
        </w:rPr>
        <w:t xml:space="preserve">”)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w:t>
      </w:r>
    </w:p>
    <w:p>
      <w:pPr>
        <w:pStyle w:val="TextBody"/>
        <w:bidi w:val="0"/>
        <w:spacing w:before="240" w:after="0"/>
        <w:jc w:val="both"/>
        <w:rPr>
          <w:rFonts w:ascii="Times New Roman" w:hAnsi="Times New Roman"/>
          <w:sz w:val="20"/>
        </w:rPr>
      </w:pPr>
      <w:r>
        <w:rPr>
          <w:rFonts w:ascii="Times New Roman" w:hAnsi="Times New Roman"/>
          <w:sz w:val="20"/>
        </w:rPr>
        <w:t xml:space="preserve">(r) </w:t>
      </w:r>
      <w:r>
        <w:rPr>
          <w:rFonts w:ascii="Times New Roman" w:hAnsi="Times New Roman"/>
          <w:sz w:val="20"/>
          <w:u w:val="single"/>
        </w:rPr>
        <w:t>Market Activities</w:t>
      </w:r>
      <w:r>
        <w:rPr>
          <w:rFonts w:ascii="Times New Roman" w:hAnsi="Times New Roman"/>
          <w:sz w:val="20"/>
        </w:rPr>
        <w:t xml:space="preserve">.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provided, however, that the Company may bid for and purchase shares of its Common Stock in accordance with Rule 10b-18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 </w:t>
      </w:r>
      <w:r>
        <w:rPr>
          <w:rFonts w:ascii="Times New Roman" w:hAnsi="Times New Roman"/>
          <w:sz w:val="20"/>
          <w:u w:val="single"/>
        </w:rPr>
        <w:t>Insurance</w:t>
      </w:r>
      <w:r>
        <w:rPr>
          <w:rFonts w:ascii="Times New Roman" w:hAnsi="Times New Roman"/>
          <w:sz w:val="20"/>
        </w:rPr>
        <w:t xml:space="preserve">. The Company and its Subsidiaries shall maintain, or cause to be maintained, insurance in such amounts and covering such risks as is reasonable and customary for the business for which it is engaged. </w:t>
      </w:r>
    </w:p>
    <w:p>
      <w:pPr>
        <w:pStyle w:val="TextBody"/>
        <w:bidi w:val="0"/>
        <w:spacing w:before="240" w:after="0"/>
        <w:jc w:val="both"/>
        <w:rPr>
          <w:rFonts w:ascii="Times New Roman" w:hAnsi="Times New Roman"/>
          <w:sz w:val="20"/>
        </w:rPr>
      </w:pPr>
      <w:r>
        <w:rPr>
          <w:rFonts w:ascii="Times New Roman" w:hAnsi="Times New Roman"/>
          <w:sz w:val="20"/>
        </w:rPr>
        <w:t xml:space="preserve">(t) </w:t>
      </w:r>
      <w:r>
        <w:rPr>
          <w:rFonts w:ascii="Times New Roman" w:hAnsi="Times New Roman"/>
          <w:sz w:val="20"/>
          <w:u w:val="single"/>
        </w:rPr>
        <w:t>Compliance with Laws</w:t>
      </w:r>
      <w:r>
        <w:rPr>
          <w:rFonts w:ascii="Times New Roman" w:hAnsi="Times New Roman"/>
          <w:sz w:val="20"/>
        </w:rPr>
        <w:t xml:space="preserve">.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 </w:t>
      </w:r>
    </w:p>
    <w:p>
      <w:pPr>
        <w:pStyle w:val="TextBody"/>
        <w:bidi w:val="0"/>
        <w:spacing w:before="240" w:after="0"/>
        <w:jc w:val="both"/>
        <w:rPr>
          <w:rFonts w:ascii="Times New Roman" w:hAnsi="Times New Roman"/>
          <w:sz w:val="20"/>
        </w:rPr>
      </w:pPr>
      <w:r>
        <w:rPr>
          <w:rFonts w:ascii="Times New Roman" w:hAnsi="Times New Roman"/>
          <w:sz w:val="20"/>
        </w:rPr>
        <w:t xml:space="preserve">(u) </w:t>
      </w:r>
      <w:r>
        <w:rPr>
          <w:rFonts w:ascii="Times New Roman" w:hAnsi="Times New Roman"/>
          <w:sz w:val="20"/>
          <w:u w:val="single"/>
        </w:rPr>
        <w:t>Investment Company Act</w:t>
      </w:r>
      <w:r>
        <w:rPr>
          <w:rFonts w:ascii="Times New Roman" w:hAnsi="Times New Roman"/>
          <w:sz w:val="20"/>
        </w:rPr>
        <w:t xml:space="preserve">.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 </w:t>
      </w:r>
    </w:p>
    <w:p>
      <w:pPr>
        <w:pStyle w:val="TextBody"/>
        <w:bidi w:val="0"/>
        <w:spacing w:before="240" w:after="0"/>
        <w:jc w:val="both"/>
        <w:rPr>
          <w:rFonts w:ascii="Times New Roman" w:hAnsi="Times New Roman"/>
          <w:sz w:val="20"/>
        </w:rPr>
      </w:pPr>
      <w:r>
        <w:rPr>
          <w:rFonts w:ascii="Times New Roman" w:hAnsi="Times New Roman"/>
          <w:sz w:val="20"/>
        </w:rPr>
        <w:t xml:space="preserve">(v) </w:t>
      </w:r>
      <w:r>
        <w:rPr>
          <w:rFonts w:ascii="Times New Roman" w:hAnsi="Times New Roman"/>
          <w:sz w:val="20"/>
          <w:u w:val="single"/>
        </w:rPr>
        <w:t>Securities Act and Exchange Act</w:t>
      </w:r>
      <w:r>
        <w:rPr>
          <w:rFonts w:ascii="Times New Roman" w:hAnsi="Times New Roman"/>
          <w:sz w:val="20"/>
        </w:rPr>
        <w:t xml:space="preserve">.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 </w:t>
      </w:r>
    </w:p>
    <w:p>
      <w:pPr>
        <w:pStyle w:val="TextBody"/>
        <w:bidi w:val="0"/>
        <w:spacing w:before="240" w:after="0"/>
        <w:jc w:val="both"/>
        <w:rPr>
          <w:rFonts w:ascii="Times New Roman" w:hAnsi="Times New Roman"/>
          <w:sz w:val="20"/>
        </w:rPr>
      </w:pPr>
      <w:r>
        <w:rPr>
          <w:rFonts w:ascii="Times New Roman" w:hAnsi="Times New Roman"/>
          <w:sz w:val="20"/>
        </w:rPr>
        <w:t xml:space="preserve">(w) </w:t>
      </w:r>
      <w:r>
        <w:rPr>
          <w:rFonts w:ascii="Times New Roman" w:hAnsi="Times New Roman"/>
          <w:sz w:val="20"/>
          <w:u w:val="single"/>
        </w:rPr>
        <w:t>No Offer to Sell</w:t>
      </w:r>
      <w:r>
        <w:rPr>
          <w:rFonts w:ascii="Times New Roman" w:hAnsi="Times New Roman"/>
          <w:sz w:val="20"/>
        </w:rPr>
        <w:t xml:space="preserve">. Other than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 </w:t>
      </w:r>
    </w:p>
    <w:p>
      <w:pPr>
        <w:pStyle w:val="TextBody"/>
        <w:bidi w:val="0"/>
        <w:spacing w:before="240" w:after="0"/>
        <w:jc w:val="both"/>
        <w:rPr>
          <w:rFonts w:ascii="Times New Roman" w:hAnsi="Times New Roman"/>
          <w:sz w:val="20"/>
        </w:rPr>
      </w:pPr>
      <w:r>
        <w:rPr>
          <w:rFonts w:ascii="Times New Roman" w:hAnsi="Times New Roman"/>
          <w:sz w:val="20"/>
        </w:rPr>
        <w:t xml:space="preserve">(x) </w:t>
      </w:r>
      <w:r>
        <w:rPr>
          <w:rFonts w:ascii="Times New Roman" w:hAnsi="Times New Roman"/>
          <w:sz w:val="20"/>
          <w:u w:val="single"/>
        </w:rPr>
        <w:t>Sarbanes-Oxley Act</w:t>
      </w:r>
      <w:r>
        <w:rPr>
          <w:rFonts w:ascii="Times New Roman" w:hAnsi="Times New Roman"/>
          <w:sz w:val="20"/>
        </w:rPr>
        <w:t xml:space="preserve">. The Company and its Subsidiaries will use their best efforts to comply with all effective applicable provisions of the Sarbanes-Oxley Act. </w:t>
      </w:r>
    </w:p>
    <w:p>
      <w:pPr>
        <w:pStyle w:val="TextBody"/>
        <w:bidi w:val="0"/>
        <w:spacing w:before="240" w:after="0"/>
        <w:jc w:val="both"/>
        <w:rPr>
          <w:rFonts w:ascii="Times New Roman" w:hAnsi="Times New Roman"/>
          <w:sz w:val="20"/>
        </w:rPr>
      </w:pPr>
      <w:r>
        <w:rPr>
          <w:rFonts w:ascii="Times New Roman" w:hAnsi="Times New Roman"/>
          <w:sz w:val="20"/>
        </w:rPr>
        <w:t xml:space="preserve">(y) </w:t>
      </w:r>
      <w:r>
        <w:rPr>
          <w:rFonts w:ascii="Times New Roman" w:hAnsi="Times New Roman"/>
          <w:sz w:val="20"/>
          <w:u w:val="single"/>
        </w:rPr>
        <w:t>Affirmation</w:t>
      </w:r>
      <w:r>
        <w:rPr>
          <w:rFonts w:ascii="Times New Roman" w:hAnsi="Times New Roman"/>
          <w:sz w:val="20"/>
        </w:rPr>
        <w:t xml:space="preserve">.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 </w:t>
      </w:r>
    </w:p>
    <w:p>
      <w:pPr>
        <w:pStyle w:val="TextBody"/>
        <w:bidi w:val="0"/>
        <w:spacing w:before="240" w:after="0"/>
        <w:jc w:val="both"/>
        <w:rPr>
          <w:rFonts w:ascii="Times New Roman" w:hAnsi="Times New Roman"/>
          <w:sz w:val="20"/>
        </w:rPr>
      </w:pPr>
      <w:r>
        <w:rPr>
          <w:rFonts w:ascii="Times New Roman" w:hAnsi="Times New Roman"/>
          <w:sz w:val="20"/>
        </w:rPr>
        <w:t xml:space="preserve">8. </w:t>
      </w:r>
      <w:r>
        <w:rPr>
          <w:rFonts w:ascii="Times New Roman" w:hAnsi="Times New Roman"/>
          <w:sz w:val="20"/>
          <w:u w:val="single"/>
        </w:rPr>
        <w:t>Conditions to TD Cowen’s Obligations</w:t>
      </w:r>
      <w:r>
        <w:rPr>
          <w:rFonts w:ascii="Times New Roman" w:hAnsi="Times New Roman"/>
          <w:sz w:val="20"/>
        </w:rPr>
        <w:t xml:space="preserve">.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diligence review satisfactory to TD Cowen in its reasonable judgment, and to the continuing satisfaction (or waiver by TD Cowen in its sole discretion) of the following additional conditions: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Effective</w:t>
      </w:r>
      <w:r>
        <w:rPr>
          <w:rFonts w:ascii="Times New Roman" w:hAnsi="Times New Roman"/>
          <w:sz w:val="20"/>
        </w:rPr>
        <w:t xml:space="preserve">. The Registration Statement shall be effective and shall be available for (i) all sales of Placement Shares issued pursuant to all prior Placement Notices and (ii) the sale of all Placement Shares contemplated to be issued pursuant to any Placement Notice.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No Material Notices</w:t>
      </w:r>
      <w:r>
        <w:rPr>
          <w:rFonts w:ascii="Times New Roman" w:hAnsi="Times New Roman"/>
          <w:sz w:val="20"/>
        </w:rPr>
        <w:t xml:space="preserve">.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No Misstatement or Material Omission</w:t>
      </w:r>
      <w:r>
        <w:rPr>
          <w:rFonts w:ascii="Times New Roman" w:hAnsi="Times New Roman"/>
          <w:sz w:val="20"/>
        </w:rPr>
        <w:t xml:space="preserve">. TD Cowen shall not have advised the Company that the Registration Statement or Prospectus, or any amendment or supplement thereto, contains an untrue statement of fact that in TD Cowen’s reasonable opinion is material, or omits to state a fact that in TD Cowen’s opinion is material and is required to be stated therein or is necessary to make the statements therein not misleading.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Material Changes</w:t>
      </w:r>
      <w:r>
        <w:rPr>
          <w:rFonts w:ascii="Times New Roman" w:hAnsi="Times New Roman"/>
          <w:sz w:val="20"/>
        </w:rPr>
        <w:t xml:space="preserve">.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Company Counsel Legal Opinion</w:t>
      </w:r>
      <w:r>
        <w:rPr>
          <w:rFonts w:ascii="Times New Roman" w:hAnsi="Times New Roman"/>
          <w:sz w:val="20"/>
        </w:rPr>
        <w:t xml:space="preserve">. TD Cowen shall have received the opinion and negative assurance letter of Company Counsel required to be delivered pursuant to </w:t>
      </w:r>
      <w:r>
        <w:rPr>
          <w:rFonts w:ascii="Times New Roman" w:hAnsi="Times New Roman"/>
          <w:sz w:val="20"/>
          <w:u w:val="single"/>
        </w:rPr>
        <w:t>Section 7(o)</w:t>
      </w:r>
      <w:r>
        <w:rPr>
          <w:rFonts w:ascii="Times New Roman" w:hAnsi="Times New Roman"/>
          <w:sz w:val="20"/>
        </w:rPr>
        <w:t xml:space="preserve"> (Legal Opinion) on or before the date on which such delivery of such opinion and negative assurance letter is required pursuant to </w:t>
      </w:r>
      <w:r>
        <w:rPr>
          <w:rFonts w:ascii="Times New Roman" w:hAnsi="Times New Roman"/>
          <w:sz w:val="20"/>
          <w:u w:val="single"/>
        </w:rPr>
        <w:t>Section 7(o)</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(f) </w:t>
      </w:r>
      <w:r>
        <w:rPr>
          <w:rFonts w:ascii="Times New Roman" w:hAnsi="Times New Roman"/>
          <w:sz w:val="20"/>
          <w:u w:val="single"/>
        </w:rPr>
        <w:t>TD Cowen Counsel Legal Opinion</w:t>
      </w:r>
      <w:r>
        <w:rPr>
          <w:rFonts w:ascii="Times New Roman" w:hAnsi="Times New Roman"/>
          <w:sz w:val="20"/>
        </w:rPr>
        <w:t xml:space="preserve">. TD Cowen shall have received from Davis Polk &amp; Wardwell LLP, counsel for TD Cowen, such opinion and negative assurance letter, on or before the date on which the delivery of the Company Counsel legal opinion and negative assurance letter are required pursuant to </w:t>
      </w:r>
      <w:r>
        <w:rPr>
          <w:rFonts w:ascii="Times New Roman" w:hAnsi="Times New Roman"/>
          <w:sz w:val="20"/>
          <w:u w:val="single"/>
        </w:rPr>
        <w:t>Section 7(o)</w:t>
      </w:r>
      <w:r>
        <w:rPr>
          <w:rFonts w:ascii="Times New Roman" w:hAnsi="Times New Roman"/>
          <w:sz w:val="20"/>
        </w:rPr>
        <w:t xml:space="preserve"> (Legal Opinion), with respect to such matters as TD Cowen may reasonably require, and the Company shall have furnished to such counsel such documents as they request for enabling them to pass upon such matters. </w:t>
      </w:r>
    </w:p>
    <w:p>
      <w:pPr>
        <w:pStyle w:val="TextBody"/>
        <w:bidi w:val="0"/>
        <w:spacing w:before="240" w:after="0"/>
        <w:jc w:val="both"/>
        <w:rPr>
          <w:rFonts w:ascii="Times New Roman" w:hAnsi="Times New Roman"/>
          <w:sz w:val="20"/>
        </w:rPr>
      </w:pPr>
      <w:r>
        <w:rPr>
          <w:rFonts w:ascii="Times New Roman" w:hAnsi="Times New Roman"/>
          <w:sz w:val="20"/>
        </w:rPr>
        <w:t xml:space="preserve">(g) </w:t>
      </w:r>
      <w:r>
        <w:rPr>
          <w:rFonts w:ascii="Times New Roman" w:hAnsi="Times New Roman"/>
          <w:sz w:val="20"/>
          <w:u w:val="single"/>
        </w:rPr>
        <w:t>Legal Opinions of Company Intellectual Property Counsel</w:t>
      </w:r>
      <w:r>
        <w:rPr>
          <w:rFonts w:ascii="Times New Roman" w:hAnsi="Times New Roman"/>
          <w:sz w:val="20"/>
        </w:rPr>
        <w:t xml:space="preserve">. TD Cowen shall have received on each date specified in </w:t>
      </w:r>
      <w:r>
        <w:rPr>
          <w:rFonts w:ascii="Times New Roman" w:hAnsi="Times New Roman"/>
          <w:sz w:val="20"/>
          <w:u w:val="single"/>
        </w:rPr>
        <w:t>Section 7(p)</w:t>
      </w:r>
      <w:r>
        <w:rPr>
          <w:rFonts w:ascii="Times New Roman" w:hAnsi="Times New Roman"/>
          <w:sz w:val="20"/>
        </w:rPr>
        <w:t xml:space="preserve"> opinions of Morrison &amp; Foerster LLP and Sterne, Kessler, Goldstein &amp; Fox P.L.L.C, intellectual property counsel for the Company, dated such date, in form and substance reasonably satisfactory to TD Cowen. </w:t>
      </w:r>
    </w:p>
    <w:p>
      <w:pPr>
        <w:pStyle w:val="TextBody"/>
        <w:bidi w:val="0"/>
        <w:spacing w:before="240" w:after="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Comfort Letter</w:t>
      </w:r>
      <w:r>
        <w:rPr>
          <w:rFonts w:ascii="Times New Roman" w:hAnsi="Times New Roman"/>
          <w:sz w:val="20"/>
        </w:rPr>
        <w:t xml:space="preserve">. TD Cowen shall have received the Comfort Letter required to be delivered pursuant to </w:t>
      </w:r>
      <w:r>
        <w:rPr>
          <w:rFonts w:ascii="Times New Roman" w:hAnsi="Times New Roman"/>
          <w:sz w:val="20"/>
          <w:u w:val="single"/>
        </w:rPr>
        <w:t>Section 7(q)</w:t>
      </w:r>
      <w:r>
        <w:rPr>
          <w:rFonts w:ascii="Times New Roman" w:hAnsi="Times New Roman"/>
          <w:sz w:val="20"/>
        </w:rPr>
        <w:t xml:space="preserve"> (Comfort Letter) on or before the date on which such delivery of such Comfort Letter is required pursuant to </w:t>
      </w:r>
      <w:r>
        <w:rPr>
          <w:rFonts w:ascii="Times New Roman" w:hAnsi="Times New Roman"/>
          <w:sz w:val="20"/>
          <w:u w:val="single"/>
        </w:rPr>
        <w:t>Section 7(q)</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 </w:t>
      </w:r>
      <w:r>
        <w:rPr>
          <w:rFonts w:ascii="Times New Roman" w:hAnsi="Times New Roman"/>
          <w:sz w:val="20"/>
          <w:u w:val="single"/>
        </w:rPr>
        <w:t>Representation Certificate</w:t>
      </w:r>
      <w:r>
        <w:rPr>
          <w:rFonts w:ascii="Times New Roman" w:hAnsi="Times New Roman"/>
          <w:sz w:val="20"/>
        </w:rPr>
        <w:t xml:space="preserve">. TD Cowen shall have received the certificate required to be delivered pursuant to </w:t>
      </w:r>
      <w:r>
        <w:rPr>
          <w:rFonts w:ascii="Times New Roman" w:hAnsi="Times New Roman"/>
          <w:sz w:val="20"/>
          <w:u w:val="single"/>
        </w:rPr>
        <w:t>Section 7(n)</w:t>
      </w:r>
      <w:r>
        <w:rPr>
          <w:rFonts w:ascii="Times New Roman" w:hAnsi="Times New Roman"/>
          <w:sz w:val="20"/>
        </w:rPr>
        <w:t xml:space="preserve"> (Bring-Down Dates; Certificate) on or before the date on which delivery of such certificate is required pursuant to </w:t>
      </w:r>
      <w:r>
        <w:rPr>
          <w:rFonts w:ascii="Times New Roman" w:hAnsi="Times New Roman"/>
          <w:sz w:val="20"/>
          <w:u w:val="single"/>
        </w:rPr>
        <w:t>Section 7(n)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(j) </w:t>
      </w:r>
      <w:r>
        <w:rPr>
          <w:rFonts w:ascii="Times New Roman" w:hAnsi="Times New Roman"/>
          <w:sz w:val="20"/>
          <w:u w:val="single"/>
        </w:rPr>
        <w:t>Secretary’s Certificate</w:t>
      </w:r>
      <w:r>
        <w:rPr>
          <w:rFonts w:ascii="Times New Roman" w:hAnsi="Times New Roman"/>
          <w:sz w:val="20"/>
        </w:rPr>
        <w:t xml:space="preserve">. On or prior to the First Delivery Date, TD Cowen shall have received a certificate, signed on behalf of the Company by its corporate secretary, in form and substance reasonably satisfactory to TD Cowen and its counsel. </w:t>
      </w:r>
    </w:p>
    <w:p>
      <w:pPr>
        <w:pStyle w:val="TextBody"/>
        <w:bidi w:val="0"/>
        <w:spacing w:before="240" w:after="0"/>
        <w:jc w:val="both"/>
        <w:rPr>
          <w:rFonts w:ascii="Times New Roman" w:hAnsi="Times New Roman"/>
          <w:sz w:val="20"/>
        </w:rPr>
      </w:pPr>
      <w:r>
        <w:rPr>
          <w:rFonts w:ascii="Times New Roman" w:hAnsi="Times New Roman"/>
          <w:sz w:val="20"/>
        </w:rPr>
        <w:t xml:space="preserve">(k) </w:t>
      </w:r>
      <w:r>
        <w:rPr>
          <w:rFonts w:ascii="Times New Roman" w:hAnsi="Times New Roman"/>
          <w:sz w:val="20"/>
          <w:u w:val="single"/>
        </w:rPr>
        <w:t>No Suspension</w:t>
      </w:r>
      <w:r>
        <w:rPr>
          <w:rFonts w:ascii="Times New Roman" w:hAnsi="Times New Roman"/>
          <w:sz w:val="20"/>
        </w:rPr>
        <w:t xml:space="preserve">. Trading in the Common Stock shall not have been suspended on Nasdaq. </w:t>
      </w:r>
    </w:p>
    <w:p>
      <w:pPr>
        <w:pStyle w:val="TextBody"/>
        <w:bidi w:val="0"/>
        <w:spacing w:before="240" w:after="0"/>
        <w:jc w:val="both"/>
        <w:rPr>
          <w:rFonts w:ascii="Times New Roman" w:hAnsi="Times New Roman"/>
          <w:sz w:val="20"/>
        </w:rPr>
      </w:pPr>
      <w:r>
        <w:rPr>
          <w:rFonts w:ascii="Times New Roman" w:hAnsi="Times New Roman"/>
          <w:sz w:val="20"/>
        </w:rPr>
        <w:t xml:space="preserve">(l) </w:t>
      </w:r>
      <w:r>
        <w:rPr>
          <w:rFonts w:ascii="Times New Roman" w:hAnsi="Times New Roman"/>
          <w:sz w:val="20"/>
          <w:u w:val="single"/>
        </w:rPr>
        <w:t>Other Materials</w:t>
      </w:r>
      <w:r>
        <w:rPr>
          <w:rFonts w:ascii="Times New Roman" w:hAnsi="Times New Roman"/>
          <w:sz w:val="20"/>
        </w:rPr>
        <w:t xml:space="preserve">. On each date on which the Company is required to deliver a certificate pursuant to </w:t>
      </w:r>
      <w:r>
        <w:rPr>
          <w:rFonts w:ascii="Times New Roman" w:hAnsi="Times New Roman"/>
          <w:sz w:val="20"/>
          <w:u w:val="single"/>
        </w:rPr>
        <w:t>Section 7(n)</w:t>
      </w:r>
      <w:r>
        <w:rPr>
          <w:rFonts w:ascii="Times New Roman" w:hAnsi="Times New Roman"/>
          <w:sz w:val="20"/>
        </w:rPr>
        <w:t xml:space="preserve"> (Bring-Down Dates; Certificate),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 </w:t>
      </w:r>
    </w:p>
    <w:p>
      <w:pPr>
        <w:pStyle w:val="TextBody"/>
        <w:bidi w:val="0"/>
        <w:spacing w:before="240" w:after="0"/>
        <w:jc w:val="both"/>
        <w:rPr>
          <w:rFonts w:ascii="Times New Roman" w:hAnsi="Times New Roman"/>
          <w:sz w:val="20"/>
        </w:rPr>
      </w:pPr>
      <w:r>
        <w:rPr>
          <w:rFonts w:ascii="Times New Roman" w:hAnsi="Times New Roman"/>
          <w:sz w:val="20"/>
        </w:rPr>
        <w:t xml:space="preserve">(m) </w:t>
      </w:r>
      <w:r>
        <w:rPr>
          <w:rFonts w:ascii="Times New Roman" w:hAnsi="Times New Roman"/>
          <w:sz w:val="20"/>
          <w:u w:val="single"/>
        </w:rPr>
        <w:t>Securities Act Filings Made</w:t>
      </w:r>
      <w:r>
        <w:rPr>
          <w:rFonts w:ascii="Times New Roman" w:hAnsi="Times New Roman"/>
          <w:sz w:val="20"/>
        </w:rPr>
        <w:t xml:space="preserve">. All filings with the Commission required by Rule 424 under the Securities Act to have been filed prior to the issuance of any Placement Notice hereunder shall have been made within the applicable time period prescribed for such filing by Rule 424. </w:t>
      </w:r>
    </w:p>
    <w:p>
      <w:pPr>
        <w:pStyle w:val="TextBody"/>
        <w:bidi w:val="0"/>
        <w:spacing w:before="240" w:after="0"/>
        <w:jc w:val="both"/>
        <w:rPr>
          <w:rFonts w:ascii="Times New Roman" w:hAnsi="Times New Roman"/>
          <w:sz w:val="20"/>
        </w:rPr>
      </w:pPr>
      <w:r>
        <w:rPr>
          <w:rFonts w:ascii="Times New Roman" w:hAnsi="Times New Roman"/>
          <w:sz w:val="20"/>
        </w:rPr>
        <w:t xml:space="preserve">(n) </w:t>
      </w:r>
      <w:r>
        <w:rPr>
          <w:rFonts w:ascii="Times New Roman" w:hAnsi="Times New Roman"/>
          <w:sz w:val="20"/>
          <w:u w:val="single"/>
        </w:rPr>
        <w:t>Approval for Listing</w:t>
      </w:r>
      <w:r>
        <w:rPr>
          <w:rFonts w:ascii="Times New Roman" w:hAnsi="Times New Roman"/>
          <w:sz w:val="20"/>
        </w:rPr>
        <w:t xml:space="preserve">. The Placement Shares shall either have been (i) approved for listing on Nasdaq, subject only to notice of issuance, or (ii) the Company shall have filed an application for listing of the Placement Shares on Nasdaq at, or prior to, the issuance of any Placement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 </w:t>
      </w:r>
      <w:r>
        <w:rPr>
          <w:rFonts w:ascii="Times New Roman" w:hAnsi="Times New Roman"/>
          <w:sz w:val="20"/>
          <w:u w:val="single"/>
        </w:rPr>
        <w:t>No Termination Event</w:t>
      </w:r>
      <w:r>
        <w:rPr>
          <w:rFonts w:ascii="Times New Roman" w:hAnsi="Times New Roman"/>
          <w:sz w:val="20"/>
        </w:rPr>
        <w:t xml:space="preserve">. There shall not have occurred any event that would permit TD Cowen to terminate this Agreement pursuant to </w:t>
      </w:r>
      <w:r>
        <w:rPr>
          <w:rFonts w:ascii="Times New Roman" w:hAnsi="Times New Roman"/>
          <w:sz w:val="20"/>
          <w:u w:val="single"/>
        </w:rPr>
        <w:t>Section 11(a)</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9.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Indemnification</w:t>
      </w:r>
      <w:r>
        <w:rPr>
          <w:rFonts w:ascii="Times New Roman" w:hAnsi="Times New Roman"/>
          <w:sz w:val="20"/>
        </w:rPr>
        <w:t xml:space="preserve">. The Company agrees to indemnify and hold harmless TD Cowen, the directors, officers, partners, employees and agents of TD Cowen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Times New Roman" w:hAnsi="Times New Roman"/>
          <w:sz w:val="20"/>
          <w:u w:val="single"/>
        </w:rPr>
        <w:t>Section 9(c)</w:t>
      </w:r>
      <w:r>
        <w:rPr>
          <w:rFonts w:ascii="Times New Roman" w:hAnsi="Times New Roman"/>
          <w:sz w:val="20"/>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or (y) the omission or alleged omission to state in any such document a material fact required to be stated in it or necessary to make the statements in it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w:t>
      </w:r>
      <w:r>
        <w:rPr>
          <w:rFonts w:ascii="Times New Roman" w:hAnsi="Times New Roman"/>
          <w:b/>
          <w:sz w:val="20"/>
          <w:u w:val="single"/>
        </w:rPr>
        <w:t>Agent</w:t>
      </w:r>
      <w:r>
        <w:rPr>
          <w:rFonts w:ascii="Times New Roman" w:hAnsi="Times New Roman"/>
          <w:sz w:val="20"/>
          <w:u w:val="single"/>
        </w:rPr>
        <w:t>’</w:t>
      </w:r>
      <w:r>
        <w:rPr>
          <w:rFonts w:ascii="Times New Roman" w:hAnsi="Times New Roman"/>
          <w:b/>
          <w:sz w:val="20"/>
          <w:u w:val="single"/>
        </w:rPr>
        <w:t>s Information</w:t>
      </w:r>
      <w:r>
        <w:rPr>
          <w:rFonts w:ascii="Times New Roman" w:hAnsi="Times New Roman"/>
          <w:sz w:val="20"/>
        </w:rPr>
        <w:t xml:space="preserve">” means, solely, the following information in the Prospectus: the third sentence in the eighth paragraph under the caption “Plan of Distribution” in the Prospectus. This indemnity agreement will be in addition to any liability that the Company might otherwise have.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TD Cowen Indemnification</w:t>
      </w:r>
      <w:r>
        <w:rPr>
          <w:rFonts w:ascii="Times New Roman" w:hAnsi="Times New Roman"/>
          <w:sz w:val="20"/>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hAnsi="Times New Roman"/>
          <w:sz w:val="20"/>
          <w:u w:val="single"/>
        </w:rPr>
        <w:t>Section 9(a)</w:t>
      </w:r>
      <w:r>
        <w:rPr>
          <w:rFonts w:ascii="Times New Roman" w:hAnsi="Times New Roman"/>
          <w:sz w:val="20"/>
        </w:rPr>
        <w:t xml:space="preserve"> (Company Indemnification),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Procedure</w:t>
      </w:r>
      <w:r>
        <w:rPr>
          <w:rFonts w:ascii="Times New Roman" w:hAnsi="Times New Roman"/>
          <w:sz w:val="20"/>
        </w:rPr>
        <w:t xml:space="preserve">. Any party that proposes to assert the right to be indemnified under this </w:t>
      </w:r>
      <w:r>
        <w:rPr>
          <w:rFonts w:ascii="Times New Roman" w:hAnsi="Times New Roman"/>
          <w:sz w:val="20"/>
          <w:u w:val="single"/>
        </w:rPr>
        <w:t>Section 9</w:t>
      </w:r>
      <w:r>
        <w:rPr>
          <w:rFonts w:ascii="Times New Roman" w:hAnsi="Times New Roman"/>
          <w:sz w:val="20"/>
        </w:rPr>
        <w:t xml:space="preserve"> will, promptly after receipt of notice of commencement of any action against such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respect of which a claim is to be made against an indemnifying party or parties under this </w:t>
      </w:r>
      <w:r>
        <w:rPr>
          <w:rFonts w:ascii="Times New Roman" w:hAnsi="Times New Roman"/>
          <w:sz w:val="20"/>
          <w:u w:val="single"/>
        </w:rPr>
        <w:t>Section 9</w:t>
      </w:r>
      <w:r>
        <w:rPr>
          <w:rFonts w:ascii="Times New Roman" w:hAnsi="Times New Roman"/>
          <w:sz w:val="20"/>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hAnsi="Times New Roman"/>
          <w:sz w:val="20"/>
          <w:u w:val="single"/>
        </w:rPr>
        <w:t>Section 9</w:t>
      </w:r>
      <w:r>
        <w:rPr>
          <w:rFonts w:ascii="Times New Roman" w:hAnsi="Times New Roman"/>
          <w:sz w:val="20"/>
        </w:rPr>
        <w:t xml:space="preserve"> and (ii) any liability that it may have to any indemnified party under the foregoing provision of this </w:t>
      </w:r>
      <w:r>
        <w:rPr>
          <w:rFonts w:ascii="Times New Roman" w:hAnsi="Times New Roman"/>
          <w:sz w:val="20"/>
          <w:u w:val="single"/>
        </w:rPr>
        <w:t>Section 9</w:t>
      </w:r>
      <w:r>
        <w:rPr>
          <w:rFonts w:ascii="Times New Roman" w:hAnsi="Times New Roman"/>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hAnsi="Times New Roman"/>
          <w:sz w:val="20"/>
          <w:u w:val="single"/>
        </w:rPr>
        <w:t>Section 9</w:t>
      </w:r>
      <w:r>
        <w:rPr>
          <w:rFonts w:ascii="Times New Roman" w:hAnsi="Times New Roman"/>
          <w:sz w:val="20"/>
        </w:rPr>
        <w:t xml:space="preserve"> (whether or not any indemnified party is a party thereto), unless such settlement, compromise or consent includes an unconditional release of each indemnified party from all liability arising or that may arise out of such claim, action or proceeding.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Contribution</w:t>
      </w:r>
      <w:r>
        <w:rPr>
          <w:rFonts w:ascii="Times New Roman" w:hAnsi="Times New Roman"/>
          <w:sz w:val="20"/>
        </w:rPr>
        <w:t xml:space="preserve">. In order to provide for just and equitable contribution in circumstances in which the indemnification provided for in the foregoing paragraphs of this </w:t>
      </w:r>
      <w:r>
        <w:rPr>
          <w:rFonts w:ascii="Times New Roman" w:hAnsi="Times New Roman"/>
          <w:sz w:val="20"/>
          <w:u w:val="single"/>
        </w:rPr>
        <w:t>Section 9</w:t>
      </w:r>
      <w:r>
        <w:rPr>
          <w:rFonts w:ascii="Times New Roman" w:hAnsi="Times New Roman"/>
          <w:sz w:val="20"/>
        </w:rPr>
        <w:t xml:space="preserve"> is applicable in accordance with its terms but for any reason is held to be unavailable from the Company or TD Cowen, the Company and TD Cowen will contribute to the total losses, claims, liabilities, expenses and damages (including any investigative, legal and other expenses reasonably incurred in connection with, and any amount paid in settlement of, any action, suit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hAnsi="Times New Roman"/>
          <w:sz w:val="20"/>
          <w:u w:val="single"/>
        </w:rPr>
        <w:t>Section 9(d)</w:t>
      </w:r>
      <w:r>
        <w:rPr>
          <w:rFonts w:ascii="Times New Roman" w:hAnsi="Times New Roman"/>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hAnsi="Times New Roman"/>
          <w:sz w:val="20"/>
          <w:u w:val="single"/>
        </w:rPr>
        <w:t>Section 9(d)</w:t>
      </w:r>
      <w:r>
        <w:rPr>
          <w:rFonts w:ascii="Times New Roman" w:hAnsi="Times New Roman"/>
          <w:sz w:val="20"/>
        </w:rPr>
        <w:t xml:space="preserve"> shall be deemed to include, for the purpose of this </w:t>
      </w:r>
      <w:r>
        <w:rPr>
          <w:rFonts w:ascii="Times New Roman" w:hAnsi="Times New Roman"/>
          <w:sz w:val="20"/>
          <w:u w:val="single"/>
        </w:rPr>
        <w:t>Section 9(d)</w:t>
      </w:r>
      <w:r>
        <w:rPr>
          <w:rFonts w:ascii="Times New Roman" w:hAnsi="Times New Roman"/>
          <w:sz w:val="20"/>
        </w:rPr>
        <w:t xml:space="preserve">, any legal or other expenses reasonably incurred by such indemnified party in connection with investigating or defending any such action or claim to the extent consistent with </w:t>
      </w:r>
      <w:r>
        <w:rPr>
          <w:rFonts w:ascii="Times New Roman" w:hAnsi="Times New Roman"/>
          <w:sz w:val="20"/>
          <w:u w:val="single"/>
        </w:rPr>
        <w:t>Section 9(c)</w:t>
      </w:r>
      <w:r>
        <w:rPr>
          <w:rFonts w:ascii="Times New Roman" w:hAnsi="Times New Roman"/>
          <w:sz w:val="20"/>
        </w:rPr>
        <w:t xml:space="preserve"> hereof. Notwithstanding the foregoing provisions of this </w:t>
      </w:r>
      <w:r>
        <w:rPr>
          <w:rFonts w:ascii="Times New Roman" w:hAnsi="Times New Roman"/>
          <w:sz w:val="20"/>
          <w:u w:val="single"/>
        </w:rPr>
        <w:t>Section 9(d)</w:t>
      </w:r>
      <w:r>
        <w:rPr>
          <w:rFonts w:ascii="Times New Roman" w:hAnsi="Times New Roman"/>
          <w:sz w:val="20"/>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hAnsi="Times New Roman"/>
          <w:sz w:val="20"/>
          <w:u w:val="single"/>
        </w:rPr>
        <w:t>Section 9(d)</w:t>
      </w:r>
      <w:r>
        <w:rPr>
          <w:rFonts w:ascii="Times New Roman" w:hAnsi="Times New Roman"/>
          <w:sz w:val="20"/>
        </w:rPr>
        <w:t xml:space="preserve">, any person who controls a party to this Agreement within the meaning of the Securities Act, and any officers, directors, partners, employees or agents of TD Cowen,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hAnsi="Times New Roman"/>
          <w:sz w:val="20"/>
          <w:u w:val="single"/>
        </w:rPr>
        <w:t>Section 9(d)</w:t>
      </w:r>
      <w:r>
        <w:rPr>
          <w:rFonts w:ascii="Times New Roman" w:hAnsi="Times New Roman"/>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hAnsi="Times New Roman"/>
          <w:sz w:val="20"/>
          <w:u w:val="single"/>
        </w:rPr>
        <w:t>Section 9(d)</w:t>
      </w:r>
      <w:r>
        <w:rPr>
          <w:rFonts w:ascii="Times New Roman" w:hAnsi="Times New Roman"/>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hAnsi="Times New Roman"/>
          <w:sz w:val="20"/>
          <w:u w:val="single"/>
        </w:rPr>
        <w:t>Section 9(c)</w:t>
      </w:r>
      <w:r>
        <w:rPr>
          <w:rFonts w:ascii="Times New Roman" w:hAnsi="Times New Roman"/>
          <w:sz w:val="20"/>
        </w:rPr>
        <w:t xml:space="preserve"> (Procedure) hereof, no party will be liable for contribution with respect to any action or claim settled without its written consent if such consent is required pursuant to </w:t>
      </w:r>
      <w:r>
        <w:rPr>
          <w:rFonts w:ascii="Times New Roman" w:hAnsi="Times New Roman"/>
          <w:sz w:val="20"/>
          <w:u w:val="single"/>
        </w:rPr>
        <w:t>Section 9(c)</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10. </w:t>
      </w:r>
      <w:r>
        <w:rPr>
          <w:rFonts w:ascii="Times New Roman" w:hAnsi="Times New Roman"/>
          <w:sz w:val="20"/>
          <w:u w:val="single"/>
        </w:rPr>
        <w:t>Representations and Agreements to Survive Delivery</w:t>
      </w:r>
      <w:r>
        <w:rPr>
          <w:rFonts w:ascii="Times New Roman" w:hAnsi="Times New Roman"/>
          <w:sz w:val="20"/>
        </w:rPr>
        <w:t xml:space="preserve">. The indemnity and contribution agreements contained in </w:t>
      </w:r>
      <w:r>
        <w:rPr>
          <w:rFonts w:ascii="Times New Roman" w:hAnsi="Times New Roman"/>
          <w:sz w:val="20"/>
          <w:u w:val="single"/>
        </w:rPr>
        <w:t>Section 9</w:t>
      </w:r>
      <w:r>
        <w:rPr>
          <w:rFonts w:ascii="Times New Roman" w:hAnsi="Times New Roman"/>
          <w:sz w:val="20"/>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TD Cowen shall have the right by giving notice as hereinafter specified at any time to terminate this Agreement if (i) any Material Adverse Change, or any development that could reasonably be expected to result in a Material Adverse Change has occurred that, in the reasonable judgment of TD Cowen, may materially impair the ability of TD Cowen to sell the Placement Shares hereunder, (ii) the Company shall have failed, refused or been unable to perform any agreement on its part to be performed hereunder within the time period required under this Agreement or any longer period of time as may be agreed to in writing by TD Cowen and the Company,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hAnsi="Times New Roman"/>
          <w:sz w:val="20"/>
          <w:u w:val="single"/>
        </w:rPr>
        <w:t>Section 7(h)</w:t>
      </w:r>
      <w:r>
        <w:rPr>
          <w:rFonts w:ascii="Times New Roman" w:hAnsi="Times New Roman"/>
          <w:sz w:val="20"/>
        </w:rPr>
        <w:t xml:space="preserve"> (Expenses), </w:t>
      </w:r>
      <w:r>
        <w:rPr>
          <w:rFonts w:ascii="Times New Roman" w:hAnsi="Times New Roman"/>
          <w:sz w:val="20"/>
          <w:u w:val="single"/>
        </w:rPr>
        <w:t>Section 9</w:t>
      </w:r>
      <w:r>
        <w:rPr>
          <w:rFonts w:ascii="Times New Roman" w:hAnsi="Times New Roman"/>
          <w:sz w:val="20"/>
        </w:rPr>
        <w:t xml:space="preserve"> (Indemnification and Contribution), </w:t>
      </w:r>
      <w:r>
        <w:rPr>
          <w:rFonts w:ascii="Times New Roman" w:hAnsi="Times New Roman"/>
          <w:sz w:val="20"/>
          <w:u w:val="single"/>
        </w:rPr>
        <w:t>Section 10</w:t>
      </w:r>
      <w:r>
        <w:rPr>
          <w:rFonts w:ascii="Times New Roman" w:hAnsi="Times New Roman"/>
          <w:sz w:val="20"/>
        </w:rPr>
        <w:t xml:space="preserve"> (Representations and Agreements to Survive Delivery), </w:t>
      </w:r>
      <w:r>
        <w:rPr>
          <w:rFonts w:ascii="Times New Roman" w:hAnsi="Times New Roman"/>
          <w:sz w:val="20"/>
          <w:u w:val="single"/>
        </w:rPr>
        <w:t>Section 16</w:t>
      </w:r>
      <w:r>
        <w:rPr>
          <w:rFonts w:ascii="Times New Roman" w:hAnsi="Times New Roman"/>
          <w:sz w:val="20"/>
        </w:rPr>
        <w:t xml:space="preserve"> (Applicable Law; Consent to Jurisdiction) and </w:t>
      </w:r>
      <w:r>
        <w:rPr>
          <w:rFonts w:ascii="Times New Roman" w:hAnsi="Times New Roman"/>
          <w:sz w:val="20"/>
          <w:u w:val="single"/>
        </w:rPr>
        <w:t>Section 17</w:t>
      </w:r>
      <w:r>
        <w:rPr>
          <w:rFonts w:ascii="Times New Roman" w:hAnsi="Times New Roman"/>
          <w:sz w:val="20"/>
        </w:rPr>
        <w:t xml:space="preserve"> (Waiver of Jury Trial) hereof shall remain in full force and effect notwithstanding such termination. If TD Cowen elects to terminate this Agreement as provided in this </w:t>
      </w:r>
      <w:r>
        <w:rPr>
          <w:rFonts w:ascii="Times New Roman" w:hAnsi="Times New Roman"/>
          <w:sz w:val="20"/>
          <w:u w:val="single"/>
        </w:rPr>
        <w:t>Section 11(a)</w:t>
      </w:r>
      <w:r>
        <w:rPr>
          <w:rFonts w:ascii="Times New Roman" w:hAnsi="Times New Roman"/>
          <w:sz w:val="20"/>
        </w:rPr>
        <w:t xml:space="preserve">, TD Cowen shall provide the required notice as specified in </w:t>
      </w:r>
      <w:r>
        <w:rPr>
          <w:rFonts w:ascii="Times New Roman" w:hAnsi="Times New Roman"/>
          <w:sz w:val="20"/>
          <w:u w:val="single"/>
        </w:rPr>
        <w:t>Section 12</w:t>
      </w:r>
      <w:r>
        <w:rPr>
          <w:rFonts w:ascii="Times New Roman" w:hAnsi="Times New Roman"/>
          <w:sz w:val="20"/>
        </w:rPr>
        <w:t xml:space="preserve"> (Notices). </w:t>
      </w:r>
    </w:p>
    <w:p>
      <w:pPr>
        <w:pStyle w:val="TextBody"/>
        <w:bidi w:val="0"/>
        <w:spacing w:before="240" w:after="0"/>
        <w:jc w:val="both"/>
        <w:rPr>
          <w:rFonts w:ascii="Times New Roman" w:hAnsi="Times New Roman"/>
          <w:sz w:val="20"/>
        </w:rPr>
      </w:pPr>
      <w:r>
        <w:rPr>
          <w:rFonts w:ascii="Times New Roman" w:hAnsi="Times New Roman"/>
          <w:sz w:val="20"/>
        </w:rPr>
        <w:t xml:space="preserve">(b) 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7(h)</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hereof shall remain in full force and effect notwithstanding such termination. </w:t>
      </w:r>
    </w:p>
    <w:p>
      <w:pPr>
        <w:pStyle w:val="TextBody"/>
        <w:bidi w:val="0"/>
        <w:spacing w:before="240" w:after="0"/>
        <w:jc w:val="both"/>
        <w:rPr>
          <w:rFonts w:ascii="Times New Roman" w:hAnsi="Times New Roman"/>
          <w:sz w:val="20"/>
        </w:rPr>
      </w:pPr>
      <w:r>
        <w:rPr>
          <w:rFonts w:ascii="Times New Roman" w:hAnsi="Times New Roman"/>
          <w:sz w:val="20"/>
        </w:rPr>
        <w:t xml:space="preserve">(c) 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7(h)</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hereof shall remain in full force and effect notwithstanding such termination. </w:t>
      </w:r>
    </w:p>
    <w:p>
      <w:pPr>
        <w:pStyle w:val="TextBody"/>
        <w:bidi w:val="0"/>
        <w:spacing w:before="240" w:after="0"/>
        <w:jc w:val="both"/>
        <w:rPr>
          <w:rFonts w:ascii="Times New Roman" w:hAnsi="Times New Roman"/>
          <w:sz w:val="20"/>
        </w:rPr>
      </w:pPr>
      <w:r>
        <w:rPr>
          <w:rFonts w:ascii="Times New Roman" w:hAnsi="Times New Roman"/>
          <w:sz w:val="20"/>
        </w:rPr>
        <w:t xml:space="preserve">(d) Unless earlier terminated pursuant to this </w:t>
      </w:r>
      <w:r>
        <w:rPr>
          <w:rFonts w:ascii="Times New Roman" w:hAnsi="Times New Roman"/>
          <w:sz w:val="20"/>
          <w:u w:val="single"/>
        </w:rPr>
        <w:t>Section 11</w:t>
      </w:r>
      <w:r>
        <w:rPr>
          <w:rFonts w:ascii="Times New Roman" w:hAnsi="Times New Roman"/>
          <w:sz w:val="20"/>
        </w:rPr>
        <w:t xml:space="preserve">, this Agreement shall automatically terminate upon the issuance and sale of all of the Placement Shares through TD Cowen on the terms and subject to the conditions set forth herein; </w:t>
      </w:r>
      <w:r>
        <w:rPr>
          <w:rFonts w:ascii="Times New Roman" w:hAnsi="Times New Roman"/>
          <w:i/>
          <w:sz w:val="20"/>
        </w:rPr>
        <w:t>provided</w:t>
      </w:r>
      <w:r>
        <w:rPr>
          <w:rFonts w:ascii="Times New Roman" w:hAnsi="Times New Roman"/>
          <w:sz w:val="20"/>
        </w:rPr>
        <w:t xml:space="preserve"> that the provisions of </w:t>
      </w:r>
      <w:r>
        <w:rPr>
          <w:rFonts w:ascii="Times New Roman" w:hAnsi="Times New Roman"/>
          <w:sz w:val="20"/>
          <w:u w:val="single"/>
        </w:rPr>
        <w:t>Section 7(h)</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hereof shall remain in full force and effect notwithstanding such termination. </w:t>
      </w:r>
    </w:p>
    <w:p>
      <w:pPr>
        <w:pStyle w:val="TextBody"/>
        <w:bidi w:val="0"/>
        <w:spacing w:before="240" w:after="0"/>
        <w:jc w:val="both"/>
        <w:rPr>
          <w:rFonts w:ascii="Times New Roman" w:hAnsi="Times New Roman"/>
          <w:sz w:val="20"/>
        </w:rPr>
      </w:pPr>
      <w:r>
        <w:rPr>
          <w:rFonts w:ascii="Times New Roman" w:hAnsi="Times New Roman"/>
          <w:sz w:val="20"/>
        </w:rPr>
        <w:t xml:space="preserve">(e) This Agreement shall remain in full force and effect unless terminated pursuant to </w:t>
      </w:r>
      <w:r>
        <w:rPr>
          <w:rFonts w:ascii="Times New Roman" w:hAnsi="Times New Roman"/>
          <w:sz w:val="20"/>
          <w:u w:val="single"/>
        </w:rPr>
        <w:t>Sections 11(a)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above or otherwise by mutual agreement of the parties; </w:t>
      </w:r>
      <w:r>
        <w:rPr>
          <w:rFonts w:ascii="Times New Roman" w:hAnsi="Times New Roman"/>
          <w:i/>
          <w:sz w:val="20"/>
        </w:rPr>
        <w:t xml:space="preserve">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i/>
          <w:sz w:val="20"/>
        </w:rPr>
        <w:t xml:space="preserve">however, </w:t>
      </w:r>
      <w:r>
        <w:rPr>
          <w:rFonts w:ascii="Times New Roman" w:hAnsi="Times New Roman"/>
          <w:sz w:val="20"/>
        </w:rPr>
        <w:t xml:space="preserve">that any such termination by mutual agreement shall in all cases be deemed to provide that </w:t>
      </w:r>
      <w:r>
        <w:rPr>
          <w:rFonts w:ascii="Times New Roman" w:hAnsi="Times New Roman"/>
          <w:sz w:val="20"/>
          <w:u w:val="single"/>
        </w:rPr>
        <w:t>Section 7(h)</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shall remain in full force and effect. </w:t>
      </w:r>
    </w:p>
    <w:p>
      <w:pPr>
        <w:pStyle w:val="TextBody"/>
        <w:bidi w:val="0"/>
        <w:spacing w:before="240" w:after="0"/>
        <w:jc w:val="both"/>
        <w:rPr>
          <w:rFonts w:ascii="Times New Roman" w:hAnsi="Times New Roman"/>
          <w:sz w:val="20"/>
        </w:rPr>
      </w:pPr>
      <w:r>
        <w:rPr>
          <w:rFonts w:ascii="Times New Roman" w:hAnsi="Times New Roman"/>
          <w:sz w:val="20"/>
        </w:rPr>
        <w:t xml:space="preserve">(f) Any termination of this Agreement shall be effective on the date specified in such notice of termination; </w:t>
      </w:r>
      <w:r>
        <w:rPr>
          <w:rFonts w:ascii="Times New Roman" w:hAnsi="Times New Roman"/>
          <w:i/>
          <w:sz w:val="20"/>
        </w:rPr>
        <w:t>provided, however,</w:t>
      </w:r>
      <w:r>
        <w:rPr>
          <w:rFonts w:ascii="Times New Roman" w:hAnsi="Times New Roman"/>
          <w:sz w:val="20"/>
        </w:rPr>
        <w:t xml:space="preserve"> that such termination shall not be effective until the close of business on the date of receipt of such notice by TD Cowen or the Company, as the case may be. If such termination shall occur prior to the Settlement Date for any sale of Placement Shares, such Placement Shares shall settle in accordance with the provisions of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Attention: ATM Team, email: [***], with a copy to [***]; or if sent to the Company, shall be delivered to Alector, Inc., 131 Oyster Point Blvd, Suite 600, South San Francisco, California 94080, attention: Neil Berkley, email: [***], with a copy to Wilson Sonsini Goodrich &amp; Rosati, P.C., attention: Michael Coke, email: [***].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hAnsi="Times New Roman"/>
          <w:b/>
          <w:sz w:val="20"/>
          <w:u w:val="single"/>
        </w:rPr>
        <w:t>Business Day</w:t>
      </w:r>
      <w:r>
        <w:rPr>
          <w:rFonts w:ascii="Times New Roman" w:hAnsi="Times New Roman"/>
          <w:sz w:val="20"/>
        </w:rPr>
        <w:t xml:space="preserve">” shall mean any day on which the Nasdaq and commercial banks in the City of New York are open for business. </w:t>
      </w:r>
    </w:p>
    <w:p>
      <w:pPr>
        <w:pStyle w:val="TextBody"/>
        <w:bidi w:val="0"/>
        <w:spacing w:before="240" w:after="0"/>
        <w:jc w:val="both"/>
        <w:rPr>
          <w:rFonts w:ascii="Times New Roman" w:hAnsi="Times New Roman"/>
          <w:sz w:val="20"/>
        </w:rPr>
      </w:pPr>
      <w:r>
        <w:rPr>
          <w:rFonts w:ascii="Times New Roman" w:hAnsi="Times New Roman"/>
          <w:sz w:val="20"/>
        </w:rPr>
        <w:t xml:space="preserve">13. </w:t>
      </w:r>
      <w:r>
        <w:rPr>
          <w:rFonts w:ascii="Times New Roman" w:hAnsi="Times New Roman"/>
          <w:sz w:val="20"/>
          <w:u w:val="single"/>
        </w:rPr>
        <w:t>Successors and Assigns</w:t>
      </w:r>
      <w:r>
        <w:rPr>
          <w:rFonts w:ascii="Times New Roman" w:hAnsi="Times New Roman"/>
          <w:sz w:val="20"/>
        </w:rPr>
        <w:t xml:space="preserve">. This Agreement shall inure to the benefit of and be binding upon the Company and TD Cowen and their respective successors and the affiliates, controlling persons, officers and directors referred to in </w:t>
      </w:r>
      <w:r>
        <w:rPr>
          <w:rFonts w:ascii="Times New Roman" w:hAnsi="Times New Roman"/>
          <w:sz w:val="20"/>
          <w:u w:val="single"/>
        </w:rPr>
        <w:t>Section 9</w:t>
      </w:r>
      <w:r>
        <w:rPr>
          <w:rFonts w:ascii="Times New Roman" w:hAnsi="Times New Roman"/>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p>
    <w:p>
      <w:pPr>
        <w:pStyle w:val="TextBody"/>
        <w:bidi w:val="0"/>
        <w:spacing w:before="240" w:after="0"/>
        <w:jc w:val="both"/>
        <w:rPr>
          <w:rFonts w:ascii="Times New Roman" w:hAnsi="Times New Roman"/>
          <w:sz w:val="20"/>
        </w:rPr>
      </w:pPr>
      <w:r>
        <w:rPr>
          <w:rFonts w:ascii="Times New Roman" w:hAnsi="Times New Roman"/>
          <w:sz w:val="20"/>
        </w:rPr>
        <w:t xml:space="preserve">14. </w:t>
      </w:r>
      <w:r>
        <w:rPr>
          <w:rFonts w:ascii="Times New Roman" w:hAnsi="Times New Roman"/>
          <w:sz w:val="20"/>
          <w:u w:val="single"/>
        </w:rPr>
        <w:t>Adjustments for Share Splits</w:t>
      </w:r>
      <w:r>
        <w:rPr>
          <w:rFonts w:ascii="Times New Roman" w:hAnsi="Times New Roman"/>
          <w:sz w:val="20"/>
        </w:rPr>
        <w:t xml:space="preserve">. The parties acknowledge and agree that all share-related numbers contained in this Agreement shall be adjusted to take into account any share split, share dividend or similar event effected with respect to the Common Stock. </w:t>
      </w:r>
    </w:p>
    <w:p>
      <w:pPr>
        <w:pStyle w:val="TextBody"/>
        <w:bidi w:val="0"/>
        <w:spacing w:before="240" w:after="0"/>
        <w:jc w:val="both"/>
        <w:rPr>
          <w:rFonts w:ascii="Times New Roman" w:hAnsi="Times New Roman"/>
          <w:sz w:val="20"/>
        </w:rPr>
      </w:pPr>
      <w:r>
        <w:rPr>
          <w:rFonts w:ascii="Times New Roman" w:hAnsi="Times New Roman"/>
          <w:sz w:val="20"/>
        </w:rPr>
        <w:t xml:space="preserve">15. </w:t>
      </w:r>
      <w:r>
        <w:rPr>
          <w:rFonts w:ascii="Times New Roman" w:hAnsi="Times New Roman"/>
          <w:sz w:val="20"/>
          <w:u w:val="single"/>
        </w:rPr>
        <w:t>Entire Agreement; Amendment; Severability</w:t>
      </w:r>
      <w:r>
        <w:rPr>
          <w:rFonts w:ascii="Times New Roman" w:hAnsi="Times New Roman"/>
          <w:sz w:val="20"/>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instrument executed by the Company and TD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16. </w:t>
      </w:r>
      <w:r>
        <w:rPr>
          <w:rFonts w:ascii="Times New Roman" w:hAnsi="Times New Roman"/>
          <w:sz w:val="20"/>
          <w:u w:val="single"/>
        </w:rPr>
        <w:t>Applicable Law; Consent to Jurisdiction</w:t>
      </w:r>
      <w:r>
        <w:rPr>
          <w:rFonts w:ascii="Times New Roman" w:hAnsi="Times New Roman"/>
          <w:sz w:val="20"/>
        </w:rPr>
        <w:t xml:space="preserve">.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p>
    <w:p>
      <w:pPr>
        <w:pStyle w:val="TextBody"/>
        <w:bidi w:val="0"/>
        <w:spacing w:before="240" w:after="0"/>
        <w:jc w:val="both"/>
        <w:rPr>
          <w:rFonts w:ascii="Times New Roman" w:hAnsi="Times New Roman"/>
          <w:sz w:val="20"/>
        </w:rPr>
      </w:pPr>
      <w:r>
        <w:rPr>
          <w:rFonts w:ascii="Times New Roman" w:hAnsi="Times New Roman"/>
          <w:sz w:val="20"/>
        </w:rPr>
        <w:t xml:space="preserve">17. </w:t>
      </w:r>
      <w:r>
        <w:rPr>
          <w:rFonts w:ascii="Times New Roman" w:hAnsi="Times New Roman"/>
          <w:sz w:val="20"/>
          <w:u w:val="single"/>
        </w:rPr>
        <w:t>Waiver of Jury Trial</w:t>
      </w:r>
      <w:r>
        <w:rPr>
          <w:rFonts w:ascii="Times New Roman" w:hAnsi="Times New Roman"/>
          <w:sz w:val="20"/>
        </w:rPr>
        <w:t xml:space="preserve">. The Company and TD Cowen each hereby irrevocably waives any right it may have to a trial by jury in respect of any claim based upon or arising out of this Agreement or any transaction contemplated hereby. </w:t>
      </w:r>
    </w:p>
    <w:p>
      <w:pPr>
        <w:pStyle w:val="TextBody"/>
        <w:bidi w:val="0"/>
        <w:spacing w:before="240" w:after="0"/>
        <w:jc w:val="both"/>
        <w:rPr>
          <w:rFonts w:ascii="Times New Roman" w:hAnsi="Times New Roman"/>
          <w:sz w:val="20"/>
        </w:rPr>
      </w:pPr>
      <w:r>
        <w:rPr>
          <w:rFonts w:ascii="Times New Roman" w:hAnsi="Times New Roman"/>
          <w:sz w:val="20"/>
        </w:rPr>
        <w:t xml:space="preserve">18. </w:t>
      </w:r>
      <w:r>
        <w:rPr>
          <w:rFonts w:ascii="Times New Roman" w:hAnsi="Times New Roman"/>
          <w:sz w:val="20"/>
          <w:u w:val="single"/>
        </w:rPr>
        <w:t>Absence of Fiduciary Relationship</w:t>
      </w:r>
      <w:r>
        <w:rPr>
          <w:rFonts w:ascii="Times New Roman" w:hAnsi="Times New Roman"/>
          <w:i/>
          <w:sz w:val="20"/>
        </w:rPr>
        <w:t xml:space="preserve">. </w:t>
      </w:r>
      <w:r>
        <w:rPr>
          <w:rFonts w:ascii="Times New Roman" w:hAnsi="Times New Roman"/>
          <w:sz w:val="20"/>
        </w:rPr>
        <w:t xml:space="preserve">The Company acknowledges and agrees that: </w:t>
      </w:r>
    </w:p>
    <w:p>
      <w:pPr>
        <w:pStyle w:val="TextBody"/>
        <w:bidi w:val="0"/>
        <w:spacing w:before="240" w:after="0"/>
        <w:jc w:val="both"/>
        <w:rPr>
          <w:rFonts w:ascii="Times New Roman" w:hAnsi="Times New Roman"/>
          <w:sz w:val="20"/>
        </w:rPr>
      </w:pPr>
      <w:r>
        <w:rPr>
          <w:rFonts w:ascii="Times New Roman" w:hAnsi="Times New Roman"/>
          <w:sz w:val="20"/>
        </w:rPr>
        <w:t xml:space="preserve">(a) 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 </w:t>
      </w:r>
    </w:p>
    <w:p>
      <w:pPr>
        <w:pStyle w:val="TextBody"/>
        <w:bidi w:val="0"/>
        <w:spacing w:before="240" w:after="0"/>
        <w:jc w:val="both"/>
        <w:rPr>
          <w:rFonts w:ascii="Times New Roman" w:hAnsi="Times New Roman"/>
          <w:sz w:val="20"/>
        </w:rPr>
      </w:pPr>
      <w:r>
        <w:rPr>
          <w:rFonts w:ascii="Times New Roman" w:hAnsi="Times New Roman"/>
          <w:sz w:val="20"/>
        </w:rPr>
        <w:t xml:space="preserve">(b) the Company is capable of evaluating and understanding and understands and accepts the terms, risks and conditions of the transactions contemplated by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(c) 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 </w:t>
      </w:r>
    </w:p>
    <w:p>
      <w:pPr>
        <w:pStyle w:val="TextBody"/>
        <w:bidi w:val="0"/>
        <w:spacing w:before="240" w:after="0"/>
        <w:jc w:val="both"/>
        <w:rPr>
          <w:rFonts w:ascii="Times New Roman" w:hAnsi="Times New Roman"/>
          <w:sz w:val="20"/>
        </w:rPr>
      </w:pPr>
      <w:r>
        <w:rPr>
          <w:rFonts w:ascii="Times New Roman" w:hAnsi="Times New Roman"/>
          <w:sz w:val="20"/>
        </w:rPr>
        <w:t xml:space="preserve">(d) the Company waives, to the fullest extent permitted by law, any claims it may have against TD Cowen, for breach of fiduciary duty or alleged breach of fiduciary duty and agrees that TD Cowen shall have no liability (whether direct or indirect) to the Company in respect of such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fiduciary claim or to any person asserting a fiduciary duty claim on behalf of or in right of the Company, including stockholders, partners, employees or creditors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19.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Delivery of an executed Agreement by one party to the other may be made by facsimile or other electronic transmission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240" w:after="0"/>
        <w:jc w:val="both"/>
        <w:rPr>
          <w:rFonts w:ascii="Times New Roman" w:hAnsi="Times New Roman"/>
          <w:sz w:val="20"/>
        </w:rPr>
      </w:pPr>
      <w:r>
        <w:rPr>
          <w:rFonts w:ascii="Times New Roman" w:hAnsi="Times New Roman"/>
          <w:sz w:val="20"/>
        </w:rPr>
        <w:t xml:space="preserve">20.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In the event that TD Cowen is a Covered Entity (as defined below) and becomes subject to a proceeding under a U.S. Special Resolution Regime (as defined below),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(b) In the event that TD Cowen is a Covered Entity and TD Cowen or a BHC Act Affiliate (as defined below) of TD Cowen becomes subject to a proceeding under a U.S. Special Resolution Regime, Default Rights (as defined below)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both"/>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20</w:t>
      </w:r>
      <w:r>
        <w:rPr>
          <w:rFonts w:ascii="Times New Roman" w:hAnsi="Times New Roman"/>
          <w:sz w:val="20"/>
        </w:rPr>
        <w:t>; (a) “</w:t>
      </w:r>
      <w:r>
        <w:rPr>
          <w:rFonts w:ascii="Times New Roman" w:hAnsi="Times New Roman"/>
          <w:b/>
          <w:sz w:val="20"/>
          <w:u w:val="single"/>
        </w:rPr>
        <w:t>BHC Act Affiliate</w:t>
      </w:r>
      <w:r>
        <w:rPr>
          <w:rFonts w:ascii="Times New Roman" w:hAnsi="Times New Roman"/>
          <w:sz w:val="20"/>
        </w:rPr>
        <w:t>” has the meaning assigned to the term “affiliate” in, and shall be interpreted in accordance with, 12 U.S.C. § 1841(k), (b) “</w:t>
      </w:r>
      <w:r>
        <w:rPr>
          <w:rFonts w:ascii="Times New Roman" w:hAnsi="Times New Roman"/>
          <w:b/>
          <w:sz w:val="20"/>
          <w:u w:val="single"/>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sz w:val="20"/>
          <w:u w:val="single"/>
        </w:rPr>
        <w:t>Default Right</w:t>
      </w:r>
      <w:r>
        <w:rPr>
          <w:rFonts w:ascii="Times New Roman" w:hAnsi="Times New Roman"/>
          <w:sz w:val="20"/>
        </w:rPr>
        <w:t>” has the meaning assigned to that term in, and shall be interpreted in accordance with, 12 C.F.R. §§ 252.81, 47.2 or 382.1, as applicable, and (d) “</w:t>
      </w:r>
      <w:r>
        <w:rPr>
          <w:rFonts w:ascii="Times New Roman" w:hAnsi="Times New Roman"/>
          <w:b/>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both"/>
        <w:rPr>
          <w:rFonts w:ascii="Times New Roman" w:hAnsi="Times New Roman"/>
          <w:sz w:val="20"/>
        </w:rPr>
      </w:pPr>
      <w:r>
        <w:rPr>
          <w:rFonts w:ascii="Times New Roman" w:hAnsi="Times New Roman"/>
          <w:sz w:val="20"/>
        </w:rPr>
        <w:t xml:space="preserve">21. </w:t>
      </w:r>
      <w:r>
        <w:rPr>
          <w:rFonts w:ascii="Times New Roman" w:hAnsi="Times New Roman"/>
          <w:sz w:val="20"/>
          <w:u w:val="single"/>
        </w:rPr>
        <w:t>Termination of Existing Sales Agreement</w:t>
      </w:r>
      <w:r>
        <w:rPr>
          <w:rFonts w:ascii="Times New Roman" w:hAnsi="Times New Roman"/>
          <w:sz w:val="20"/>
        </w:rPr>
        <w:t>. Effective as of immediately prior to the execution of this Agreement, the Company and TD Cowen hereby terminate the Sales Agreement dated as of November 7, 2023 (the “</w:t>
      </w:r>
      <w:r>
        <w:rPr>
          <w:rFonts w:ascii="Times New Roman" w:hAnsi="Times New Roman"/>
          <w:b/>
          <w:sz w:val="20"/>
        </w:rPr>
        <w:t>Existing Sales Agreement</w:t>
      </w:r>
      <w:r>
        <w:rPr>
          <w:rFonts w:ascii="Times New Roman" w:hAnsi="Times New Roman"/>
          <w:sz w:val="20"/>
        </w:rPr>
        <w:t xml:space="preserve">”), by and between the Company and Cowen and Company, LLC, pursuant to Section 11(e) of the Existing Sales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If the foregoing correctly sets forth the understanding between the Company and TD Cowen, please so indicate in the space provided below for that purpose, whereupon this letter shall constitute a binding agreement between the Company and TD Cowen.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TD SECURITIES (USA) LLC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Michael Murphy</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both"/>
              <w:rPr>
                <w:rFonts w:ascii="Times New Roman" w:hAnsi="Times New Roman"/>
                <w:sz w:val="20"/>
              </w:rPr>
            </w:pPr>
            <w:r>
              <w:rPr>
                <w:rFonts w:ascii="Times New Roman" w:hAnsi="Times New Roman"/>
                <w:sz w:val="20"/>
              </w:rPr>
              <w:t>Name: Michael Murphy</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both"/>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ACCEPTED as of the date</w:t>
              <w:br/>
              <w:t>first-above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ALECTOR,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Arnon Rosenthal</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both"/>
              <w:rPr>
                <w:rFonts w:ascii="Times New Roman" w:hAnsi="Times New Roman"/>
                <w:sz w:val="20"/>
              </w:rPr>
            </w:pPr>
            <w:r>
              <w:rPr>
                <w:rFonts w:ascii="Times New Roman" w:hAnsi="Times New Roman"/>
                <w:sz w:val="20"/>
              </w:rPr>
              <w:t>Name: Arnon Rosenthal</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both"/>
              <w:rPr>
                <w:rFonts w:ascii="Times New Roman" w:hAnsi="Times New Roman"/>
                <w:sz w:val="20"/>
              </w:rPr>
            </w:pPr>
            <w:r>
              <w:rPr>
                <w:rFonts w:ascii="Times New Roman" w:hAnsi="Times New Roman"/>
                <w:sz w:val="20"/>
              </w:rPr>
              <w:t>Title: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1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PLACEMENT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34"/>
        <w:gridCol w:w="126"/>
        <w:gridCol w:w="8745"/>
      </w:tblGrid>
      <w:tr>
        <w:trPr/>
        <w:tc>
          <w:tcPr>
            <w:tcW w:w="133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8745" w:type="dxa"/>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both"/>
              <w:rPr>
                <w:rFonts w:ascii="Times New Roman" w:hAnsi="Times New Roman"/>
                <w:sz w:val="20"/>
              </w:rPr>
            </w:pPr>
            <w:r>
              <w:rPr>
                <w:rFonts w:ascii="Times New Roman" w:hAnsi="Times New Roman"/>
                <w:sz w:val="20"/>
              </w:rPr>
              <w:t>From:</w:t>
            </w:r>
          </w:p>
        </w:tc>
        <w:tc>
          <w:tcPr>
            <w:tcW w:w="126" w:type="dxa"/>
            <w:tcBorders/>
            <w:vAlign w:val="bottom"/>
          </w:tcPr>
          <w:p>
            <w:pPr>
              <w:pStyle w:val="TableContents"/>
              <w:bidi w:val="0"/>
              <w:spacing w:before="0" w:after="283"/>
              <w:jc w:val="left"/>
              <w:rPr/>
            </w:pPr>
            <w:r>
              <w:rPr/>
              <w:t>  </w:t>
            </w:r>
          </w:p>
        </w:tc>
        <w:tc>
          <w:tcPr>
            <w:tcW w:w="8745"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r>
      <w:tr>
        <w:trPr/>
        <w:tc>
          <w:tcPr>
            <w:tcW w:w="1334" w:type="dxa"/>
            <w:tcBorders/>
          </w:tcPr>
          <w:p>
            <w:pPr>
              <w:pStyle w:val="TableContents"/>
              <w:bidi w:val="0"/>
              <w:spacing w:before="0" w:after="0"/>
              <w:jc w:val="both"/>
              <w:rPr>
                <w:rFonts w:ascii="Times New Roman" w:hAnsi="Times New Roman"/>
                <w:sz w:val="20"/>
              </w:rPr>
            </w:pPr>
            <w:r>
              <w:rPr>
                <w:rFonts w:ascii="Times New Roman" w:hAnsi="Times New Roman"/>
                <w:sz w:val="20"/>
              </w:rPr>
              <w:t>Cc:</w:t>
            </w:r>
          </w:p>
        </w:tc>
        <w:tc>
          <w:tcPr>
            <w:tcW w:w="126" w:type="dxa"/>
            <w:tcBorders/>
            <w:vAlign w:val="bottom"/>
          </w:tcPr>
          <w:p>
            <w:pPr>
              <w:pStyle w:val="TableContents"/>
              <w:bidi w:val="0"/>
              <w:spacing w:before="0" w:after="283"/>
              <w:jc w:val="left"/>
              <w:rPr/>
            </w:pPr>
            <w:r>
              <w:rPr/>
              <w:t>  </w:t>
            </w:r>
          </w:p>
        </w:tc>
        <w:tc>
          <w:tcPr>
            <w:tcW w:w="8745"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r>
      <w:tr>
        <w:trPr/>
        <w:tc>
          <w:tcPr>
            <w:tcW w:w="1334" w:type="dxa"/>
            <w:tcBorders/>
          </w:tcPr>
          <w:p>
            <w:pPr>
              <w:pStyle w:val="TableContents"/>
              <w:bidi w:val="0"/>
              <w:spacing w:before="0" w:after="0"/>
              <w:jc w:val="both"/>
              <w:rPr>
                <w:rFonts w:ascii="Times New Roman" w:hAnsi="Times New Roman"/>
                <w:sz w:val="20"/>
              </w:rPr>
            </w:pPr>
            <w:r>
              <w:rPr>
                <w:rFonts w:ascii="Times New Roman" w:hAnsi="Times New Roman"/>
                <w:sz w:val="20"/>
              </w:rPr>
              <w:t>To:</w:t>
            </w:r>
          </w:p>
        </w:tc>
        <w:tc>
          <w:tcPr>
            <w:tcW w:w="126" w:type="dxa"/>
            <w:tcBorders/>
            <w:vAlign w:val="bottom"/>
          </w:tcPr>
          <w:p>
            <w:pPr>
              <w:pStyle w:val="TableContents"/>
              <w:bidi w:val="0"/>
              <w:spacing w:before="0" w:after="283"/>
              <w:jc w:val="left"/>
              <w:rPr/>
            </w:pPr>
            <w:r>
              <w:rPr/>
              <w:t>  </w:t>
            </w:r>
          </w:p>
        </w:tc>
        <w:tc>
          <w:tcPr>
            <w:tcW w:w="8745" w:type="dxa"/>
            <w:tcBorders/>
          </w:tcPr>
          <w:p>
            <w:pPr>
              <w:pStyle w:val="TableContents"/>
              <w:bidi w:val="0"/>
              <w:spacing w:before="0" w:after="0"/>
              <w:jc w:val="both"/>
              <w:rPr>
                <w:rFonts w:ascii="Times New Roman" w:hAnsi="Times New Roman"/>
                <w:sz w:val="20"/>
              </w:rPr>
            </w:pPr>
            <w:r>
              <w:rPr>
                <w:rFonts w:ascii="Times New Roman" w:hAnsi="Times New Roman"/>
                <w:sz w:val="20"/>
              </w:rPr>
              <w:t>[          ]</w:t>
            </w:r>
          </w:p>
        </w:tc>
      </w:tr>
      <w:tr>
        <w:trPr/>
        <w:tc>
          <w:tcPr>
            <w:tcW w:w="1334" w:type="dxa"/>
            <w:tcBorders/>
          </w:tcPr>
          <w:p>
            <w:pPr>
              <w:pStyle w:val="TableContents"/>
              <w:bidi w:val="0"/>
              <w:spacing w:before="0" w:after="0"/>
              <w:jc w:val="both"/>
              <w:rPr>
                <w:rFonts w:ascii="Times New Roman" w:hAnsi="Times New Roman"/>
                <w:sz w:val="20"/>
              </w:rPr>
            </w:pPr>
            <w:r>
              <w:rPr>
                <w:rFonts w:ascii="Times New Roman" w:hAnsi="Times New Roman"/>
                <w:sz w:val="20"/>
              </w:rPr>
              <w:t>Subject:   </w:t>
            </w:r>
          </w:p>
        </w:tc>
        <w:tc>
          <w:tcPr>
            <w:tcW w:w="126" w:type="dxa"/>
            <w:tcBorders/>
            <w:vAlign w:val="bottom"/>
          </w:tcPr>
          <w:p>
            <w:pPr>
              <w:pStyle w:val="TableContents"/>
              <w:bidi w:val="0"/>
              <w:spacing w:before="0" w:after="283"/>
              <w:jc w:val="left"/>
              <w:rPr/>
            </w:pPr>
            <w:r>
              <w:rPr/>
              <w:t>  </w:t>
            </w:r>
          </w:p>
        </w:tc>
        <w:tc>
          <w:tcPr>
            <w:tcW w:w="8745" w:type="dxa"/>
            <w:tcBorders/>
          </w:tcPr>
          <w:p>
            <w:pPr>
              <w:pStyle w:val="TableContents"/>
              <w:bidi w:val="0"/>
              <w:spacing w:before="0" w:after="0"/>
              <w:jc w:val="both"/>
              <w:rPr>
                <w:rFonts w:ascii="Times New Roman" w:hAnsi="Times New Roman"/>
                <w:sz w:val="20"/>
              </w:rPr>
            </w:pPr>
            <w:r>
              <w:rPr>
                <w:rFonts w:ascii="Times New Roman" w:hAnsi="Times New Roman"/>
                <w:sz w:val="20"/>
              </w:rPr>
              <w:t>TD Cowen At the Market Offering—Placement Notice</w:t>
            </w:r>
          </w:p>
        </w:tc>
      </w:tr>
    </w:tbl>
    <w:p>
      <w:pPr>
        <w:pStyle w:val="TextBody"/>
        <w:bidi w:val="0"/>
        <w:spacing w:before="240" w:after="0"/>
        <w:jc w:val="both"/>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both"/>
        <w:rPr>
          <w:rFonts w:ascii="Times New Roman" w:hAnsi="Times New Roman"/>
          <w:sz w:val="20"/>
        </w:rPr>
      </w:pPr>
      <w:r>
        <w:rPr>
          <w:rFonts w:ascii="Times New Roman" w:hAnsi="Times New Roman"/>
          <w:sz w:val="20"/>
        </w:rPr>
        <w:t>Pursuant to the terms and subject to the conditions contained in the Sales Agreement between Alector, Inc. (the “</w:t>
      </w:r>
      <w:r>
        <w:rPr>
          <w:rFonts w:ascii="Times New Roman" w:hAnsi="Times New Roman"/>
          <w:sz w:val="20"/>
          <w:u w:val="single"/>
        </w:rPr>
        <w:t>Company</w:t>
      </w:r>
      <w:r>
        <w:rPr>
          <w:rFonts w:ascii="Times New Roman" w:hAnsi="Times New Roman"/>
          <w:sz w:val="20"/>
        </w:rPr>
        <w:t>”), and TD Securities (USA) LLC (“</w:t>
      </w:r>
      <w:r>
        <w:rPr>
          <w:rFonts w:ascii="Times New Roman" w:hAnsi="Times New Roman"/>
          <w:sz w:val="20"/>
          <w:u w:val="single"/>
        </w:rPr>
        <w:t>TD Cowen</w:t>
      </w:r>
      <w:r>
        <w:rPr>
          <w:rFonts w:ascii="Times New Roman" w:hAnsi="Times New Roman"/>
          <w:sz w:val="20"/>
        </w:rPr>
        <w:t>”) dated May 7, 2026 (the “</w:t>
      </w:r>
      <w:r>
        <w:rPr>
          <w:rFonts w:ascii="Times New Roman" w:hAnsi="Times New Roman"/>
          <w:sz w:val="20"/>
          <w:u w:val="single"/>
        </w:rPr>
        <w:t>Agreement</w:t>
      </w:r>
      <w:r>
        <w:rPr>
          <w:rFonts w:ascii="Times New Roman" w:hAnsi="Times New Roman"/>
          <w:sz w:val="20"/>
        </w:rPr>
        <w:t xml:space="preserve">”), I hereby request on behalf of the Company that TD Cowen sell up to [ ] shares of the Company’s common stock, par value $0.0001 per share, at a minimum market price of $_______ per share. Sales should begin on the date of this Notice and shall continue until [DATE] [all shares are sold].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2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Notice Parties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01"/>
        <w:gridCol w:w="121"/>
        <w:gridCol w:w="8283"/>
      </w:tblGrid>
      <w:tr>
        <w:trPr/>
        <w:tc>
          <w:tcPr>
            <w:tcW w:w="180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283" w:type="dxa"/>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283"/>
              <w:jc w:val="left"/>
              <w:rPr>
                <w:b/>
                <w:u w:val="single"/>
              </w:rPr>
            </w:pPr>
            <w:r>
              <w:rPr>
                <w:b/>
                <w:u w:val="single"/>
              </w:rPr>
              <w:t>Company</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283"/>
              <w:jc w:val="left"/>
              <w:rPr>
                <w:sz w:val="4"/>
                <w:szCs w:val="4"/>
              </w:rPr>
            </w:pPr>
            <w:r>
              <w:rPr>
                <w:sz w:val="4"/>
                <w:szCs w:val="4"/>
              </w:rPr>
            </w:r>
          </w:p>
        </w:tc>
      </w:tr>
      <w:tr>
        <w:trPr>
          <w:trHeight w:val="120" w:hRule="atLeast"/>
        </w:trPr>
        <w:tc>
          <w:tcPr>
            <w:tcW w:w="1801" w:type="dxa"/>
            <w:tcBorders/>
            <w:vAlign w:val="center"/>
          </w:tcPr>
          <w:p>
            <w:pPr>
              <w:pStyle w:val="TableContents"/>
              <w:bidi w:val="0"/>
              <w:spacing w:before="0" w:after="283"/>
              <w:jc w:val="left"/>
              <w:rPr>
                <w:sz w:val="4"/>
                <w:szCs w:val="4"/>
              </w:rPr>
            </w:pPr>
            <w:r>
              <w:rPr>
                <w:sz w:val="4"/>
                <w:szCs w:val="4"/>
              </w:rPr>
            </w:r>
          </w:p>
        </w:tc>
        <w:tc>
          <w:tcPr>
            <w:tcW w:w="8404" w:type="dxa"/>
            <w:gridSpan w:val="2"/>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0"/>
              <w:jc w:val="both"/>
              <w:rPr>
                <w:rFonts w:ascii="Times New Roman" w:hAnsi="Times New Roman"/>
                <w:sz w:val="20"/>
              </w:rPr>
            </w:pPr>
            <w:r>
              <w:rPr>
                <w:rFonts w:ascii="Times New Roman" w:hAnsi="Times New Roman"/>
                <w:sz w:val="20"/>
              </w:rPr>
              <w:t>Neil Berkley</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0"/>
              <w:jc w:val="both"/>
              <w:rPr>
                <w:rFonts w:ascii="Times New Roman" w:hAnsi="Times New Roman"/>
                <w:sz w:val="20"/>
              </w:rPr>
            </w:pPr>
            <w:r>
              <w:rPr>
                <w:rFonts w:ascii="Times New Roman" w:hAnsi="Times New Roman"/>
                <w:sz w:val="20"/>
              </w:rPr>
              <w:t>Chief Financial Officer and Chief Business Officer</w:t>
            </w:r>
          </w:p>
        </w:tc>
      </w:tr>
      <w:tr>
        <w:trPr>
          <w:trHeight w:val="120" w:hRule="atLeast"/>
        </w:trPr>
        <w:tc>
          <w:tcPr>
            <w:tcW w:w="1801" w:type="dxa"/>
            <w:tcBorders/>
            <w:vAlign w:val="center"/>
          </w:tcPr>
          <w:p>
            <w:pPr>
              <w:pStyle w:val="TableContents"/>
              <w:bidi w:val="0"/>
              <w:spacing w:before="0" w:after="283"/>
              <w:jc w:val="left"/>
              <w:rPr>
                <w:sz w:val="4"/>
                <w:szCs w:val="4"/>
              </w:rPr>
            </w:pPr>
            <w:r>
              <w:rPr>
                <w:sz w:val="4"/>
                <w:szCs w:val="4"/>
              </w:rPr>
            </w:r>
          </w:p>
        </w:tc>
        <w:tc>
          <w:tcPr>
            <w:tcW w:w="8404" w:type="dxa"/>
            <w:gridSpan w:val="2"/>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0"/>
              <w:jc w:val="both"/>
              <w:rPr>
                <w:rFonts w:ascii="Times New Roman" w:hAnsi="Times New Roman"/>
                <w:sz w:val="20"/>
              </w:rPr>
            </w:pPr>
            <w:r>
              <w:rPr>
                <w:rFonts w:ascii="Times New Roman" w:hAnsi="Times New Roman"/>
                <w:sz w:val="20"/>
              </w:rPr>
              <w:t>Arnon Rosenthal</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0"/>
              <w:jc w:val="both"/>
              <w:rPr>
                <w:rFonts w:ascii="Times New Roman" w:hAnsi="Times New Roman"/>
                <w:sz w:val="20"/>
              </w:rPr>
            </w:pPr>
            <w:r>
              <w:rPr>
                <w:rFonts w:ascii="Times New Roman" w:hAnsi="Times New Roman"/>
                <w:sz w:val="20"/>
              </w:rPr>
              <w:t>Chief Executive Officer</w:t>
            </w:r>
          </w:p>
        </w:tc>
      </w:tr>
      <w:tr>
        <w:trPr>
          <w:trHeight w:val="120" w:hRule="atLeast"/>
        </w:trPr>
        <w:tc>
          <w:tcPr>
            <w:tcW w:w="1801" w:type="dxa"/>
            <w:tcBorders/>
            <w:vAlign w:val="center"/>
          </w:tcPr>
          <w:p>
            <w:pPr>
              <w:pStyle w:val="TableContents"/>
              <w:bidi w:val="0"/>
              <w:spacing w:before="0" w:after="283"/>
              <w:jc w:val="left"/>
              <w:rPr>
                <w:sz w:val="4"/>
                <w:szCs w:val="4"/>
              </w:rPr>
            </w:pPr>
            <w:r>
              <w:rPr>
                <w:sz w:val="4"/>
                <w:szCs w:val="4"/>
              </w:rPr>
            </w:r>
          </w:p>
        </w:tc>
        <w:tc>
          <w:tcPr>
            <w:tcW w:w="8404" w:type="dxa"/>
            <w:gridSpan w:val="2"/>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0"/>
              <w:jc w:val="both"/>
              <w:rPr>
                <w:rFonts w:ascii="Times New Roman" w:hAnsi="Times New Roman"/>
                <w:sz w:val="20"/>
              </w:rPr>
            </w:pPr>
            <w:r>
              <w:rPr>
                <w:rFonts w:ascii="Times New Roman" w:hAnsi="Times New Roman"/>
                <w:sz w:val="20"/>
              </w:rPr>
              <w:t>CC:</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283"/>
              <w:jc w:val="left"/>
              <w:rPr>
                <w:sz w:val="4"/>
                <w:szCs w:val="4"/>
              </w:rPr>
            </w:pPr>
            <w:r>
              <w:rPr>
                <w:sz w:val="4"/>
                <w:szCs w:val="4"/>
              </w:rPr>
            </w:r>
          </w:p>
        </w:tc>
      </w:tr>
      <w:tr>
        <w:trPr>
          <w:trHeight w:val="120" w:hRule="atLeast"/>
        </w:trPr>
        <w:tc>
          <w:tcPr>
            <w:tcW w:w="1801" w:type="dxa"/>
            <w:tcBorders/>
            <w:vAlign w:val="center"/>
          </w:tcPr>
          <w:p>
            <w:pPr>
              <w:pStyle w:val="TableContents"/>
              <w:bidi w:val="0"/>
              <w:spacing w:before="0" w:after="283"/>
              <w:jc w:val="left"/>
              <w:rPr>
                <w:sz w:val="4"/>
                <w:szCs w:val="4"/>
              </w:rPr>
            </w:pPr>
            <w:r>
              <w:rPr>
                <w:sz w:val="4"/>
                <w:szCs w:val="4"/>
              </w:rPr>
            </w:r>
          </w:p>
        </w:tc>
        <w:tc>
          <w:tcPr>
            <w:tcW w:w="8404" w:type="dxa"/>
            <w:gridSpan w:val="2"/>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0"/>
              <w:jc w:val="both"/>
              <w:rPr>
                <w:rFonts w:ascii="Times New Roman" w:hAnsi="Times New Roman"/>
                <w:sz w:val="20"/>
              </w:rPr>
            </w:pPr>
            <w:r>
              <w:rPr>
                <w:rFonts w:ascii="Times New Roman" w:hAnsi="Times New Roman"/>
                <w:sz w:val="20"/>
              </w:rPr>
              <w:t>Danielle Pasqualone</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0"/>
              <w:jc w:val="both"/>
              <w:rPr>
                <w:rFonts w:ascii="Times New Roman" w:hAnsi="Times New Roman"/>
                <w:sz w:val="20"/>
              </w:rPr>
            </w:pPr>
            <w:r>
              <w:rPr>
                <w:rFonts w:ascii="Times New Roman" w:hAnsi="Times New Roman"/>
                <w:sz w:val="20"/>
              </w:rPr>
              <w:t>General Counsel</w:t>
            </w:r>
          </w:p>
        </w:tc>
      </w:tr>
      <w:tr>
        <w:trPr>
          <w:trHeight w:val="120" w:hRule="atLeast"/>
        </w:trPr>
        <w:tc>
          <w:tcPr>
            <w:tcW w:w="1801" w:type="dxa"/>
            <w:tcBorders/>
            <w:vAlign w:val="center"/>
          </w:tcPr>
          <w:p>
            <w:pPr>
              <w:pStyle w:val="TableContents"/>
              <w:bidi w:val="0"/>
              <w:spacing w:before="0" w:after="283"/>
              <w:jc w:val="left"/>
              <w:rPr>
                <w:sz w:val="4"/>
                <w:szCs w:val="4"/>
              </w:rPr>
            </w:pPr>
            <w:r>
              <w:rPr>
                <w:sz w:val="4"/>
                <w:szCs w:val="4"/>
              </w:rPr>
            </w:r>
          </w:p>
        </w:tc>
        <w:tc>
          <w:tcPr>
            <w:tcW w:w="8404" w:type="dxa"/>
            <w:gridSpan w:val="2"/>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0"/>
              <w:jc w:val="both"/>
              <w:rPr>
                <w:rFonts w:ascii="Times New Roman" w:hAnsi="Times New Roman"/>
                <w:sz w:val="20"/>
              </w:rPr>
            </w:pPr>
            <w:r>
              <w:rPr>
                <w:rFonts w:ascii="Times New Roman" w:hAnsi="Times New Roman"/>
                <w:sz w:val="20"/>
              </w:rPr>
              <w:t>Ginger Levy</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0"/>
              <w:jc w:val="both"/>
              <w:rPr>
                <w:rFonts w:ascii="Times New Roman" w:hAnsi="Times New Roman"/>
                <w:sz w:val="20"/>
              </w:rPr>
            </w:pPr>
            <w:r>
              <w:rPr>
                <w:rFonts w:ascii="Times New Roman" w:hAnsi="Times New Roman"/>
                <w:sz w:val="20"/>
              </w:rPr>
              <w:t>Vice President, Corporate Law and Compliance</w:t>
            </w:r>
          </w:p>
        </w:tc>
      </w:tr>
      <w:tr>
        <w:trPr>
          <w:trHeight w:val="120" w:hRule="atLeast"/>
        </w:trPr>
        <w:tc>
          <w:tcPr>
            <w:tcW w:w="1801" w:type="dxa"/>
            <w:tcBorders/>
            <w:vAlign w:val="center"/>
          </w:tcPr>
          <w:p>
            <w:pPr>
              <w:pStyle w:val="TableContents"/>
              <w:bidi w:val="0"/>
              <w:spacing w:before="0" w:after="283"/>
              <w:jc w:val="left"/>
              <w:rPr>
                <w:sz w:val="4"/>
                <w:szCs w:val="4"/>
              </w:rPr>
            </w:pPr>
            <w:r>
              <w:rPr>
                <w:sz w:val="4"/>
                <w:szCs w:val="4"/>
              </w:rPr>
            </w:r>
          </w:p>
        </w:tc>
        <w:tc>
          <w:tcPr>
            <w:tcW w:w="8404" w:type="dxa"/>
            <w:gridSpan w:val="2"/>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0"/>
              <w:jc w:val="both"/>
              <w:rPr>
                <w:rFonts w:ascii="Times New Roman" w:hAnsi="Times New Roman"/>
                <w:sz w:val="20"/>
              </w:rPr>
            </w:pPr>
            <w:r>
              <w:rPr>
                <w:rFonts w:ascii="Times New Roman" w:hAnsi="Times New Roman"/>
                <w:sz w:val="20"/>
              </w:rPr>
              <w:t>Cameron Hagen</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0"/>
              <w:jc w:val="both"/>
              <w:rPr>
                <w:rFonts w:ascii="Times New Roman" w:hAnsi="Times New Roman"/>
                <w:sz w:val="20"/>
              </w:rPr>
            </w:pPr>
            <w:r>
              <w:rPr>
                <w:rFonts w:ascii="Times New Roman" w:hAnsi="Times New Roman"/>
                <w:sz w:val="20"/>
              </w:rPr>
              <w:t>Corporate Law Director</w:t>
            </w:r>
          </w:p>
        </w:tc>
      </w:tr>
      <w:tr>
        <w:trPr>
          <w:trHeight w:val="120" w:hRule="atLeast"/>
        </w:trPr>
        <w:tc>
          <w:tcPr>
            <w:tcW w:w="1801" w:type="dxa"/>
            <w:tcBorders/>
            <w:vAlign w:val="center"/>
          </w:tcPr>
          <w:p>
            <w:pPr>
              <w:pStyle w:val="TableContents"/>
              <w:bidi w:val="0"/>
              <w:spacing w:before="0" w:after="283"/>
              <w:jc w:val="left"/>
              <w:rPr>
                <w:sz w:val="4"/>
                <w:szCs w:val="4"/>
              </w:rPr>
            </w:pPr>
            <w:r>
              <w:rPr>
                <w:sz w:val="4"/>
                <w:szCs w:val="4"/>
              </w:rPr>
            </w:r>
          </w:p>
        </w:tc>
        <w:tc>
          <w:tcPr>
            <w:tcW w:w="8404" w:type="dxa"/>
            <w:gridSpan w:val="2"/>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0"/>
              <w:jc w:val="both"/>
              <w:rPr>
                <w:rFonts w:ascii="Times New Roman" w:hAnsi="Times New Roman"/>
                <w:sz w:val="20"/>
              </w:rPr>
            </w:pPr>
            <w:r>
              <w:rPr>
                <w:rFonts w:ascii="Times New Roman" w:hAnsi="Times New Roman"/>
                <w:sz w:val="20"/>
              </w:rPr>
              <w:t>Grace Wong-Sarad</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0"/>
              <w:jc w:val="both"/>
              <w:rPr>
                <w:rFonts w:ascii="Times New Roman" w:hAnsi="Times New Roman"/>
                <w:sz w:val="20"/>
              </w:rPr>
            </w:pPr>
            <w:r>
              <w:rPr>
                <w:rFonts w:ascii="Times New Roman" w:hAnsi="Times New Roman"/>
                <w:sz w:val="20"/>
              </w:rPr>
              <w:t>Chief Accounting Officer</w:t>
            </w:r>
          </w:p>
        </w:tc>
      </w:tr>
      <w:tr>
        <w:trPr>
          <w:trHeight w:val="120" w:hRule="atLeast"/>
        </w:trPr>
        <w:tc>
          <w:tcPr>
            <w:tcW w:w="1801" w:type="dxa"/>
            <w:tcBorders/>
            <w:vAlign w:val="center"/>
          </w:tcPr>
          <w:p>
            <w:pPr>
              <w:pStyle w:val="TableContents"/>
              <w:bidi w:val="0"/>
              <w:spacing w:before="0" w:after="283"/>
              <w:jc w:val="left"/>
              <w:rPr>
                <w:sz w:val="4"/>
                <w:szCs w:val="4"/>
              </w:rPr>
            </w:pPr>
            <w:r>
              <w:rPr>
                <w:sz w:val="4"/>
                <w:szCs w:val="4"/>
              </w:rPr>
            </w:r>
          </w:p>
        </w:tc>
        <w:tc>
          <w:tcPr>
            <w:tcW w:w="8404" w:type="dxa"/>
            <w:gridSpan w:val="2"/>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283"/>
              <w:jc w:val="left"/>
              <w:rPr>
                <w:b/>
                <w:u w:val="single"/>
              </w:rPr>
            </w:pPr>
            <w:r>
              <w:rPr>
                <w:b/>
                <w:u w:val="single"/>
              </w:rPr>
              <w:t>TD Cowen</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283"/>
              <w:jc w:val="left"/>
              <w:rPr>
                <w:sz w:val="4"/>
                <w:szCs w:val="4"/>
              </w:rPr>
            </w:pPr>
            <w:r>
              <w:rPr>
                <w:sz w:val="4"/>
                <w:szCs w:val="4"/>
              </w:rPr>
            </w:r>
          </w:p>
        </w:tc>
      </w:tr>
      <w:tr>
        <w:trPr>
          <w:trHeight w:val="120" w:hRule="atLeast"/>
        </w:trPr>
        <w:tc>
          <w:tcPr>
            <w:tcW w:w="1801" w:type="dxa"/>
            <w:tcBorders/>
            <w:vAlign w:val="center"/>
          </w:tcPr>
          <w:p>
            <w:pPr>
              <w:pStyle w:val="TableContents"/>
              <w:bidi w:val="0"/>
              <w:spacing w:before="0" w:after="283"/>
              <w:jc w:val="left"/>
              <w:rPr>
                <w:sz w:val="4"/>
                <w:szCs w:val="4"/>
              </w:rPr>
            </w:pPr>
            <w:r>
              <w:rPr>
                <w:sz w:val="4"/>
                <w:szCs w:val="4"/>
              </w:rPr>
            </w:r>
          </w:p>
        </w:tc>
        <w:tc>
          <w:tcPr>
            <w:tcW w:w="8404" w:type="dxa"/>
            <w:gridSpan w:val="2"/>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0"/>
              <w:jc w:val="both"/>
              <w:rPr>
                <w:rFonts w:ascii="Times New Roman" w:hAnsi="Times New Roman"/>
                <w:sz w:val="20"/>
              </w:rPr>
            </w:pPr>
            <w:r>
              <w:rPr>
                <w:rFonts w:ascii="Times New Roman" w:hAnsi="Times New Roman"/>
                <w:sz w:val="20"/>
              </w:rPr>
              <w:t>Michael J. Murphy</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0"/>
              <w:jc w:val="both"/>
              <w:rPr>
                <w:rFonts w:ascii="Times New Roman" w:hAnsi="Times New Roman"/>
                <w:sz w:val="20"/>
              </w:rPr>
            </w:pPr>
            <w:r>
              <w:rPr>
                <w:rFonts w:ascii="Times New Roman" w:hAnsi="Times New Roman"/>
                <w:sz w:val="20"/>
              </w:rPr>
              <w:t>Managing Director</w:t>
            </w:r>
          </w:p>
        </w:tc>
      </w:tr>
      <w:tr>
        <w:trPr>
          <w:trHeight w:val="120" w:hRule="atLeast"/>
        </w:trPr>
        <w:tc>
          <w:tcPr>
            <w:tcW w:w="1801" w:type="dxa"/>
            <w:tcBorders/>
            <w:vAlign w:val="center"/>
          </w:tcPr>
          <w:p>
            <w:pPr>
              <w:pStyle w:val="TableContents"/>
              <w:bidi w:val="0"/>
              <w:spacing w:before="0" w:after="283"/>
              <w:jc w:val="left"/>
              <w:rPr>
                <w:sz w:val="4"/>
                <w:szCs w:val="4"/>
              </w:rPr>
            </w:pPr>
            <w:r>
              <w:rPr>
                <w:sz w:val="4"/>
                <w:szCs w:val="4"/>
              </w:rPr>
            </w:r>
          </w:p>
        </w:tc>
        <w:tc>
          <w:tcPr>
            <w:tcW w:w="8404" w:type="dxa"/>
            <w:gridSpan w:val="2"/>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0"/>
              <w:jc w:val="both"/>
              <w:rPr>
                <w:rFonts w:ascii="Times New Roman" w:hAnsi="Times New Roman"/>
                <w:sz w:val="20"/>
              </w:rPr>
            </w:pPr>
            <w:r>
              <w:rPr>
                <w:rFonts w:ascii="Times New Roman" w:hAnsi="Times New Roman"/>
                <w:sz w:val="20"/>
              </w:rPr>
              <w:t>William Follis</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0"/>
              <w:jc w:val="both"/>
              <w:rPr>
                <w:rFonts w:ascii="Times New Roman" w:hAnsi="Times New Roman"/>
                <w:sz w:val="20"/>
              </w:rPr>
            </w:pPr>
            <w:r>
              <w:rPr>
                <w:rFonts w:ascii="Times New Roman" w:hAnsi="Times New Roman"/>
                <w:sz w:val="20"/>
              </w:rPr>
              <w:t>Managing Director</w:t>
            </w:r>
          </w:p>
        </w:tc>
      </w:tr>
      <w:tr>
        <w:trPr>
          <w:trHeight w:val="120" w:hRule="atLeast"/>
        </w:trPr>
        <w:tc>
          <w:tcPr>
            <w:tcW w:w="1801" w:type="dxa"/>
            <w:tcBorders/>
            <w:vAlign w:val="center"/>
          </w:tcPr>
          <w:p>
            <w:pPr>
              <w:pStyle w:val="TableContents"/>
              <w:bidi w:val="0"/>
              <w:spacing w:before="0" w:after="283"/>
              <w:jc w:val="left"/>
              <w:rPr>
                <w:sz w:val="4"/>
                <w:szCs w:val="4"/>
              </w:rPr>
            </w:pPr>
            <w:r>
              <w:rPr>
                <w:sz w:val="4"/>
                <w:szCs w:val="4"/>
              </w:rPr>
            </w:r>
          </w:p>
        </w:tc>
        <w:tc>
          <w:tcPr>
            <w:tcW w:w="8404" w:type="dxa"/>
            <w:gridSpan w:val="2"/>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0"/>
              <w:jc w:val="both"/>
              <w:rPr>
                <w:rFonts w:ascii="Times New Roman" w:hAnsi="Times New Roman"/>
                <w:sz w:val="20"/>
              </w:rPr>
            </w:pPr>
            <w:r>
              <w:rPr>
                <w:rFonts w:ascii="Times New Roman" w:hAnsi="Times New Roman"/>
                <w:sz w:val="20"/>
              </w:rPr>
              <w:t>Adriano Pierroz</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0"/>
              <w:jc w:val="both"/>
              <w:rPr>
                <w:rFonts w:ascii="Times New Roman" w:hAnsi="Times New Roman"/>
                <w:sz w:val="20"/>
              </w:rPr>
            </w:pPr>
            <w:r>
              <w:rPr>
                <w:rFonts w:ascii="Times New Roman" w:hAnsi="Times New Roman"/>
                <w:sz w:val="20"/>
              </w:rPr>
              <w:t>Director</w:t>
            </w:r>
          </w:p>
        </w:tc>
      </w:tr>
      <w:tr>
        <w:trPr>
          <w:trHeight w:val="120" w:hRule="atLeast"/>
        </w:trPr>
        <w:tc>
          <w:tcPr>
            <w:tcW w:w="1801" w:type="dxa"/>
            <w:tcBorders/>
            <w:vAlign w:val="center"/>
          </w:tcPr>
          <w:p>
            <w:pPr>
              <w:pStyle w:val="TableContents"/>
              <w:bidi w:val="0"/>
              <w:spacing w:before="0" w:after="283"/>
              <w:jc w:val="left"/>
              <w:rPr>
                <w:sz w:val="4"/>
                <w:szCs w:val="4"/>
              </w:rPr>
            </w:pPr>
            <w:r>
              <w:rPr>
                <w:sz w:val="4"/>
                <w:szCs w:val="4"/>
              </w:rPr>
            </w:r>
          </w:p>
        </w:tc>
        <w:tc>
          <w:tcPr>
            <w:tcW w:w="8404" w:type="dxa"/>
            <w:gridSpan w:val="2"/>
            <w:tcBorders/>
            <w:vAlign w:val="center"/>
          </w:tcPr>
          <w:p>
            <w:pPr>
              <w:pStyle w:val="TableContents"/>
              <w:bidi w:val="0"/>
              <w:spacing w:before="0" w:after="283"/>
              <w:jc w:val="left"/>
              <w:rPr>
                <w:sz w:val="4"/>
                <w:szCs w:val="4"/>
              </w:rPr>
            </w:pPr>
            <w:r>
              <w:rPr>
                <w:sz w:val="4"/>
                <w:szCs w:val="4"/>
              </w:rPr>
            </w:r>
          </w:p>
        </w:tc>
      </w:tr>
      <w:tr>
        <w:trPr/>
        <w:tc>
          <w:tcPr>
            <w:tcW w:w="1801" w:type="dxa"/>
            <w:tcBorders/>
          </w:tcPr>
          <w:p>
            <w:pPr>
              <w:pStyle w:val="TableContents"/>
              <w:bidi w:val="0"/>
              <w:spacing w:before="0" w:after="0"/>
              <w:jc w:val="both"/>
              <w:rPr>
                <w:rFonts w:ascii="Times New Roman" w:hAnsi="Times New Roman"/>
                <w:sz w:val="20"/>
              </w:rPr>
            </w:pPr>
            <w:r>
              <w:rPr>
                <w:rFonts w:ascii="Times New Roman" w:hAnsi="Times New Roman"/>
                <w:sz w:val="20"/>
              </w:rPr>
              <w:t>Megan Sanford</w:t>
            </w:r>
          </w:p>
        </w:tc>
        <w:tc>
          <w:tcPr>
            <w:tcW w:w="121" w:type="dxa"/>
            <w:tcBorders/>
            <w:vAlign w:val="bottom"/>
          </w:tcPr>
          <w:p>
            <w:pPr>
              <w:pStyle w:val="TableContents"/>
              <w:bidi w:val="0"/>
              <w:spacing w:before="0" w:after="283"/>
              <w:jc w:val="left"/>
              <w:rPr/>
            </w:pPr>
            <w:r>
              <w:rPr/>
              <w:t>  </w:t>
            </w:r>
          </w:p>
        </w:tc>
        <w:tc>
          <w:tcPr>
            <w:tcW w:w="8283" w:type="dxa"/>
            <w:tcBorders/>
          </w:tcPr>
          <w:p>
            <w:pPr>
              <w:pStyle w:val="TableContents"/>
              <w:bidi w:val="0"/>
              <w:spacing w:before="0" w:after="0"/>
              <w:jc w:val="both"/>
              <w:rPr>
                <w:rFonts w:ascii="Times New Roman" w:hAnsi="Times New Roman"/>
                <w:sz w:val="20"/>
              </w:rPr>
            </w:pPr>
            <w:r>
              <w:rPr>
                <w:rFonts w:ascii="Times New Roman" w:hAnsi="Times New Roman"/>
                <w:sz w:val="20"/>
              </w:rPr>
              <w:t>Associate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3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Compensation </w:t>
      </w:r>
    </w:p>
    <w:p>
      <w:pPr>
        <w:pStyle w:val="TextBody"/>
        <w:bidi w:val="0"/>
        <w:spacing w:before="240" w:after="0"/>
        <w:jc w:val="both"/>
        <w:rPr>
          <w:rFonts w:ascii="Times New Roman" w:hAnsi="Times New Roman"/>
          <w:sz w:val="20"/>
        </w:rPr>
      </w:pPr>
      <w:r>
        <w:rPr>
          <w:rFonts w:ascii="Times New Roman" w:hAnsi="Times New Roman"/>
          <w:sz w:val="20"/>
        </w:rPr>
        <w:t xml:space="preserve">TD Cowen shall be paid compensation up to 3.0% of the gross proceeds from the sales of Common Stock pursuant to the terms of this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7(n)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OFFICER CERTIFICATE </w:t>
      </w:r>
    </w:p>
    <w:p>
      <w:pPr>
        <w:pStyle w:val="TextBody"/>
        <w:bidi w:val="0"/>
        <w:spacing w:before="0" w:after="0"/>
        <w:jc w:val="right"/>
        <w:rPr>
          <w:rFonts w:ascii="Times New Roman" w:hAnsi="Times New Roman"/>
          <w:b/>
          <w:sz w:val="20"/>
        </w:rPr>
      </w:pPr>
      <w:bookmarkStart w:id="4" w:name="d910893dex51.htm"/>
      <w:bookmarkStart w:id="5" w:name="ksd910893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0"/>
              <w:jc w:val="left"/>
              <w:rPr/>
            </w:pPr>
            <w:r>
              <w:rPr/>
              <w:drawing>
                <wp:inline distT="0" distB="0" distL="0" distR="0">
                  <wp:extent cx="13335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590550"/>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w:t>
            </w:r>
          </w:p>
          <w:p>
            <w:pPr>
              <w:pStyle w:val="TableContents"/>
              <w:bidi w:val="0"/>
              <w:spacing w:before="0" w:after="0"/>
              <w:jc w:val="left"/>
              <w:rPr>
                <w:rFonts w:ascii="Times New Roman" w:hAnsi="Times New Roman"/>
                <w:sz w:val="20"/>
              </w:rPr>
            </w:pPr>
            <w:r>
              <w:rPr>
                <w:rFonts w:ascii="Times New Roman" w:hAnsi="Times New Roman"/>
                <w:sz w:val="20"/>
              </w:rPr>
              <w:t>Professional Corporation</w:t>
            </w:r>
          </w:p>
          <w:p>
            <w:pPr>
              <w:pStyle w:val="TableContents"/>
              <w:bidi w:val="0"/>
              <w:spacing w:before="0" w:after="0"/>
              <w:jc w:val="left"/>
              <w:rPr>
                <w:rFonts w:ascii="Times New Roman" w:hAnsi="Times New Roman"/>
                <w:sz w:val="20"/>
              </w:rPr>
            </w:pPr>
            <w:r>
              <w:rPr>
                <w:rFonts w:ascii="Times New Roman" w:hAnsi="Times New Roman"/>
                <w:sz w:val="20"/>
              </w:rPr>
              <w:t>650 Page Mill Road</w:t>
            </w:r>
          </w:p>
          <w:p>
            <w:pPr>
              <w:pStyle w:val="TableContents"/>
              <w:bidi w:val="0"/>
              <w:spacing w:before="0" w:after="0"/>
              <w:jc w:val="left"/>
              <w:rPr>
                <w:rFonts w:ascii="Times New Roman" w:hAnsi="Times New Roman"/>
                <w:sz w:val="20"/>
              </w:rPr>
            </w:pPr>
            <w:r>
              <w:rPr>
                <w:rFonts w:ascii="Times New Roman" w:hAnsi="Times New Roman"/>
                <w:sz w:val="20"/>
              </w:rPr>
              <w:t>Palo Alto, California 94304-1050</w:t>
            </w:r>
          </w:p>
          <w:p>
            <w:pPr>
              <w:pStyle w:val="TableContents"/>
              <w:bidi w:val="0"/>
              <w:spacing w:before="0" w:after="0"/>
              <w:jc w:val="left"/>
              <w:rPr>
                <w:rFonts w:ascii="Times New Roman" w:hAnsi="Times New Roman"/>
                <w:sz w:val="20"/>
              </w:rPr>
            </w:pPr>
            <w:r>
              <w:rPr>
                <w:rFonts w:ascii="Times New Roman" w:hAnsi="Times New Roman"/>
                <w:sz w:val="20"/>
              </w:rPr>
              <w:t>O: 650.493.9300</w:t>
            </w:r>
          </w:p>
          <w:p>
            <w:pPr>
              <w:pStyle w:val="TableContents"/>
              <w:bidi w:val="0"/>
              <w:spacing w:before="0" w:after="20"/>
              <w:jc w:val="left"/>
              <w:rPr>
                <w:rFonts w:ascii="Times New Roman" w:hAnsi="Times New Roman"/>
                <w:sz w:val="20"/>
              </w:rPr>
            </w:pPr>
            <w:r>
              <w:rPr>
                <w:rFonts w:ascii="Times New Roman" w:hAnsi="Times New Roman"/>
                <w:sz w:val="20"/>
              </w:rPr>
              <w:t>F: 866.974.7329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May 7, 2026 </w:t>
      </w:r>
    </w:p>
    <w:p>
      <w:pPr>
        <w:pStyle w:val="TextBody"/>
        <w:bidi w:val="0"/>
        <w:spacing w:before="240" w:after="0"/>
        <w:jc w:val="left"/>
        <w:rPr>
          <w:rFonts w:ascii="Times New Roman" w:hAnsi="Times New Roman"/>
          <w:sz w:val="20"/>
        </w:rPr>
      </w:pPr>
      <w:r>
        <w:rPr>
          <w:rFonts w:ascii="Times New Roman" w:hAnsi="Times New Roman"/>
          <w:sz w:val="20"/>
        </w:rPr>
        <w:t xml:space="preserve">Alector, Inc. </w:t>
      </w:r>
    </w:p>
    <w:p>
      <w:pPr>
        <w:pStyle w:val="TextBody"/>
        <w:bidi w:val="0"/>
        <w:spacing w:before="0" w:after="0"/>
        <w:jc w:val="left"/>
        <w:rPr>
          <w:rFonts w:ascii="Times New Roman" w:hAnsi="Times New Roman"/>
          <w:sz w:val="20"/>
        </w:rPr>
      </w:pPr>
      <w:r>
        <w:rPr>
          <w:rFonts w:ascii="Times New Roman" w:hAnsi="Times New Roman"/>
          <w:sz w:val="20"/>
        </w:rPr>
        <w:t xml:space="preserve">131 Oyster Point Boulevard, Suite 600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94080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Re: Alector, Inc. – “At the Market” Sale and Issuance of up to $125,000,000 of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both"/>
        <w:rPr>
          <w:rFonts w:ascii="Times New Roman" w:hAnsi="Times New Roman"/>
          <w:sz w:val="20"/>
        </w:rPr>
      </w:pPr>
      <w:r>
        <w:rPr>
          <w:rFonts w:ascii="Times New Roman" w:hAnsi="Times New Roman"/>
          <w:sz w:val="20"/>
        </w:rPr>
        <w:t>This opinion is furnished to you in connection with the Registration Statement on Form S-3 (the “</w:t>
      </w:r>
      <w:r>
        <w:rPr>
          <w:rFonts w:ascii="Times New Roman" w:hAnsi="Times New Roman"/>
          <w:b/>
          <w:sz w:val="20"/>
        </w:rPr>
        <w:t>Registration Statement</w:t>
      </w:r>
      <w:r>
        <w:rPr>
          <w:rFonts w:ascii="Times New Roman" w:hAnsi="Times New Roman"/>
          <w:sz w:val="20"/>
        </w:rPr>
        <w:t>”), filed by Alector, Inc. (the “</w:t>
      </w:r>
      <w:r>
        <w:rPr>
          <w:rFonts w:ascii="Times New Roman" w:hAnsi="Times New Roman"/>
          <w:b/>
          <w:sz w:val="20"/>
        </w:rPr>
        <w:t>Company</w:t>
      </w:r>
      <w:r>
        <w:rPr>
          <w:rFonts w:ascii="Times New Roman" w:hAnsi="Times New Roman"/>
          <w:sz w:val="20"/>
        </w:rPr>
        <w:t>”) with the Securities and Exchange Commission (the “</w:t>
      </w:r>
      <w:r>
        <w:rPr>
          <w:rFonts w:ascii="Times New Roman" w:hAnsi="Times New Roman"/>
          <w:b/>
          <w:sz w:val="20"/>
        </w:rPr>
        <w:t>Commission</w:t>
      </w:r>
      <w:r>
        <w:rPr>
          <w:rFonts w:ascii="Times New Roman" w:hAnsi="Times New Roman"/>
          <w:sz w:val="20"/>
        </w:rPr>
        <w:t>”) on March 12, 2026 under the Securities Act of 1933, as amended (the “</w:t>
      </w:r>
      <w:r>
        <w:rPr>
          <w:rFonts w:ascii="Times New Roman" w:hAnsi="Times New Roman"/>
          <w:b/>
          <w:sz w:val="20"/>
        </w:rPr>
        <w:t>Securities Act</w:t>
      </w:r>
      <w:r>
        <w:rPr>
          <w:rFonts w:ascii="Times New Roman" w:hAnsi="Times New Roman"/>
          <w:sz w:val="20"/>
        </w:rPr>
        <w:t>”), and declared effective on April 30, 2026, the prospectus contained within the registration statement (the “</w:t>
      </w:r>
      <w:r>
        <w:rPr>
          <w:rFonts w:ascii="Times New Roman" w:hAnsi="Times New Roman"/>
          <w:b/>
          <w:sz w:val="20"/>
        </w:rPr>
        <w:t>Prospectus</w:t>
      </w:r>
      <w:r>
        <w:rPr>
          <w:rFonts w:ascii="Times New Roman" w:hAnsi="Times New Roman"/>
          <w:sz w:val="20"/>
        </w:rPr>
        <w:t>”), and the prospectus supplement to the Registration Statement dated May 7, 2026 (the “</w:t>
      </w:r>
      <w:r>
        <w:rPr>
          <w:rFonts w:ascii="Times New Roman" w:hAnsi="Times New Roman"/>
          <w:b/>
          <w:sz w:val="20"/>
        </w:rPr>
        <w:t>Prospectus Supplement</w:t>
      </w:r>
      <w:r>
        <w:rPr>
          <w:rFonts w:ascii="Times New Roman" w:hAnsi="Times New Roman"/>
          <w:sz w:val="20"/>
        </w:rPr>
        <w:t>”) in connection with the registration under the Securities Act of up to $125,000,000 of shares of the Company’s common stock, $0.0001 par value per share (the “</w:t>
      </w:r>
      <w:r>
        <w:rPr>
          <w:rFonts w:ascii="Times New Roman" w:hAnsi="Times New Roman"/>
          <w:b/>
          <w:sz w:val="20"/>
        </w:rPr>
        <w:t>Shares</w:t>
      </w:r>
      <w:r>
        <w:rPr>
          <w:rFonts w:ascii="Times New Roman" w:hAnsi="Times New Roman"/>
          <w:sz w:val="20"/>
        </w:rPr>
        <w:t>”), to be issued and sold by the Company. We understand that the Company has agreed to issue and sell the Shares from time to time through TD Securities (USA) LLC (“</w:t>
      </w:r>
      <w:r>
        <w:rPr>
          <w:rFonts w:ascii="Times New Roman" w:hAnsi="Times New Roman"/>
          <w:b/>
          <w:sz w:val="20"/>
        </w:rPr>
        <w:t>TD Cowen</w:t>
      </w:r>
      <w:r>
        <w:rPr>
          <w:rFonts w:ascii="Times New Roman" w:hAnsi="Times New Roman"/>
          <w:sz w:val="20"/>
        </w:rPr>
        <w:t>”) as agent and/or principal pursuant to a sales agreement by and between the Company and TD Cowen (the “</w:t>
      </w:r>
      <w:r>
        <w:rPr>
          <w:rFonts w:ascii="Times New Roman" w:hAnsi="Times New Roman"/>
          <w:b/>
          <w:sz w:val="20"/>
        </w:rPr>
        <w:t>Sales Agreement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We are acting as counsel for the Company in connection with the issuance and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 </w:t>
      </w:r>
    </w:p>
    <w:p>
      <w:pPr>
        <w:pStyle w:val="TextBody"/>
        <w:bidi w:val="0"/>
        <w:spacing w:before="240" w:after="0"/>
        <w:jc w:val="both"/>
        <w:rPr>
          <w:rFonts w:ascii="Times New Roman" w:hAnsi="Times New Roman"/>
          <w:sz w:val="20"/>
        </w:rPr>
      </w:pPr>
      <w:r>
        <w:rPr>
          <w:rFonts w:ascii="Times New Roman" w:hAnsi="Times New Roman"/>
          <w:sz w:val="20"/>
        </w:rPr>
        <w:t xml:space="preserve">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 </w:t>
      </w:r>
    </w:p>
    <w:p>
      <w:pPr>
        <w:pStyle w:val="TextBody"/>
        <w:bidi w:val="0"/>
        <w:spacing w:before="240" w:after="0"/>
        <w:jc w:val="center"/>
        <w:rPr>
          <w:rFonts w:ascii="Times New Roman" w:hAnsi="Times New Roman"/>
          <w:sz w:val="20"/>
        </w:rPr>
      </w:pPr>
      <w:r>
        <w:rPr>
          <w:rFonts w:ascii="Times New Roman" w:hAnsi="Times New Roman"/>
          <w:sz w:val="20"/>
        </w:rPr>
        <w:t xml:space="preserve">AUSTIN  BOSTON  BOULDER  BRUSSELS  HONG KONG  LONDON  LOS ANGELES  NEW YORK  PALO ALTO </w:t>
      </w:r>
    </w:p>
    <w:p>
      <w:pPr>
        <w:pStyle w:val="TextBody"/>
        <w:bidi w:val="0"/>
        <w:spacing w:before="0" w:after="0"/>
        <w:jc w:val="center"/>
        <w:rPr>
          <w:rFonts w:ascii="Times New Roman" w:hAnsi="Times New Roman"/>
          <w:sz w:val="20"/>
        </w:rPr>
      </w:pPr>
      <w:r>
        <w:rPr>
          <w:rFonts w:ascii="Times New Roman" w:hAnsi="Times New Roman"/>
          <w:sz w:val="20"/>
        </w:rPr>
        <w:t xml:space="preserve">SALT LAKE CITY  SAN DIEGO  SAN FRANCISCO  SEATTLE  SHANGHAI  WASHINGTON, DC  WILMINGTON, DE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On the basis of the foregoing, we are of the opinion that the Shares to be issued and sold by the Company have been duly authorized and, when such Shares are issued and paid for in accordance with the terms of the Sales Agreement, will be validly issued, fully paid and nonassessable. </w:t>
      </w:r>
    </w:p>
    <w:p>
      <w:pPr>
        <w:pStyle w:val="TextBody"/>
        <w:bidi w:val="0"/>
        <w:spacing w:before="240" w:after="0"/>
        <w:jc w:val="both"/>
        <w:rPr>
          <w:rFonts w:ascii="Times New Roman" w:hAnsi="Times New Roman"/>
          <w:sz w:val="20"/>
        </w:rPr>
      </w:pPr>
      <w:r>
        <w:rPr>
          <w:rFonts w:ascii="Times New Roman" w:hAnsi="Times New Roman"/>
          <w:sz w:val="20"/>
        </w:rPr>
        <w:t xml:space="preserve">We hereby consent to the filing of this opinion as an exhibit to the Company’s Current Report on Form 8-K filed on or about the date hereof for incorporation by reference into the Registration Statement, and to the use of our name wherever it appears in the Registration Statement, the Prospectus, Prospectus Supplement, and in any amendment or supplement thereto. In giving such consent, we do not believe that we are “experts” within the meaning of such term as used in the Securities Act or the rules and regulations of the Commission issued thereunder with respect to any part of the Registration Statement, including this opinion as an exhibit or otherwise.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WILSON SONSINI GOODRICH &amp; ROSATI</w:t>
            </w:r>
          </w:p>
        </w:tc>
      </w:tr>
      <w:tr>
        <w:trPr/>
        <w:tc>
          <w:tcPr>
            <w:tcW w:w="4082" w:type="dxa"/>
            <w:tcBorders/>
          </w:tcPr>
          <w:p>
            <w:pPr>
              <w:pStyle w:val="TableContents"/>
              <w:bidi w:val="0"/>
              <w:spacing w:before="0" w:after="283"/>
              <w:jc w:val="left"/>
              <w:rPr/>
            </w:pPr>
            <w:r>
              <w:rPr/>
              <w:t>Professional Corporation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Wilson Sonsini Goodrich &amp; Rosati, P.C.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23156</Words>
  <Characters>120927</Characters>
  <CharactersWithSpaces>144167</CharactersWithSpaces>
  <Paragraphs>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