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ec-20260331.htm"/>
      <w:bookmarkStart w:id="1" w:name="ksalec20260331"/>
      <w:bookmarkEnd w:id="0"/>
      <w:bookmarkEnd w:id="1"/>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FORM 10-Q</w:t>
      </w:r>
    </w:p>
    <w:p>
      <w:pPr>
        <w:pStyle w:val="TextBody"/>
        <w:pBdr>
          <w:bottom w:val="single" w:sz="8" w:space="1" w:color="000000"/>
        </w:pBdr>
        <w:bidi w:val="0"/>
        <w:jc w:val="left"/>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March 31, 2026</w:t>
      </w:r>
    </w:p>
    <w:p>
      <w:pPr>
        <w:pStyle w:val="TextBody"/>
        <w:bidi w:val="0"/>
        <w:spacing w:before="60" w:after="283"/>
        <w:jc w:val="center"/>
        <w:rPr>
          <w:rFonts w:ascii="Times New Roman" w:hAnsi="Times New Roman"/>
          <w:sz w:val="20"/>
        </w:rPr>
      </w:pPr>
      <w:r>
        <w:rPr>
          <w:rFonts w:ascii="Times New Roman" w:hAnsi="Times New Roman"/>
          <w:b/>
          <w:color w:val="000000"/>
          <w:sz w:val="19"/>
        </w:rPr>
        <w:t>OR</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001-38792</w:t>
      </w:r>
      <w:r>
        <w:rPr>
          <w:rFonts w:ascii="Times New Roman" w:hAnsi="Times New Roman"/>
          <w:color w:val="000000"/>
          <w:sz w:val="20"/>
        </w:rPr>
        <w:t xml:space="preserve"> </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6"/>
        </w:rPr>
      </w:pPr>
      <w:r>
        <w:rPr>
          <w:rFonts w:ascii="Times New Roman" w:hAnsi="Times New Roman"/>
          <w:b/>
          <w:color w:val="000000"/>
          <w:sz w:val="46"/>
        </w:rPr>
        <w:t>Alector,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spacing w:before="0" w:after="120"/>
        <w:jc w:val="center"/>
        <w:rPr/>
      </w:pPr>
      <w:r>
        <w:rPr/>
        <w:t> </w:t>
      </w:r>
    </w:p>
    <w:p>
      <w:pPr>
        <w:pStyle w:val="TextBody"/>
        <w:bidi w:val="0"/>
        <w:jc w:val="left"/>
        <w:rPr/>
      </w:pPr>
      <w:r>
        <w:rPr/>
        <w:t> </w:t>
      </w:r>
    </w:p>
    <w:tbl>
      <w:tblPr>
        <w:tblW w:w="4783" w:type="dxa"/>
        <w:jc w:val="left"/>
        <w:tblInd w:w="0" w:type="dxa"/>
        <w:tblLayout w:type="fixed"/>
        <w:tblCellMar>
          <w:top w:w="28" w:type="dxa"/>
          <w:left w:w="28" w:type="dxa"/>
          <w:bottom w:w="28" w:type="dxa"/>
          <w:right w:w="28" w:type="dxa"/>
        </w:tblCellMar>
      </w:tblPr>
      <w:tblGrid>
        <w:gridCol w:w="3076"/>
        <w:gridCol w:w="146"/>
        <w:gridCol w:w="156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82-2933343</w:t>
            </w:r>
          </w:p>
        </w:tc>
      </w:tr>
      <w:tr>
        <w:trPr/>
        <w:tc>
          <w:tcPr>
            <w:tcW w:w="30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w:t>
              <w:br/>
              <w:t>Identification No.)</w:t>
            </w:r>
          </w:p>
        </w:tc>
      </w:tr>
      <w:tr>
        <w:trPr/>
        <w:tc>
          <w:tcPr>
            <w:tcW w:w="307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131 Oyster Point Blvd, Suite 600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South San Francisco, 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415-231-5660</w:t>
      </w:r>
    </w:p>
    <w:p>
      <w:pPr>
        <w:pStyle w:val="TextBody"/>
        <w:pBdr>
          <w:bottom w:val="single" w:sz="4" w:space="1" w:color="000000"/>
        </w:pBdr>
        <w:bidi w:val="0"/>
        <w:jc w:val="center"/>
        <w:rPr/>
      </w:pPr>
      <w:r>
        <w:rPr/>
        <w:t> </w:t>
      </w:r>
    </w:p>
    <w:p>
      <w:pPr>
        <w:pStyle w:val="TextBody"/>
        <w:bidi w:val="0"/>
        <w:spacing w:before="60" w:after="283"/>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Not applicable</w:t>
      </w:r>
    </w:p>
    <w:p>
      <w:pPr>
        <w:pStyle w:val="TextBody"/>
        <w:bidi w:val="0"/>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bidi w:val="0"/>
        <w:spacing w:before="80" w:after="80"/>
        <w:jc w:val="left"/>
        <w:rPr>
          <w:rFonts w:ascii="Times New Roman" w:hAnsi="Times New Roman"/>
          <w:color w:val="000000"/>
          <w:sz w:val="18"/>
        </w:rPr>
      </w:pPr>
      <w:r>
        <w:rPr>
          <w:rFonts w:ascii="Times New Roman" w:hAnsi="Times New Roman"/>
          <w:color w:val="000000"/>
          <w:sz w:val="18"/>
        </w:rPr>
        <w:t>Securities registered pursuant to Section 12(b) of the Exchange Act:</w:t>
      </w:r>
    </w:p>
    <w:tbl>
      <w:tblPr>
        <w:tblW w:w="5913" w:type="dxa"/>
        <w:jc w:val="left"/>
        <w:tblInd w:w="0" w:type="dxa"/>
        <w:tblLayout w:type="fixed"/>
        <w:tblCellMar>
          <w:top w:w="28" w:type="dxa"/>
          <w:left w:w="28" w:type="dxa"/>
          <w:bottom w:w="28" w:type="dxa"/>
          <w:right w:w="28" w:type="dxa"/>
        </w:tblCellMar>
      </w:tblPr>
      <w:tblGrid>
        <w:gridCol w:w="1381"/>
        <w:gridCol w:w="1261"/>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ALEC</w:t>
            </w:r>
          </w:p>
        </w:tc>
        <w:tc>
          <w:tcPr>
            <w:tcW w:w="3271" w:type="dxa"/>
            <w:tcBorders>
              <w:bottom w:val="single" w:sz="4" w:space="0" w:color="000000"/>
              <w:right w:val="single" w:sz="4" w:space="0" w:color="000000"/>
            </w:tcBorders>
            <w:tcMar>
              <w:top w:w="0" w:type="dxa"/>
              <w:left w:w="0" w:type="dxa"/>
            </w:tcMar>
            <w:vAlign w:val="center"/>
          </w:tcPr>
          <w:p>
            <w:pPr>
              <w:pStyle w:val="TableContents"/>
              <w:bidi w:val="0"/>
              <w:jc w:val="center"/>
              <w:rPr>
                <w:rFonts w:ascii="Times New Roman" w:hAnsi="Times New Roman"/>
                <w:sz w:val="20"/>
              </w:rPr>
            </w:pPr>
            <w:r>
              <w:rPr>
                <w:rFonts w:ascii="Times New Roman" w:hAnsi="Times New Roman"/>
                <w:color w:val="000000"/>
                <w:sz w:val="16"/>
              </w:rPr>
              <w:t>The Nasdaq Stock Market LLC</w:t>
            </w:r>
            <w:r>
              <w:rPr>
                <w:rFonts w:ascii="Times New Roman" w:hAnsi="Times New Roman"/>
                <w:color w:val="000000"/>
                <w:sz w:val="20"/>
              </w:rPr>
              <w:t xml:space="preserve"> </w:t>
            </w:r>
          </w:p>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May 1, 2026, the registrant had 111,025,187</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Alector,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320" w:after="283"/>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00"/>
                  <w:sz w:val="20"/>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00"/>
                  <w:sz w:val="20"/>
                </w:rPr>
                <w:t>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00"/>
                  <w:sz w:val="20"/>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00"/>
                  <w:sz w:val="20"/>
                </w:rPr>
                <w:t>Condensed Consolidated Statements of Operations and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ockholder_equity">
              <w:r>
                <w:rPr>
                  <w:rStyle w:val="InternetLink"/>
                  <w:rFonts w:ascii="Times New Roman" w:hAnsi="Times New Roman"/>
                  <w:color w:val="000000"/>
                  <w:sz w:val="20"/>
                </w:rPr>
                <w:t>Condensed Consolidated Statements of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00"/>
                  <w:sz w:val="20"/>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00"/>
                  <w:sz w:val="20"/>
                </w:rPr>
                <w:t>Notes to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00"/>
                  <w:sz w:val="20"/>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00"/>
                  <w:sz w:val="20"/>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00"/>
                  <w:sz w:val="20"/>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00"/>
                  <w:sz w:val="20"/>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00"/>
                  <w:sz w:val="20"/>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00"/>
                  <w:sz w:val="20"/>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00"/>
                  <w:sz w:val="20"/>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00"/>
                  <w:sz w:val="20"/>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00"/>
                  <w:sz w:val="20"/>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00"/>
                  <w:sz w:val="20"/>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00"/>
                  <w:sz w:val="20"/>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00"/>
                  <w:sz w:val="20"/>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All statements other than statements of historical facts contained in this report, including statements regarding our future results of operations and financial position, business strategy, product candidates, plans for and results of our research, preclinical studies and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development and manufacturing of our product candidates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for advancing research and pre-clinical stage programs into clinical development and our ability to execute on those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safety,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expected potential benefits of strategic collaborations with third parties and our ability to attract collaborators with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of the number of patients in the United States, the European Union, and other regions who suffer from the diseases we are targeting and the number of patients that will enroll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focus of our future clinical trials, and the reporting of data from those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our sales and marketing strategy and the regions and countries selected for commercialization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market opportunity for our product candidates in each of the diseases we are targeting;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product candidates into additional indications and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including our expectation to seek special designations, such as orphan drug designation, for our product candidates for various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and potential future government actions, legislation, regulations, regulatory developments, and regulatory agencies in the United States and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for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anticipate our personnel needs and to attract and retain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additional financing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 including potential volatility in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worldwide economic conditions, including macroeconomic conditions, inflation, supply chain disruptions, trade tariffs, and economic impacts of pandemics or other public health outbreaks and geopolitical events, such as international conflict,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inflation;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cash equivalents, and marketable securities to fund our future operating expenses and capital expenditure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60" w:after="283"/>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60" w:after="283"/>
        <w:jc w:val="center"/>
        <w:rPr>
          <w:rFonts w:ascii="Times New Roman" w:hAnsi="Times New Roman"/>
          <w:b/>
          <w:i/>
          <w:color w:val="000000"/>
          <w:sz w:val="20"/>
        </w:rPr>
      </w:pPr>
      <w:r>
        <w:rPr>
          <w:rFonts w:ascii="Times New Roman" w:hAnsi="Times New Roman"/>
          <w:b/>
          <w:i/>
          <w:color w:val="000000"/>
          <w:sz w:val="20"/>
        </w:rPr>
        <w:t>(In thousands, except share and per share data)</w:t>
      </w:r>
    </w:p>
    <w:tbl>
      <w:tblPr>
        <w:tblW w:w="8974" w:type="dxa"/>
        <w:jc w:val="left"/>
        <w:tblInd w:w="0" w:type="dxa"/>
        <w:tblLayout w:type="fixed"/>
        <w:tblCellMar>
          <w:top w:w="28" w:type="dxa"/>
          <w:left w:w="28" w:type="dxa"/>
          <w:bottom w:w="28" w:type="dxa"/>
          <w:right w:w="28" w:type="dxa"/>
        </w:tblCellMar>
      </w:tblPr>
      <w:tblGrid>
        <w:gridCol w:w="5641"/>
        <w:gridCol w:w="146"/>
        <w:gridCol w:w="211"/>
        <w:gridCol w:w="931"/>
        <w:gridCol w:w="166"/>
        <w:gridCol w:w="146"/>
        <w:gridCol w:w="211"/>
        <w:gridCol w:w="931"/>
        <w:gridCol w:w="5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clinical supply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 to collaboration partner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Refund liability to collaboration partner,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long-term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w:t>
              <w:br/>
              <w:t>    111,025,187 and 110,362,581 shares issued and outstanding as of</w:t>
              <w:br/>
              <w: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b/>
          <w:color w:val="000000"/>
          <w:sz w:val="20"/>
        </w:rPr>
      </w:pPr>
      <w:bookmarkStart w:id="5" w:name="consolidated_statements_operations_compr"/>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8179" w:type="dxa"/>
        <w:jc w:val="left"/>
        <w:tblInd w:w="0" w:type="dxa"/>
        <w:tblLayout w:type="fixed"/>
        <w:tblCellMar>
          <w:top w:w="28" w:type="dxa"/>
          <w:left w:w="28" w:type="dxa"/>
          <w:bottom w:w="28" w:type="dxa"/>
          <w:right w:w="28" w:type="dxa"/>
        </w:tblCellMar>
      </w:tblPr>
      <w:tblGrid>
        <w:gridCol w:w="4531"/>
        <w:gridCol w:w="146"/>
        <w:gridCol w:w="211"/>
        <w:gridCol w:w="1141"/>
        <w:gridCol w:w="166"/>
        <w:gridCol w:w="146"/>
        <w:gridCol w:w="211"/>
        <w:gridCol w:w="1036"/>
        <w:gridCol w:w="5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used in computing net loss per share, basic and </w:t>
              <w:br/>
              <w: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110,590,014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99,398,200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b/>
          <w:color w:val="000000"/>
          <w:sz w:val="20"/>
        </w:rPr>
      </w:pPr>
      <w:bookmarkStart w:id="6" w:name="condensed_stockholder_equity"/>
      <w:bookmarkEnd w:id="6"/>
      <w:r>
        <w:rPr>
          <w:rFonts w:ascii="Times New Roman" w:hAnsi="Times New Roman"/>
          <w:b/>
          <w:color w:val="000000"/>
          <w:sz w:val="20"/>
        </w:rPr>
        <w:t>Condensed Consolidated Statement of Stockholders’ Equity</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data)</w:t>
      </w:r>
      <w:r>
        <w:rPr>
          <w:rFonts w:ascii="Times New Roman" w:hAnsi="Times New Roman"/>
          <w:color w:val="000000"/>
          <w:sz w:val="20"/>
        </w:rPr>
        <w:t xml:space="preserve"> </w:t>
      </w:r>
    </w:p>
    <w:p>
      <w:pPr>
        <w:pStyle w:val="TextBody"/>
        <w:bidi w:val="0"/>
        <w:jc w:val="center"/>
        <w:rPr/>
      </w:pPr>
      <w:r>
        <w:rPr/>
        <w:t> </w:t>
      </w:r>
    </w:p>
    <w:tbl>
      <w:tblPr>
        <w:tblW w:w="10631" w:type="dxa"/>
        <w:jc w:val="left"/>
        <w:tblInd w:w="0" w:type="dxa"/>
        <w:tblLayout w:type="fixed"/>
        <w:tblCellMar>
          <w:top w:w="28" w:type="dxa"/>
          <w:left w:w="28" w:type="dxa"/>
          <w:bottom w:w="28" w:type="dxa"/>
          <w:right w:w="28" w:type="dxa"/>
        </w:tblCellMar>
      </w:tblPr>
      <w:tblGrid>
        <w:gridCol w:w="1461"/>
        <w:gridCol w:w="146"/>
        <w:gridCol w:w="146"/>
        <w:gridCol w:w="1141"/>
        <w:gridCol w:w="146"/>
        <w:gridCol w:w="146"/>
        <w:gridCol w:w="295"/>
        <w:gridCol w:w="486"/>
        <w:gridCol w:w="146"/>
        <w:gridCol w:w="146"/>
        <w:gridCol w:w="211"/>
        <w:gridCol w:w="931"/>
        <w:gridCol w:w="146"/>
        <w:gridCol w:w="146"/>
        <w:gridCol w:w="534"/>
        <w:gridCol w:w="892"/>
        <w:gridCol w:w="166"/>
        <w:gridCol w:w="146"/>
        <w:gridCol w:w="243"/>
        <w:gridCol w:w="973"/>
        <w:gridCol w:w="166"/>
        <w:gridCol w:w="146"/>
        <w:gridCol w:w="280"/>
        <w:gridCol w:w="981"/>
        <w:gridCol w:w="41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110,362,581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111,025,187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09"/>
        <w:gridCol w:w="146"/>
        <w:gridCol w:w="146"/>
        <w:gridCol w:w="1036"/>
        <w:gridCol w:w="146"/>
        <w:gridCol w:w="146"/>
        <w:gridCol w:w="261"/>
        <w:gridCol w:w="430"/>
        <w:gridCol w:w="146"/>
        <w:gridCol w:w="146"/>
        <w:gridCol w:w="220"/>
        <w:gridCol w:w="817"/>
        <w:gridCol w:w="146"/>
        <w:gridCol w:w="146"/>
        <w:gridCol w:w="534"/>
        <w:gridCol w:w="790"/>
        <w:gridCol w:w="166"/>
        <w:gridCol w:w="146"/>
        <w:gridCol w:w="221"/>
        <w:gridCol w:w="884"/>
        <w:gridCol w:w="166"/>
        <w:gridCol w:w="146"/>
        <w:gridCol w:w="254"/>
        <w:gridCol w:w="941"/>
        <w:gridCol w:w="416"/>
      </w:tblGrid>
      <w:tr>
        <w:trPr/>
        <w:tc>
          <w:tcPr>
            <w:tcW w:w="1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99,085,888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99,992,600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94,610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649" w:type="dxa"/>
        <w:jc w:val="left"/>
        <w:tblInd w:w="0" w:type="dxa"/>
        <w:tblLayout w:type="fixed"/>
        <w:tblCellMar>
          <w:top w:w="28" w:type="dxa"/>
          <w:left w:w="28" w:type="dxa"/>
          <w:bottom w:w="28" w:type="dxa"/>
          <w:right w:w="28" w:type="dxa"/>
        </w:tblCellMar>
      </w:tblPr>
      <w:tblGrid>
        <w:gridCol w:w="5416"/>
        <w:gridCol w:w="146"/>
        <w:gridCol w:w="211"/>
        <w:gridCol w:w="781"/>
        <w:gridCol w:w="166"/>
        <w:gridCol w:w="146"/>
        <w:gridCol w:w="211"/>
        <w:gridCol w:w="781"/>
        <w:gridCol w:w="7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and accretion of discounts on</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 and accrued clinical supply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Payable to collaboration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Refund liability to collaboration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121,549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options to purchase</w:t>
              <w:br/>
              <w:t>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purchases included in accounts</w:t>
              <w:br/>
              <w:t>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40" w:after="283"/>
        <w:jc w:val="left"/>
        <w:rPr>
          <w:rFonts w:ascii="Times New Roman" w:hAnsi="Times New Roman"/>
          <w:sz w:val="20"/>
        </w:rPr>
      </w:pPr>
      <w:bookmarkStart w:id="9" w:name="notes_to_consolidated_financials"/>
      <w:bookmarkEnd w:id="9"/>
      <w:r>
        <w:rPr>
          <w:rFonts w:ascii="Times New Roman" w:hAnsi="Times New Roman"/>
          <w:b/>
          <w:color w:val="000000"/>
          <w:sz w:val="20"/>
        </w:rPr>
        <w:t>1. The Company and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Alector, Inc. (Alector or the Company) is a Delaware corporation headquartered in South San Francisco, California. Alector is a biotechnology company focused on developing therapies to counteract the devastating progression of neurodegeneration.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7, 2023, the Company entered into an at-the-market sales agreement with TD Securities (USA) LLC (TD Securities, formerly known as Cowen and Company, LLC) pursuant to which the Company may offer and sell from time to time through TD Securities up to $125,000,000 of shares of its common stock, in such share amounts as the Company may specify by notice to TD Securities (the Sales Agreement). As of March 31, 2026, the Company had issued an aggregate of 7,110,162 shares and received approximately $20.0 million in net proceeds from the sale of securities pursuant to the Sales Agreement, all of which were issued during the prior year. The Company did not issue any shares under the Sales Agreement during the three months ended March 31, 2026.</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have been prepared in conformity with generally accepted accounting principles in the United States (GAAP) as defined by the Financial Accounting Standards Board (FASB). In the opinion of management, these unaudited condensed consolidated financial statements include all normal, recurring adjustments that are necessary to present fairly the results of the interim periods presented. The condensed consolidated financial statements include the accounts of Alector, Inc. and its wholly owned subsidiaries.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for the interim periods are not necessarily indicative of the results of operations to be expected for the full year. These interim financial statements should be read in conjunction with the audited financial statements as of and for the year ended December 31, 2025, and the notes thereto, which are included in the Company’s Annual Report on Form 10-K filed with the Securities and Exchange Commission (SEC) on February 25,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 during the reporting period. The Company evaluates its estimates, including those related to revenue recognition, manufacturing accruals, clinical accruals, fair value of assets and liabilities, income taxes uncertainties, stock-based compensation, and related assumptions on an ongoing basis using historical experience and other factors and adjusts those estimates and assumptions when facts and circumstances dictate. Actual results could materially differ from those estimates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cash equivalents, and short-term marketable securities. Cash and cash equivalents are deposited in checking and sweep accounts at financial institutions. Such deposits may, at times, exceed federally insured limits. </w:t>
      </w:r>
    </w:p>
    <w:p>
      <w:pPr>
        <w:pStyle w:val="TextBody"/>
        <w:bidi w:val="0"/>
        <w:spacing w:before="24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three months or less at the date of purchase to be cash and cash equivalents. Cash equivalents, which consist of amounts invested in money market funds, are stated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of $1.5 million relates to a letter of credit established for a lease entered into in June 2018. Restricted cash of $0.3 million was held as collateral to secure the use of corporate cards under a cash pledge agreement entered into in December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condensed consolidated balance sheets that sum to the total of the same amounts shown in the condensed consolidated statements of cash flows:</w:t>
      </w:r>
    </w:p>
    <w:p>
      <w:pPr>
        <w:pStyle w:val="TextBody"/>
        <w:bidi w:val="0"/>
        <w:spacing w:before="120" w:after="283"/>
        <w:jc w:val="left"/>
        <w:rPr/>
      </w:pPr>
      <w:r>
        <w:rPr/>
        <w:t> </w:t>
      </w:r>
    </w:p>
    <w:tbl>
      <w:tblPr>
        <w:tblW w:w="6794" w:type="dxa"/>
        <w:jc w:val="left"/>
        <w:tblInd w:w="0" w:type="dxa"/>
        <w:tblLayout w:type="fixed"/>
        <w:tblCellMar>
          <w:top w:w="28" w:type="dxa"/>
          <w:left w:w="28" w:type="dxa"/>
          <w:bottom w:w="28" w:type="dxa"/>
          <w:right w:w="28" w:type="dxa"/>
        </w:tblCellMar>
      </w:tblPr>
      <w:tblGrid>
        <w:gridCol w:w="4191"/>
        <w:gridCol w:w="146"/>
        <w:gridCol w:w="211"/>
        <w:gridCol w:w="676"/>
        <w:gridCol w:w="146"/>
        <w:gridCol w:w="146"/>
        <w:gridCol w:w="211"/>
        <w:gridCol w:w="676"/>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marketable securities have been classified as “available-for-sale” and are carried at fair value, based upon quoted market prices. The Company considers its available-for-sale portfolio as available for use in current operations. Accordingly, the Company may classify certain investments as short-term marketable securities, even though the stated maturity date may be one year or more beyond the current balance sheet date. For available-for-sale debt securities, unrealized gains, net of any related tax effects, are excluded from earnings and are included in other comprehensive income and reported as a separate component of stockholders’ equity until realized. The Company assesses available-for-sale debt securities on a quarterly basis to see if any unrealized loss is due to credit-related factors. Factors considered in determining whether an impairment is credit-related include the extent to which the investment’s fair value is less than its cost basis, declines in published credit ratings, changes in interest rates, and any other adverse factors related to the security. If it is determined that a credit-related impairment exists, the Company will measure the credit loss based on a discounted cash flows model. Credit-related impairments on available-for-sale debt securities are recognized as an allowance for credit losses with a corresponding adjustment to other income, net in the Company’s consolidated statement of operations. The unrealized loss position that is not credit-related is recorded, net of any related tax effects, in other comprehensive income until realized. There were no credit-related losses recognized for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securities sold is based on the specific-identification method. The amortized cost of securities is adjusted for amortization of premiums and accretion of discounts to maturity. In accordance with our investment policy, management invests in money market funds, U.S. treasury securities, corporate bonds, certificates of deposit, and commercial paper. The Company has not experienced any losses on its deposits of cash, cash equivalents, and marketable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include cash and cash equivalents, marketable securities, current and noncurrent prepaid expenses, accounts payable, payable to collaboration partner, and accrued liabilities. The Company's investments in marketable securities are measured at fair value. The Company’s other financial instruments approximate fair value due to their relatively short maturities.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investments in marketable securities,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Inputs are unadjusted, quoted prices in active markets for identical assets or liabilities at the measurement date;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Unobservable inputs that are significant to the measurement of the fair value of the assets or liabilities that are supported by little or no market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whether an arrangement is or contains a lease at the inception of the arrangement. Leases are recognized on the balance sheet as right-of-use assets and lease liabilities. Lease liabilities and their corresponding right-of-use assets are recorded based on the present value of lease payments over the expected lease term.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 and any prepaid or accrued rent. Rent expense for the operating lease is recognized on a straight-line basis over the lease term and is included in operating expenses on the statements of operations and comprehensive loss. Variable lease payments include lease operating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excludes balance sheet recognition of operating leases having a term of 12 months or less (short-term leases) and does not separate lease components and non-lease components for its long-term leases.</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when control of promised goods or services is transferred to customers in an amount that reflects the consideration that is expected to be received for those goods or services. In determining the appropriate amount of revenue to be recognized as the Company fulfills its obligations under contractual arrangements, the Company performs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If it is determined that multiple performance obligations exist, the transaction price is allocated at the inception of the agreement to all identified performance obligations based on the relative standalone selling price (SSP). The relative SSP for each performance obligation is estimated using externally sourced evidence if it is available. If externally sourced evidence is not available, the Company uses its best estimate of the SSP for the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collaboration revenue at a point in time if control of the promised good or service has been transferred to the customer. The Company recognizes collaboration revenue over time by measuring the progress toward complete satisfaction of the performance obligation using an input measure. In order to recognize revenue over the research and development period, the Company measures actual costs incurred to date compared to the overall total expected costs to satisfy the performance obligation. Revenues are recognized as the program costs are incurred. The Company re-evaluates the estimate of expected costs to satisfy the performance obligation each reporting period.</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measured on the grant date based on the fair value of the awards. The fair value of options to purchase common stock is measured using the Black-Scholes option-pricing model. Stock-based compensation associated with restricted stock units (RSUs) is based on the fair value of the Company’s common stock on the grant date, which equals the closing price of the Company’s common stock on the grant date. The Company recognizes expense over the vesting period of the awards. Expense for options and RSUs that vest based only on a service condition is recognized on a straight-line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RSUs with market conditions is estimated using a Monte Carlo simulation model. Assumptions and estimates utilized in the model include the stock price on grant date, risk-free interest rate, dividend yield, expected stock volatility, and estimated period to achieve the market condition. The expense is recognized based on continued employment of the participants, regardless of achievement of the market condition. Expense related to the RSUs with market conditions is recognized using the accelerated attribution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forfeitures as they occur for all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loss includes net loss and certain changes in stockholders’ equity that are the result of transactions and economic events other than those with stockholders. The Company’s only element of other comprehensive loss was net unrealized loss on marketable securities.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 initially recognized at cost and presented net of original issue discount and debt issuance costs on the consolidated balance sheets. Amortization of debt discount and debt issuance costs is recognized as interest expense over the period of the debt, using the effective interest rate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in one segment. The Company’s chief operating decision maker (CODM), its Chief Executive Officer, manages the Company’s operations on a consolidated basis for purposes of allocating resources. When evaluating the Company’s financial performance, the CODM reviews total revenues, total expenses and expenses by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is a summary of the segment profit or loss, including significant segment expenses (in thousands):</w:t>
      </w:r>
    </w:p>
    <w:p>
      <w:pPr>
        <w:pStyle w:val="TextBody"/>
        <w:bidi w:val="0"/>
        <w:spacing w:before="120" w:after="283"/>
        <w:jc w:val="left"/>
        <w:rPr/>
      </w:pPr>
      <w:r>
        <w:rPr/>
        <w:t> </w:t>
      </w:r>
    </w:p>
    <w:tbl>
      <w:tblPr>
        <w:tblW w:w="6959" w:type="dxa"/>
        <w:jc w:val="left"/>
        <w:tblInd w:w="0" w:type="dxa"/>
        <w:tblLayout w:type="fixed"/>
        <w:tblCellMar>
          <w:top w:w="28" w:type="dxa"/>
          <w:left w:w="28" w:type="dxa"/>
          <w:bottom w:w="28" w:type="dxa"/>
          <w:right w:w="28" w:type="dxa"/>
        </w:tblCellMar>
      </w:tblPr>
      <w:tblGrid>
        <w:gridCol w:w="4396"/>
        <w:gridCol w:w="146"/>
        <w:gridCol w:w="211"/>
        <w:gridCol w:w="736"/>
        <w:gridCol w:w="166"/>
        <w:gridCol w:w="146"/>
        <w:gridCol w:w="211"/>
        <w:gridCol w:w="736"/>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expenses and outside research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supply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Support functions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and consolidated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Other segment expenses include consultants &amp; contractor expense, contra-R&amp;D expense for GSK collaboration, depreciation expense, impairment loss, restructuring expense, and stock-based compensation expense.</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measured at fair value on a recurring basis by level within the fair value hierarchy: </w:t>
      </w:r>
    </w:p>
    <w:p>
      <w:pPr>
        <w:pStyle w:val="TextBody"/>
        <w:bidi w:val="0"/>
        <w:spacing w:before="120" w:after="283"/>
        <w:jc w:val="left"/>
        <w:rPr/>
      </w:pPr>
      <w:r>
        <w:rPr/>
        <w:t> </w:t>
      </w:r>
    </w:p>
    <w:tbl>
      <w:tblPr>
        <w:tblW w:w="9205" w:type="dxa"/>
        <w:jc w:val="left"/>
        <w:tblInd w:w="0" w:type="dxa"/>
        <w:tblLayout w:type="fixed"/>
        <w:tblCellMar>
          <w:top w:w="28" w:type="dxa"/>
          <w:left w:w="28" w:type="dxa"/>
          <w:bottom w:w="28" w:type="dxa"/>
          <w:right w:w="28" w:type="dxa"/>
        </w:tblCellMar>
      </w:tblPr>
      <w:tblGrid>
        <w:gridCol w:w="2971"/>
        <w:gridCol w:w="146"/>
        <w:gridCol w:w="886"/>
        <w:gridCol w:w="146"/>
        <w:gridCol w:w="211"/>
        <w:gridCol w:w="781"/>
        <w:gridCol w:w="146"/>
        <w:gridCol w:w="146"/>
        <w:gridCol w:w="295"/>
        <w:gridCol w:w="591"/>
        <w:gridCol w:w="146"/>
        <w:gridCol w:w="146"/>
        <w:gridCol w:w="270"/>
        <w:gridCol w:w="616"/>
        <w:gridCol w:w="166"/>
        <w:gridCol w:w="146"/>
        <w:gridCol w:w="213"/>
        <w:gridCol w:w="792"/>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Total cash equivalents and </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Total cash equivalents and </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Level 2 securities are valued using third-party pricing sources. The pricing services utilize industry standard valuation models for which all significant inputs are observable. The Company classifies marketable securities available to fund current operations as current assets. As of March 31, 2026, the remaining contractual maturities of $185.6 million of investments were less than one year and $20.3 million of investments were after one year through two years. The Company does not intend to sell the investments that are currently in an unrealized loss position, and it is highly unlikely that the Company will be required to sell the investments before recovery of their amortized cost basis, which may be at maturity.</w:t>
      </w:r>
    </w:p>
    <w:p>
      <w:pPr>
        <w:pStyle w:val="TextBody"/>
        <w:bidi w:val="0"/>
        <w:spacing w:before="240" w:after="283"/>
        <w:jc w:val="left"/>
        <w:rPr>
          <w:rFonts w:ascii="Times New Roman" w:hAnsi="Times New Roman"/>
          <w:sz w:val="20"/>
        </w:rPr>
      </w:pPr>
      <w:r>
        <w:rPr>
          <w:rFonts w:ascii="Times New Roman" w:hAnsi="Times New Roman"/>
          <w:b/>
          <w:color w:val="000000"/>
          <w:sz w:val="20"/>
        </w:rPr>
        <w:t>4.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litigation related to claims that arise in the ordinary course of its business activities. The Company accrues for these matters when it is probable that future expenditures will be made and these expenditures can be reasonably estimated. As of March 31, 2026, the Company does not believe that any such matters, individually or in the aggregate, will have a material adverse effect on the Company’s financial position, results of operations or cash flows.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customary indemnification arrangements in the ordinary course of business with vendors, clinical trial sites and other parties. Pursuant to these arrangements, the Company indemnifies, holds harmless and agrees to reimburse the indemnified parties for certain losses suffered or incurred by the indemnified party.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has not recorded a liability related to such indemnification agreements as of March 31, 2026. As permitted under Delaware law, the Company has entered into indemnification agreements with its directors and officers that requires it to indemnify its directors and officers against liabilities that may arise by reason of their status or service as directors or officers to the fullest extent permitted by law. The Company also has directors’ and officers’ insurance.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Collaboration Agreement with GSK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2021, the Company entered into a Collaboration and License Agreement with Glaxo Wellcome UK Limited, a subsidiary of GlaxoSmithKline plc (GSK), pursuant to which the Company and GSK collaborate on the global development and commercialization of progranulin-elevating monoclonal antibodies, including latozinemab and nivisnebart (formerly AL101/GSK4527226) (GSK Agreement). The GSK Agreement became effective on August 17,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GSK Agreement, the Company received $700 million in upfront payments, of which $500 million was received in August 2021 and $200 million was received in January 2022. In addition, the Company may be eligible to receive up to an additional $1.5 billion in clinical development, regulatory, and commercial launch-related milestone payments, subject to successful advancement and commercialization of product candidates in multiple indications under the agreement. In the United States, the Company and GSK will equally share profits and losses from commercialization of product candidates under the agreement. Outside of the United States, the Company will be eligible for double-digit tiered royalties.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GSK will conduct development jointly, with GSK conducting Phase 3 clinical trials for Alzheimer’s disease, Parkinson’s disease and other non-orphan indications. GSK conducted the Phase 2 trial for nivisnebart in Alzheimer’s disease. Development costs will be shared 60% by GSK and 40% by the Company, except that, subject to the GSK Amendment (defined below), the Company will solely bear the development costs of the initial Phase 2 clinical trials under the development plan, and the parties would share manufacturing development costs equally.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 and GSK amended the GSK Agreement (GSK Amendment). Under the terms of the GSK Amendment, the Company was responsible for funding and sharing in GSK’s and the Company’s development costs up to $140.5 million for the conduct of the initial Phase 2 trial for nivisnebart in Alzheimer’s disease. The GSK Amendment was determined to be a contract modification to the GSK Agreement. The expected cost reimbursement to GSK was accounted for as a refund liability, which reduced the transaction price for the GSK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2023, as a result of the planned closure of the latozinemab Phase 2 trial and concurrent agreement by the Company to cost-share additional research and development,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determined there was a modification of the GSK Agreement, resulting in a decrease of the scope of the performance obligation associated with the latozinemab FTD-</w:t>
      </w:r>
      <w:r>
        <w:rPr>
          <w:rFonts w:ascii="Times New Roman" w:hAnsi="Times New Roman"/>
          <w:i/>
          <w:color w:val="000000"/>
          <w:sz w:val="20"/>
        </w:rPr>
        <w:t>C9orf72</w:t>
      </w:r>
      <w:r>
        <w:rPr>
          <w:rFonts w:ascii="Times New Roman" w:hAnsi="Times New Roman"/>
          <w:color w:val="000000"/>
          <w:sz w:val="20"/>
        </w:rPr>
        <w:t xml:space="preserve"> Phase 2 trial and an increase in the amount of research and development cost-shared by the Company in future periods. The impact of this additional cost share was accounted for as a refund liability, which reduced the transaction price for the GSK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price at inception included fixed consideration consisting of the upfront payments of $700 million. The transaction price as of March 31, 2026 was $568.0 million due to the estimated refund liabilities created from the contract modifications. The remaining estimated refund liabilities to collaboration partner as of March 31, 2026 and December 31, 2025 was zero and $11.4 million, respectively. All potential future milestones and other payments were considered constrained at the inception of the GSK Agreement and as of March 31, 2026, since the Company could not conclude it was probable that a significant reversal in the amount of revenue recognized would not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revenue under the GSK Agreement during the three months ended March 31, 2026 and 2025 was $1.0 million and $3.7 million, respectively, the entire amount of which was included in deferred revenue at the beginning of the respective period. The deferred revenue related to the GSK Agreement was $169.6 million and $171.2 million as of March 31, 2026 and December 31, 2025, respectively. The deferred revenue is expected to be recognized over the research and development period of the programs through the completion of initial Phase 2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co-development activities performed under the agreement are included in research and development expenses in the condensed consolidated statements of operations, with any reimbursement of costs by GSK reflected as a reduction of such expenses. For the three months ended March 31, 2026 and 2025, the Company recognized a reduction of research and development expense of $1.8 million and $4.3 million, respectively, under the GSK Agreement. </w:t>
      </w:r>
    </w:p>
    <w:p>
      <w:pPr>
        <w:pStyle w:val="TextBody"/>
        <w:bidi w:val="0"/>
        <w:spacing w:before="240" w:after="283"/>
        <w:jc w:val="left"/>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as follows (in thousands): </w:t>
      </w:r>
    </w:p>
    <w:p>
      <w:pPr>
        <w:pStyle w:val="TextBody"/>
        <w:bidi w:val="0"/>
        <w:spacing w:before="120" w:after="283"/>
        <w:jc w:val="left"/>
        <w:rPr/>
      </w:pPr>
      <w:r>
        <w:rPr/>
        <w:t> </w:t>
      </w:r>
    </w:p>
    <w:tbl>
      <w:tblPr>
        <w:tblW w:w="5339" w:type="dxa"/>
        <w:jc w:val="left"/>
        <w:tblInd w:w="0" w:type="dxa"/>
        <w:tblLayout w:type="fixed"/>
        <w:tblCellMar>
          <w:top w:w="28" w:type="dxa"/>
          <w:left w:w="28" w:type="dxa"/>
          <w:bottom w:w="28" w:type="dxa"/>
          <w:right w:w="28" w:type="dxa"/>
        </w:tblCellMar>
      </w:tblPr>
      <w:tblGrid>
        <w:gridCol w:w="2946"/>
        <w:gridCol w:w="146"/>
        <w:gridCol w:w="211"/>
        <w:gridCol w:w="571"/>
        <w:gridCol w:w="146"/>
        <w:gridCol w:w="146"/>
        <w:gridCol w:w="211"/>
        <w:gridCol w:w="571"/>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and 2025, the Company's effective tax rate was 0%. The difference between the effective tax rate for the three months ended March 31, 2026 and 2025, and the U.S. federal statutory rate of 21% was primarily due to the Company recording a full valuation allowance to its net deferred tax asset.</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loss per share for the periods presented due to their anti-dilutive effect: </w:t>
      </w:r>
    </w:p>
    <w:p>
      <w:pPr>
        <w:pStyle w:val="TextBody"/>
        <w:bidi w:val="0"/>
        <w:spacing w:before="120" w:after="283"/>
        <w:jc w:val="left"/>
        <w:rPr/>
      </w:pPr>
      <w:r>
        <w:rPr/>
        <w:t> </w:t>
      </w:r>
    </w:p>
    <w:tbl>
      <w:tblPr>
        <w:tblW w:w="7079" w:type="dxa"/>
        <w:jc w:val="left"/>
        <w:tblInd w:w="0" w:type="dxa"/>
        <w:tblLayout w:type="fixed"/>
        <w:tblCellMar>
          <w:top w:w="28" w:type="dxa"/>
          <w:left w:w="28" w:type="dxa"/>
          <w:bottom w:w="28" w:type="dxa"/>
          <w:right w:w="28" w:type="dxa"/>
        </w:tblCellMar>
      </w:tblPr>
      <w:tblGrid>
        <w:gridCol w:w="3886"/>
        <w:gridCol w:w="146"/>
        <w:gridCol w:w="146"/>
        <w:gridCol w:w="1036"/>
        <w:gridCol w:w="146"/>
        <w:gridCol w:w="146"/>
        <w:gridCol w:w="146"/>
        <w:gridCol w:w="1036"/>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subject to future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6,382,728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10,318,693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2019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16,847,737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7, 2025, the Company committed to a plan to reduce its workforce by approximately 13% as part of its cost reduction initiatives in order to align resources with the Company’s strategic priorities, including advancing its preclinical and research pipeline. The Company initiated a reduction in force impacting approximately 25 employees across the organization. For the three months ended March 31, 2025, the Company incurred restructuring costs of approximately $2.3 million, primarily consisting of personnel expenses such as salaries, severance payments, and other benefits. Cash payments related to these expenses were paid out in 2025. </w:t>
      </w:r>
    </w:p>
    <w:p>
      <w:pPr>
        <w:pStyle w:val="TextBody"/>
        <w:bidi w:val="0"/>
        <w:spacing w:before="120" w:after="283"/>
        <w:jc w:val="left"/>
        <w:rPr>
          <w:rFonts w:ascii="Times New Roman" w:hAnsi="Times New Roman"/>
          <w:sz w:val="20"/>
        </w:rPr>
      </w:pPr>
      <w:r>
        <w:rPr>
          <w:rFonts w:ascii="Times New Roman" w:hAnsi="Times New Roman"/>
          <w:color w:val="000000"/>
          <w:sz w:val="20"/>
        </w:rPr>
        <w:t>On October 21, 2025, the Company committed to a plan to reduce its workforce, which impacted approximately 47% of its workforce, in order to align resources with the Company’s strategic priorities, following the results of the Phase 3 INFRONT-3 clinical trial evaluating the safety and efficacy of latozinemab in individuals with frontotemporal dementia due to a progranulin gene mutation (FTD-</w:t>
      </w:r>
      <w:r>
        <w:rPr>
          <w:rFonts w:ascii="Times New Roman" w:hAnsi="Times New Roman"/>
          <w:i/>
          <w:color w:val="000000"/>
          <w:sz w:val="20"/>
        </w:rPr>
        <w:t>GRN</w:t>
      </w:r>
      <w:r>
        <w:rPr>
          <w:rFonts w:ascii="Times New Roman" w:hAnsi="Times New Roman"/>
          <w:color w:val="000000"/>
          <w:sz w:val="20"/>
        </w:rPr>
        <w:t>). Total incremental restructuring charges associated with the reduction in force are approximately $7.0 million, consisting primarily of severance and related termination benefits. Cash payments related to these expenses will be paid out and the reduction in force will be completed during the first half of 2026. For the three months ended March 31, 2026, the Company recorded a reduction of $0.3 million to previously recognized restructuring costs, primarily due to lower-than-expected related termination benefits and this was included in operating expenses. Accrued liabilities associated with restructuring costs as of March 31, 2026 were $0.5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_item2"/>
      <w:bookmarkEnd w:id="10"/>
      <w:r>
        <w:rPr>
          <w:rFonts w:ascii="Times New Roman" w:hAnsi="Times New Roman"/>
          <w:b/>
          <w:color w:val="000000"/>
          <w:sz w:val="20"/>
        </w:rPr>
        <w:t xml:space="preserve">Item 2. Management’s Discussion and Analysis of </w:t>
      </w:r>
      <w:bookmarkStart w:id="11" w:name="item_2_managements_discussion_analysis_f"/>
      <w:bookmarkEnd w:id="11"/>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condensed consolidated financial statements and related notes included elsewhere in this Quarterly Report on Form 10-Q.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biotechnology company developing therapies for neurodegenerative diseases, with a focus on areas of high unmet medical need. Our work is informed by advances in disease biology, including the roles of misfolded or deficient proteins, lysosomal dysfunction, and immune and neuronal pathway disruption.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objective is to develop product candidates that address disease through targeted mechanisms, such as removing pathogenic proteins, replacing deficient proteins, and restoring normal cellular function. We are advancing a portfolio of programs focused on genetically validated targets, supported by our experience in drug development, protein engineering, antibody discovery, and biomarker assessment.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key component of our strategy is the development and application of our Alector Brain Carrier (ABC) platform, a proprietary blood-brain barrier (BBB) delivery technology designed to improve central nervous system exposure across multiple therapeutic modalities. Built on the core design principles of versatility, translatability, and differentiated binding to a distinct region of the transferrin receptor (TfR), ABC is intended to support the targeted delivery of therapeutics to the brain and to optimize their safety and efficacy at lower doses. With a wide range of TfR binding affinities and binding kinetics, and the ability to target a distinct epitope of TfR, the platform can be aligned with the requirements of diverse therapeutic cargos, including antibodies, enzymes, proteins, and siRNA. The platform’s TfR binding domain is further adaptable to diverse engineered formats, enabling broad applicability to our product candidates. By leveraging these proprietary features, we aim to achieve efficient transport of our product candidates across the BBB with the goal of balancing brain uptake, potency, and safety. This next generation pipeline, built on the ABC platform and distinct from our prior clinical programs, positions us to develop therapeutic candidates for a range of neurodegenerative diseases.</w:t>
      </w:r>
    </w:p>
    <w:p>
      <w:pPr>
        <w:pStyle w:val="TextBody"/>
        <w:bidi w:val="0"/>
        <w:spacing w:before="0" w:after="120"/>
        <w:jc w:val="left"/>
        <w:rPr>
          <w:rFonts w:ascii="Times New Roman" w:hAnsi="Times New Roman"/>
          <w:sz w:val="20"/>
        </w:rPr>
      </w:pPr>
      <w:r>
        <w:rPr>
          <w:rFonts w:ascii="Times New Roman" w:hAnsi="Times New Roman"/>
          <w:b/>
          <w:i/>
          <w:color w:val="000000"/>
          <w:sz w:val="20"/>
        </w:rPr>
        <w:t>AL037/AL137 Program</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AL037/AL137 program, which pairs our proprietary anti-amyloid beta (Aβ) antibody with our proprietary ABC platform, is in preclinical development for Alzheimer's disease (AD). It is designed to remove brain Aβ plaques, with the goal of minimizing treatment-related incidence and/or severity of amyloid-related imaging abnormalities (ARIA), and to enable subcutaneous delivery. AL037 and AL137 each feature the same high-affinity, fully human antibody that selectively binds PyroGlu3, a validated epitope on the toxic form of Aβ found in plaques, and a fully active effector function that enables maximal recruitment of myeloid cells to remove plaques. AL037 and AL137 both incorporate Alector’s proprietary ABC, with TfR binding domains that bind the same epitope on TfR but with different affinities and binding kinetics, to balance brain penetration and plaque removal with minimized hematologic adverse effects. In preclinical studies to date, AL037 and AL137 have demonstrated robust brain penetration in non-human primates, and a murine surrogate of AL037/AL137 has demonstrated amyloid beta 42 reduction in murine studies.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Following successful completion of IND-enabling studies, we intend to select AL037 or AL137 for submission of an Investigational New Drug (IND) application, targeted for the first quarter of 2027.</w:t>
      </w:r>
    </w:p>
    <w:p>
      <w:pPr>
        <w:pStyle w:val="TextBody"/>
        <w:bidi w:val="0"/>
        <w:spacing w:before="0" w:after="120"/>
        <w:jc w:val="left"/>
        <w:rPr>
          <w:rFonts w:ascii="Times New Roman" w:hAnsi="Times New Roman"/>
          <w:sz w:val="20"/>
        </w:rPr>
      </w:pPr>
      <w:r>
        <w:rPr>
          <w:rFonts w:ascii="Times New Roman" w:hAnsi="Times New Roman"/>
          <w:b/>
          <w:i/>
          <w:color w:val="000000"/>
          <w:sz w:val="20"/>
        </w:rPr>
        <w:t>AL050 Program</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AL050 is a glucocerebrosidase (GCase) enzyme replacement therapy paired with our proprietary ABC technology in preclinical development for Parkinson’s disease and Lewy body dementia in patients having GBA1 gene mutations that lead to reduced GCase activity. AL050 features an engineered GCase with improved activity and stability, a silenced effector function to maximize safety, and Alector’s ABC with a TfR epitope and affinity designed to enhance delivery across the BBB. This mechanism aims to reduce cellular dysfunction and slow disease progression. In preclinical studies to date, AL050 doubled GCase activity in different brain regions in non-human primates without observed adverse effects, including hematologic effects. In a GBA disease mouse model, AL050 surrogate rescued GCase activity and reduced toxic substrate accumulation without abnormal hematologic findings. These data support the potential of AL050 as a therapy for Parkinson’s disease (PD) and Lewy body dementia (LBD) associated with GBA loss of function mutations, and subsequently for idiopathic PD and LBD.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selected AL050 as a lead candidate, and we continue to evaluate our timeline to the clinic.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ABC-Enabled siRNA Platform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continue to advance our ABC-enabled siRNA platform. The platform is designed for peripheral dosing, offering the potential for more convenient administration compared with traditional intrathecal delivery, as well as the potential for homogeneous drug distribution throughout the brain. Current programs include AL064/AL164, our tau siRNA program for AD and other tauopathies. AL064/AL164 aims to prevent the synthesis of tau mRNA and protein, with the goal of removing toxic tau, suppressing tau protein expression, and slowing cognitive decline in AD. AL064 demonstrated robust tau mRNA knockdown and durable reduction of phospho-Tau 217 in NHP brains. AL064 was modified to incorporate a well-validated chemical modification intended to further optimize siRNA stability, and this modified form of AL064 is advancing into IND-enabling studies as AL164. In addition to AL164, we are advancing early-stage siRNA programs toward lead candidate selection, including ADP062-ABC, an alpha-synuclein siRNA for PD, and ADP065-ABC, an NLRP3 siRNA for multiple neurodegenerative conditions. Together, those programs reflect the broad applicability of the ABC platform across disease mechanisms. We continue to evolve our research and development plans and timing for each of our ABC-enabled siRNA programs.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Nivisnebart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2026, GSK discontinued the global Phase 2 PROGRESS-AD trial of nivisnebart (AL101/GSK4527226), an investigational progranulin-elevating monoclonal antibody, in individuals with early Alzheimer's disease (AD) after a pre-specified interim futility analysis conducted by an Independent Data Monitoring Committee (IDMC), which concluded that the trial was unlikely to meet its primary endpoint of slowing disease progression at completion.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been financed primarily through our collaboration with GSK, our previous collaboration with AbbVie, entered into in October 2017 and terminated in February 2025, the issuance and sale of convertible preferred stock and of common stock upon the completion of our initial public offering (IPO), and follow-on equity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had any products approved for sale and have not generated any product or royalty revenue from product sales. Further, we do not expect to generate revenue from product sales until such time, if ever, that we are able to successfully complete the development and obtain marketing approval for one of our product candidates. We will continue to require additional capital to develop our product candidates, advance our research and preclinical programs, and fund operations for the foreseeable future. We have incurred net losses in each year since inception, and we expect to continue to incur net losses for the foreseeable future. Our ability to generate product revenue will depend on the successful development and eventual commercialization of one or more of our product candidates. Our net losses were $22.9 million and $40.5 million for the three months ended March 31, 2026 and 2025, respectively. As of March 31, 2026, we had an accumulated deficit of $995.0 million. Substantially all of our net losses have resulted from costs incurred in connection with our research and development programs and from general and administrative costs associated with our operations. We expect our expenses will increase substantially in connection with our ongoing activities,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product candidates through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regulatory approval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discover, validate, and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drug supply for our research,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and protect our intellectual property portfolio. </w:t>
      </w:r>
    </w:p>
    <w:p>
      <w:pPr>
        <w:pStyle w:val="TextBody"/>
        <w:bidi w:val="0"/>
        <w:spacing w:before="120" w:after="283"/>
        <w:jc w:val="left"/>
        <w:rPr>
          <w:rFonts w:ascii="Times New Roman" w:hAnsi="Times New Roman"/>
          <w:sz w:val="20"/>
        </w:rPr>
      </w:pPr>
      <w:r>
        <w:rPr>
          <w:rFonts w:ascii="Times New Roman" w:hAnsi="Times New Roman"/>
          <w:color w:val="000000"/>
          <w:sz w:val="20"/>
        </w:rPr>
        <w:t>On March 7, 2025, we committed to a plan to reduce our workforce by approximately 13% to better align our resources with our strategic priorities, including the advancement of our preclinical and research pipeline. We initiated that reduction in force impacting approximately 25 employees across the organization. On October 21, 2025, we committed to a plan to reduce our workforce by approximately 47% in order to align resources with the Company’s strategic priorities following the results of the Phase 3 INFRONT-3 clinical trial evaluating the safety and efficacy of latozinemab (AL001) in individuals with frontotemporal dementia due to a GRN mutation (FTD-</w:t>
      </w:r>
      <w:r>
        <w:rPr>
          <w:rFonts w:ascii="Times New Roman" w:hAnsi="Times New Roman"/>
          <w:i/>
          <w:color w:val="000000"/>
          <w:sz w:val="20"/>
        </w:rPr>
        <w:t>GRN</w:t>
      </w:r>
      <w:r>
        <w:rPr>
          <w:rFonts w:ascii="Times New Roman" w:hAnsi="Times New Roman"/>
          <w:color w:val="000000"/>
          <w:sz w:val="20"/>
        </w:rPr>
        <w:t xml:space="preserve">). Our cash, cash equivalents, and marketable securities as of March 31, 2026, totaled $206.5 million, which we anticipate provides runway at least through 2027.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generated any product or royalty revenue from product sales and do not expect to do so in the near future. Our revenue to date has been primarily related to the AbbVie Agreement and GSK Agreement for the license and co-development of product candidates with those parties. We recognized revenue from the upfront payments and the milestone payment received from AbbVie over time as services were provided. We recognize revenue from the upfront payments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GSK at a point in time for a development license and over time for research and development services. Revenues for research and development services are recognized as the program costs are incurred by measuring actual costs incurred to date compared to the overall total expected costs to satisfy the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GSK Agreement, we received $700 million in upfront payments, of which $500 million was received in August 2021 and $200 million was received in January 2022. In addition, we may be eligible to receive up to an additional $1.5 billion in clinical development, regulatory, and commercial launch-related milestone payments, subject to successful advancement and commercialization of product candidates in multiple indications under the agreement. Alector and GSK are conducting development jointly. In May 2023, we and GSK amended the GSK Agreement. Under the terms of the GSK Amendment, we are responsible for funding GSK’s and our development costs up to $140.5 million for the conduct of the Phase 2 clinical trial of nivisnebart in 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Alector and GSK will equally share profits and losses from commercialization of product candidates under the agreement. We may opt out of the sharing of development costs and of profit and losses from commercialization in the United States on a product-by-product basis. In such case, we will no longer conduct development or commercialization of that product, and we will receive royalties on net sales of the product in the United States instead of a share of profits. Outside of the United States, GSK will be responsible for commercialization of latozinemab and nivisnebart for all indications, and we will be eligible for double-digit tiered royalties.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revenue will be derived primarily from the GSK Agreement. The balance of deferred revenue was $169.6 million as of March 31, 2026, related to the GSK Agreement. The deferred revenue is expected to be recognized over the research and development period of the programs through the completion of the initial Phase 2 clinical trials for specified indications for latozinemab and nivisnebart.</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account for a significant portion of our operating expenses. We record research and development expenses as incurred. Research and development expenses consist primarily of costs incurred for the discovery and development of our product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third-party contract organizations, preclinical testing organizations, and consultants;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production of research, preclinical, and clinical materials, including fees paid to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and vendor expenses related to the execution of research,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expenses, including salaries, benefits, and stock-based compensation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the preparation of regulatory submissions;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license fees;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and amortization expenses, and other supplies.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capitalized. The capitalized amounts are then expensed as the related goods are delivered and as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program expenses include expenses associated with the development of our product candidate, nivisnebart, which was being studied in the PROGRESS-AD Phase 2 clinical trial. That trial has been discontinued following a pre-specified interim futility analysis, in which an independent data monitoring committee concluded that the trial was unlikely to meet its primary endpoint of slowing disease progression at completion. We also have expenses related to the research and development of future product candidates and separately tracked expenses related to programs that we expect to move out of preclinical studies and into Phase 1 clinical trials. These expenses primarily relate to salaries and benefits, stock-based compensation, facility expenses, including depreciation, and lab consumables.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share costs with our collaboration partners, such as in our GSK Agreement, research and development expenses may include reimbursements from, or payments to, our partner.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any of our product candidates. We expect our research and development expenses relating to latozinemab and AL002 to decrease in the foreseeable future as a result of the discontinuation and wind-down of clinical trials for latozinemab and AL002. However, we continue to invest in research and development activities related to programs in our research and preclinical pipeline and to the advancement of those programs into clinical trials.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stock-based compensation, for our personnel in executive, legal, finance and accounting, information technology, human resources, and other administrative functions. General and administrative expenses also include legal fees relating to intellectual property and corporate matters, professional fees paid for accounting, auditing, consulting, and tax services, insurance costs, and facility costs not otherwise included in research and development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primarily of interest earned on our cash equivalents and marketable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consists of federal and state income tax provisions.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120" w:after="283"/>
        <w:jc w:val="left"/>
        <w:rPr/>
      </w:pPr>
      <w:r>
        <w:rPr/>
        <w:t> </w:t>
      </w:r>
    </w:p>
    <w:tbl>
      <w:tblPr>
        <w:tblW w:w="6783"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736"/>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was $1.0 million for the three months ended March 31, 2026, compared to $3.6 million for the three months ended March 31, 2025. The $2.6 million decrease was primarily attributable to lower manufacturing-related activity to support the Nivisnebart Phase 2 study in early Alzheimer’s disease during the current period. Revenues are recognized as the program costs are incurred by measuring actual costs incurred to date compared to the overall total expected costs to satisfy each performance obligation.</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$17.8 million for the three months ended March 31, 2026, compared to $33.6 million for the three months ended March 31, 2025. The decrease of $15.8 million was mainly due to a decrease in personnel-related costs as a result of the reductions in force as well as a decrease in research and development expenses for the AL002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98" w:type="dxa"/>
        <w:jc w:val="left"/>
        <w:tblInd w:w="0" w:type="dxa"/>
        <w:tblLayout w:type="fixed"/>
        <w:tblCellMar>
          <w:top w:w="28" w:type="dxa"/>
          <w:left w:w="28" w:type="dxa"/>
          <w:bottom w:w="28" w:type="dxa"/>
          <w:right w:w="28" w:type="dxa"/>
        </w:tblCellMar>
      </w:tblPr>
      <w:tblGrid>
        <w:gridCol w:w="3936"/>
        <w:gridCol w:w="146"/>
        <w:gridCol w:w="211"/>
        <w:gridCol w:w="676"/>
        <w:gridCol w:w="146"/>
        <w:gridCol w:w="146"/>
        <w:gridCol w:w="211"/>
        <w:gridCol w:w="676"/>
        <w:gridCol w:w="146"/>
        <w:gridCol w:w="146"/>
        <w:gridCol w:w="211"/>
        <w:gridCol w:w="736"/>
        <w:gridCol w:w="41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Latozinemab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Nivisnebart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AL037/AL137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unallocated research and</w:t>
              <w:br/>
              <w:t>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$8.1 million for the three months ended March 31, 2026 and $14.7 million for the three months ended March 31, 2025. The decrease of $6.6 million was mainly driven by a decrease in personnel-related costs as a result of the reductions in force.</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was $2.0 million for the three months ended March 31, 2026, compared to $4.2 million for the three months ended March 31, 2025. The decrease of $2.2 million was mainly due to lower interest income from a reduction in marketable securities used to fund our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income tax expense for the three months ended March 31, 2026 and the three months ended March 31, 2025.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through March 31, 2026, our operations have been financed primarily by our collaborations with GSK, and previously, AbbVie, the issuance and sale of convertible preferred stock and of common stock upon the completion of our IPO and follow-on equity, and debt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$206.5 million of cash, cash equivalents, and marketable securities. As of March 31, 2026, we had an accumulated deficit of $995.0 million.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uses of cash are to fund our operations, which consist primarily of research and development expenditures related to our programs, and to a lesser extent, general and administrative expenditures. We expect our expenses relating to latozinemab and AL002 to decrease in the foreseeable future as a result of the discontinuation and wind-down of clinical trials for latozinemab and AL002. However, we continue to invest in research and development activities related to programs in our research and preclinical pipeline and the advancement of those programs into clinical trials. In addition, we expect to incur costs associated with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marketable securities will enable us to fund our operations and capital expenditure requirements at least through 2027. We reduced our workforce to better align our resources with our current strategic priorities and maintain our expectations with respect to our ability to fund our operations. We have based this estimate on assumptions that may prove to be wrong, and we could utilize our available capital resources sooner than we currently expect. We may also choose to seek additional financing opportunistically. We may seek to raise capital through public equity or debt financings, license agreements, collaboration agreements or other arrangements with other companies, asset sales, or through other sources of financing. We have an omnibus shelf registration statement on Form S-3 with the SEC, which became effective on April 30, 2026, which permits us to issue up to $400 million in common stock, other equity securities and/or debt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7, 2023, we entered into an at-the-market sales agreement with TD Securities (USA) LLC (TD Securities, formerly known as Cowen and Company, LLC) pursuant to which we may offer and sell from time to time through TD Securities up to $125,000,000 of shares of our common stock (the Placement Shares), in such share amounts as we may specify by notice to TD Securities (the Sales Agreement). As of March 31, 2026, we have issued 7,110,162 shares and received approximately $20 million in net proceeds from the sale of securities pursuant to the Sales Agreement. The Sales Agreement includes a renewal provision pursuant to which we may file a new shelf registration statement relating to the Placement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2024, we entered into an underwriting agreement with Cantor Fitzgerald &amp; Co. (Cantor), pursuant to which we offered and sold 10,869,566 shares of the Company’s common stock at a price per share of $6.57 paid by Cantor. Additionally, on November 14, 2024, we entered into a loan agreement with our subsidiary, Alector LLC, as a co-borrower, the Lenders, and Hercules Capital, Inc., in its capacity as administrative agent and collateral agent for itself and the Lenders (the Loan Agreement), pursuant to which we may access up to two tranches of Term Loans in an aggregate principal amount of up to $50,000,000. The initial tranche of Term Loans provides for an aggregate principal amount of up to $25,000,000 through June 30, 2026, subject to the satisfaction of certain conditions. The second tranche of Term Loans provides for up to $25,000,000 and is available at the sole discretion of the Lenders. We borrowed $10,000,000 principal amount of the initial tranche of Term Loans on the closing date of the Loan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to obtain substantial additional funding in the future for our research and development activities and continuing operations. If we are unable to raise capital when needed or on favorable terms, we would be forced to delay, reduce, or eliminate our research and development programs or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including, without limitation, our collaboration efforts with GSK;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agreements with third-party manufacturers for clinical supply for our clinical trials and, if our product candidates are approved,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our current research and development programs and our ability to establish new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 or retention of key research and development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maintain or enhance operational, financial, and information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workforce reductions;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other payments we may receive under our collaboration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eventual commercialization plans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macroeconomic conditions, including inflationary pressures and economic impacts of tariffs, global trade disruptions, and international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defending, and enforcing patent claims and other intellectual property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(in thousands): </w:t>
      </w:r>
    </w:p>
    <w:p>
      <w:pPr>
        <w:pStyle w:val="TextBody"/>
        <w:bidi w:val="0"/>
        <w:spacing w:before="120" w:after="283"/>
        <w:jc w:val="left"/>
        <w:rPr/>
      </w:pPr>
      <w:r>
        <w:rPr/>
        <w:t> </w:t>
      </w:r>
    </w:p>
    <w:tbl>
      <w:tblPr>
        <w:tblW w:w="5744" w:type="dxa"/>
        <w:jc w:val="left"/>
        <w:tblInd w:w="0" w:type="dxa"/>
        <w:tblLayout w:type="fixed"/>
        <w:tblCellMar>
          <w:top w:w="28" w:type="dxa"/>
          <w:left w:w="28" w:type="dxa"/>
          <w:bottom w:w="28" w:type="dxa"/>
          <w:right w:w="28" w:type="dxa"/>
        </w:tblCellMar>
      </w:tblPr>
      <w:tblGrid>
        <w:gridCol w:w="3181"/>
        <w:gridCol w:w="146"/>
        <w:gridCol w:w="211"/>
        <w:gridCol w:w="736"/>
        <w:gridCol w:w="166"/>
        <w:gridCol w:w="146"/>
        <w:gridCol w:w="211"/>
        <w:gridCol w:w="736"/>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cash used in operating activities was $49.8 million. This was mainly due to the net loss of $22.9 million. We also had a decrease in refund liability to collaboration partner of $12.0 million, a decrease in accrued liabilities and accrued clinical supply costs of $11.0 million. This was offset by a non-cash charge of $2.9 million for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cash used in operating activities was $60.8 million. This was mainly due to the net loss of $40.5 million. We also had a decrease in refund liability to collaboration partner of $13.3 million, a decrease in accrued liabilities and accrued clinical supply costs of $12.7 million. This was offset by a non-cash charge of $8.4 million for stock-based compensation.</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2026, cash provided by investing activities of $60.9 million was primarily related to the maturities of marketable securities of $112.9 million offset by purchases of marketable securities of $51.8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cash provided by investing activities of $65.7 million was primarily related to the maturities of marketable securities of $121.5 million offset by purchases of marketable securities of $55.8 million.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cash provided by financing activities of less than $0.1 million was from the exercise of options to purchase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there was no cash provided by (or used in) financing activities.</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consolidated financial statements, which have been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than the disclosures below, there have been no material changes to our critical accounting policies and estimates from those described in “Management’s Discussion and Analysis of Financial Condition and Results of Operations” included in our Annual Report on Form 10-K, as filed with the SEC on February 25, 2026.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and Exchange Act of 1934 and in Item 10(f)(1) of Regulation S-K, and are not required to provide the information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3" w:name="item_4_controls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Conclusions Regarding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management, with the participation of our Principal Executive Officer, Principal Financial Officer, and Principal Accounting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Principal Financial Officer, and Principal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Principal Financial Officer, and Principal Accounting Officer concluded that, as of March 31, 2026, the design and operation of our disclosure controls and procedures were effective at a reasonable assurance level.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or other legal proceedings can have an adverse impact on us because of legal fees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preclinical drug development and have a limited operating history and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year since our inception and anticipate that we will continue to incur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is a highly uncertain undertaking and involves a substantial degree of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obtain substantial additional financing to complete the development and any commercialization of our product candidates, and a failure to obtain this necessary capital when needed on acceptable terms, or at all, could force us to delay, limit, reduce, or terminate our commercialization efforts, product development,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of biopharmaceutical products is inherently risky. Our business is heavily dependent on the successful development of our product candidates, which are in various stages of preclinical development. We cannot give any assurance that any of our product candidates will receive regulatory, including marketing, approval, which is necessary before they may be commercialized.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continue to create a pipeline of product candidates from our research and drug discovery platform or to develop commercially successful products. If we fail to successfully identify and develop additional product candidates from our research and drug discovery platform, our commercial opportunity may be limited.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obtain approval for additional or expanded indications for any product candidates that receive approval for a given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concentrated our research and development efforts on the treatment of neurodegenerative diseases, a field that has seen both limited success in drug development and evolving standards for regulatory approval. Further, our product candidates are based on innovative approaches and technologies, making it difficult to predict the time and cost of product candidate development and subsequent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substantial delays in our clinical trials or may not be able to conduct or complete our clinical trials on the timelines we expect,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reveal significant adverse events, toxicities, or other side effects and may fail to demonstrate substantial evidence of the safety and efficacy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developing product candidates that effectively compete with therapeutics that are developed or commercialized by our competitors, including therapeutics that affect the same biological targets or pathways.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reductions in the FDA’s or other government agencies’ management and personnel, or changes in such agencies’ funding, could impact their ability to hire and retain key leadership and other personnel, impact the timing for development or commercialization of new products and services, or otherwise impact those agencies’ performance of historically typical functions upon which the operation of our business may rely, which could negatively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depend on collaborations with third parties for the research, development, and commercialization of certain product candidates we may develop. If any such collaborations are not successful, we may not be able to realize the market potential of those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carry out our obligations under our collaborations for our product development and research programs; for instance, without limitation, we may not complete in a timely manner or at all our contractual obligations to GSK.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financial results, and the market price of our common stock could be adversely impacted by the effects of worldwide economic conditions, including macroeconomic downturns, global recessions, increased inflation, supply chain disruptions, trade tariffs or other disruptions in global trade, pandemics or other public health outbreaks, and geopolitical events and conflicts.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existing or future indebtedness and any associated debt covenants may impact our business and growth prospects.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capital may cause dilution to our existing stockholders, restrict our operations, or require us to relinquish rights to our technologies or product candidates.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in preclinical drug development and have a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biotechnology company with preclinical stage programs, focused on developing therapeutics for neurodegenerative diseases, including Alzheimer’s disease and Parkinson’s disease. We commenced operations in May 2013. To date, we have financed our operations primarily through equity and debt financings and upfront payments received in connection with the GSK Agreement and previously, our October 2017 collaboration agreement with AbbVie Biotechnology, Ltd. (AbbVie Agreement). We currently have no active clinical trials. We have no products approved for commercial sale and have not generated any revenue from product sales. Drug development is a highly uncertain undertaking and involves a substantial degree of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GSK discontinued the global Phase 2 PROGRESS-AD trial of nivisnebart (AL101/GSK4527226) in individuals with early AD after a pre-specified interim futility analysis conducted by an IDMC, which concluded that the trial was unlikely to meet its primary endpoint of slowing disease progression at completion.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we decided to stop the open label extension portion of the INFRONT-3 trial and the continuation study of our product candidate latozinemab based on the results of the INFRONT-3 Phase 3 clinical trial evaluating the safety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and efficacy of latozinemab in slowing disease progression in individuals with frontotemporal dementia due to a progranulin gene mutation (FTD-</w:t>
      </w:r>
      <w:r>
        <w:rPr>
          <w:rFonts w:ascii="Times New Roman" w:hAnsi="Times New Roman"/>
          <w:i/>
          <w:color w:val="000000"/>
          <w:sz w:val="20"/>
        </w:rPr>
        <w:t>GRN)</w:t>
      </w:r>
      <w:r>
        <w:rPr>
          <w:rFonts w:ascii="Times New Roman" w:hAnsi="Times New Roman"/>
          <w:color w:val="000000"/>
          <w:sz w:val="20"/>
        </w:rPr>
        <w:t>. Latozinemab failed to meet the clinical co-primary endpoints in that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our AL002 program was terminated, based on the results of the INVOKE-2 Phase 2 clinical trial evaluating the safety and efficacy of AL002 in slowing disease progression in individuals with early AD, in which AL002 failed to meet the primary endpoint. In 2022, we and AbbVie concluded that further development of our product candidate AL003 was not warranted. We previously decided to close the Phase 1 clinical trial for our AL044 product candidate based on initial pharmacokinetics and tolerability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a positive readout from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encounter risks and difficulties frequently experienced by biotechnology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net losses in each year since our inception and anticipate that we will continue to incur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almost every reporting period since our inception. We incurred net losses of $22.9 million and $40.5 million for the three months ended March 31, 2026 and 2025, respectively. As of March 31, 2026, we had an accumulated deficit of $995.0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preclinical and clinical product candidates. We do not expect to generate revenue from product sales for several years, if at all. The revenue we have generated from our collaboration arrangements with GSK, and previously, AbbVie, has been, and from our collaboration arrangement with GSK, is expected to continue to be, variable and limited in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our product candidates is expensive, and we expect to continue to spend substantial amounts as we fund our early-stage research projects and continue to advance our programs through preclinical and clinical development. Even if we are successful in developing our product candidates and obtaining regulatory approvals, launching and commercializing any product candidate will require substantial additional funding as we continue to advance other candidates in our pipeline.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and increasingly higher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drug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our research and development pipeline, including our target, indication, patient, and biomarker selections;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develop and apply our ABC technology to potentially enhance our current and future product candidates’ penetration of the blood-brain barrier;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product candidates and future commercial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CDMOs to develop and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contract manufacturers or suppliers for our product candidates and future commercial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take steps to seek protection of our intellectual property and defend our intellectual property against challenges from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enforce our intellectual property portfolio, including intellectual property obtained through license and collaboration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additional internal infrastructure to support our continued research and development operations and any planned commercialization efforts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 additional internal systems and infrastructure related to cybersecurity and artificial intelligence;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required payments under the Loan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withstand high rates or sustained periods of inflation;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any product liability claims or other lawsuits related to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research and preclinical and clinical development of our product candidates, or meeting anticipated timelines for progressing our product candidates through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approvals and marketing authorizations for product candidates for which we successfully complete clinical development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 sustainable and scalable manufacturing process for our product candidates and future commercial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relationships with third parties that can provide adequate products and services to support clinical activities and commercial demand of our product candidates and future commercial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whether alone or in collaboration with a partner, including the establishment of any necessary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any future commercial products,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and future commercial products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and future commercial products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milestones and other payments under our current and any future collaboration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impacts on our clinical trials resulting from factors related to the effects of U.S. and worldwide economic conditions, including macroeconomic downturns or global recessions stemming from the economic impacts of increased inflation, supply chain disruption, trade tariffs, pandemics or other public health outbreaks, and geopolitical events and conflicts;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in the face of reductions in force, layoffs, hiring freezes, employee attrition, policy changes for foreign worker visas, or a competitive compensation environment.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To date, clinical development of five of our product candidates has been terminated. In April 2026, GSK discontinued the global Phase 2 PROGRESS-AD trial of nivisnebart (AL101/GSK4527226) in individuals with early Alzheimer’s disease (AD) after a pre-specified interim futility analysis conducted by an IDMC, which concluded that the trial was unlikely to meet its primary endpoint of slowing disease progression at completion. In October 2025, we decided to stop the open label extension portion of INFRONT-3 and the continuation study of our product candidate latozinemab based on the results of the INFRONT-3 Phase 3 clinical trial evaluating the safety and efficacy of latozinemab in slowing disease progression in individuals with FTD-</w:t>
      </w:r>
      <w:r>
        <w:rPr>
          <w:rFonts w:ascii="Times New Roman" w:hAnsi="Times New Roman"/>
          <w:i/>
          <w:color w:val="000000"/>
          <w:sz w:val="20"/>
        </w:rPr>
        <w:t>GRN</w:t>
      </w:r>
      <w:r>
        <w:rPr>
          <w:rFonts w:ascii="Times New Roman" w:hAnsi="Times New Roman"/>
          <w:color w:val="000000"/>
          <w:sz w:val="20"/>
        </w:rPr>
        <w:t xml:space="preserve">. Latozinemab failed to meet the clinical co-primary endpoint in that trial. In November 2024, our AL002 program was terminated, based on the results of the INVOKE-2 Phase 2 clinical trial evaluating the safety and efficacy of AL002 in slowing disease progression in individuals with early AD, in which AL002 failed to meet the primary endpoint. In 2022, we and AbbVie concluded that further development of our product candidate AL003 was not warranted. Additionally, we decided to close the Phase 1 clinical trial for our AL044 product candidate based on initial pharmacokinetics and tolerability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current or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obtain substantial additional financing to complete the development and any commercialization of our product candidates, and a failure to obtain this necessary capital when needed on acceptable terms, or at all, could force us to delay, limit, reduce, or terminate our commercialization efforts, product development,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required substantial amounts of cash since inception. We expect our expenses relating to latozinemab and AL002 to decrease in the foreseeable future as a result of the discontinuation and wind-down of clinical trials for latozinemab and AL002. However, we continue to invest in research and development activities related to programs in our research and preclinical pipeline and to the advancement of those programs into clinical trials. To date, we have financed our operations primarily through the sale of equity securities and upfront payments received in connection with our collaboration arrangements with GSK, and previously, AbbVie. Developing our product candidates and conducting clinical trials for the treatment of neurodegenerative diseases, including Alzheimer’s disease and Parkinson’s disease, will require substantial amounts of capital. Even if our clinical trials are successful, preparing for and applying for regulatory approval of our product candidates will require a significant amount of capital, and if we do not have sufficient capital, we may be unable to seek regulatory approval, or regulatory approval may be significantly delayed, in any or all desired markets. Likewise, even if our product candidates are approved, commercialization of our product candidates will require a significant amount of capital, and if we do not have sufficient capital, we may be unable to commercialize our approved products, or commercialization of such products may be significantly delayed, in any or all desired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cash, cash equivalents, and marketable securities of $206.5 million, which we anticipate provides runway at least through 2027. Our estimate as to how long we expect our existing cash, cash equivalents, and marketable securities to be available to fund our operations is based on assumptions that may prove to be inaccurate, and we could use our available capital resources sooner than we currently expect. In addition, changing circumstances, including periods of rising inflation, may cause us to increase our spending significantly faster than we currently anticipate, and we may need to spend more money than currently expected because of circumstances beyond our control. We may need to raise additional funds sooner than we anticipate if we choose to grow more than we presently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markets recently have experienced volatility and instability in connection with macroeconomic downturns stemming from tariffs and global trade uncertainties, increased inflation, supply chain disruption, and geopolitical events, including the ongoing wars in the Middle East and the ongoing conflict between Russia and Ukraine, among other matters. In addition, the public market for and stock prices of biotechnology companies have experienced significant downturns over the last few years. Our ability to raise money in the public markets may be severely impacted for the foreseeable future due to these factors. Additional capital may not be available when we need it, on terms acceptable to us, or at all.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results of operations, and growth prospects and cause the price of our common stock to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the ownership interest of our stockholders will be diluted, and the terms of these securities may include liquidation or other preferences that adversely affect the rights of a common stockholder. If we raise additional funds through collaborations, strategic alliances,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licensing or other transactions, we may have to relinquish valuable rights to our technologies, future revenue streams, research programs, or product candidates, or grant licenses on terms that may not be favorable to us. Debt financing, if available, may be on unfavorable terms, including unfavorable interest rates, and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develop our research and preclinical pipeline, including our ABC technology platform and ABC-enabled product candidates. Together, the development of these programs and product candidates and this platform requires significant capital investment. Due to the significant resources required, we must focus our programs and product candidates on specific diseases and disease pathways and decide which product candidates to pursue and advance and the amount of resources to allocate to each. One aspect of our drug development strategy is to clinically test and seek regulatory approval for our product candidates in indications in which we believe there is a high probability of generating proof-of-concept data. For certain product candidates, we may choose to expand clinical testing and seek regulatory approvals in other neurodegenerative indications based on genetic and mechanistic overlap with the primary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even if our product candidates are able to gain regulatory approval in one indication, there is no guarantee that we will be able to obtain approval in other indications, and we may expend significant resources in seeking such approvals. Our decisions concerning the allocation of research, development, collaboration, management, and financial resources toward particular technologies, product candidates or therapeutic areas may not lead to the development of any viable commercial product and may divert resources away from better opportunities.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neurodegenerative diseases, such events could have a material adverse effect on our business, financial condition, and results of operations. As a result, we may fail to capitalize on viable commercial products or profitable market opportunities, be required to forego or delay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Our reliance on genetics and use of biomarkers to align patient risk profiles with targeted intervention may eventually require us to develop and use companion diagnostics, which could impact product development costs and timelines depending on the specific diagnostic test and any applicable regulatory requirements that would need to be met to enable its use.</w:t>
      </w:r>
    </w:p>
    <w:p>
      <w:pPr>
        <w:pStyle w:val="TextBody"/>
        <w:bidi w:val="0"/>
        <w:spacing w:before="240" w:after="283"/>
        <w:jc w:val="left"/>
        <w:rPr>
          <w:rFonts w:ascii="Times New Roman" w:hAnsi="Times New Roman"/>
          <w:sz w:val="20"/>
        </w:rPr>
      </w:pPr>
      <w:r>
        <w:rPr>
          <w:rFonts w:ascii="Times New Roman" w:hAnsi="Times New Roman"/>
          <w:b/>
          <w:i/>
          <w:color w:val="000000"/>
          <w:sz w:val="20"/>
        </w:rPr>
        <w:t>Our Loan Agreement requires us to comply with specified operating covenants and places restrictions on our operational and financial flexibility.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14, 2024, we entered into a loan and security agreement (the Loan Agreement) with our subsidiary, Alector LLC, as a co-borrower, the lenders from time to time party thereto (the Lenders), and Hercules Capital, Inc. (Hercules), in its capacity as administrative agent and collateral agent for itself and the Lenders, pursuant to which we may access up to two tranches of term loans in an aggregate principal amount of up to $50,000,000 (the Term Loans). The Loan Agreement provides for an initial $25.0 million tranche of Term Loans available through June 30, 2026, $10.0 million of which we borrowed at closing. Our ability to borrow an additional tranche of $25.0 million is subject to the terms and conditions of the Loan Agreement and at the sole discretion of the Lenders. As security for our obligations under the Loan Agreement, we granted the collateral agent a first priority security interest on substantially all of our assets,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contains customary representations and warranties, events of default and affirmative and negative covenants, including covenants that limit or restrict our ability to, among other things, dispose of assets, enter into certain licensing arrangements, effect certain mergers, incur debt, grant liens, pay dividends or other distributions on our capital stock, make investments and acquisitions,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 Agreement, including a breach of any covenant, could limit our ability to draw upon available tranches or result in an event of default and an acceleration of any outstanding loans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the Lenders could seek to enforce security interests in the collateral securing such indebtedness. Even if we are able to repay such accelerated debt amount under the Loan Agreement, the repayment of these sums may reduce our working capital and impair our ability to operate as planned. As such, any declaration by the Lenders of an event of default could significantly harm our business and prospects and could cause the price of our common stock to decline. Further, if we are liquidated, the Lenders’ rights to repayment under the Loan Agreement would be senior to the rights of the holders of our common stock to receive any proceeds from the liquidation.</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of biopharmaceutical products is inherently risky. Our business is heavily dependent on the successful development of our product candidates, which are in various stages of preclinical development.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invested substantially in our efforts and financial resources to identify, procure intellectual property for, and develop our programs, product candidates, and ABC technology platform, and provide general and administrative support for these operations.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preclinical studies or clinical trials of our product candidates may not be successfully completed or may not establish sufficient efficacy or safety to merit further clinical development 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upon further study be shown to have harmful side effects or other characteristics that indicate it is unlikely to have an acceptable safety profile or be sufficiently effective or otherwise does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and commercialize therapeutics that achieve greater market acceptance than our product candidates, including therapeutics that affect the same biological targets or pathways as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that we develop may not be sufficiently covered by intellectual property for which we hold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that we develop may be covered by third parties’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sufficient quantities for development or commercialization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these events occur, we may be forced to abandon our development efforts for a program or programs, which would have a material adverse effect on our business and could potentially cause us to cease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our efforts to further develop our current product candidates. For example, clinical trials of our product candidates may not demonstrate their safety or efficacy, e.g., the trials may not meet their primary endpoints or otherwise demonstrate evidence of clinical benefit, or interim analyses of our clinical trials may result in a decision to terminate such trials due to failure of our product candidates to meet certain criteria. We are not permitted to market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promote any of our product candidates before we receive regulatory approval from the FDA or comparable foreign regulatory authorities, and we may never receive such regulatory approval for any of our product candidates. We have product candidates in development, and all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pStyle w:val="TextBody"/>
        <w:bidi w:val="0"/>
        <w:spacing w:before="120" w:after="283"/>
        <w:jc w:val="left"/>
        <w:rPr>
          <w:rFonts w:ascii="Times New Roman" w:hAnsi="Times New Roman"/>
          <w:sz w:val="20"/>
        </w:rPr>
      </w:pPr>
      <w:r>
        <w:rPr>
          <w:rFonts w:ascii="Times New Roman" w:hAnsi="Times New Roman"/>
          <w:color w:val="000000"/>
          <w:sz w:val="20"/>
        </w:rPr>
        <w:t>We cannot be certain that any of our product candidates will be successful in any future clinical trials. Our future clinical trials of our product candidates may not demonstrate their safety or efficacy, either in the indications currently being tested or in any other indications, or either as single agent therapies or in combination with other therapeutics. For example, we were developing our product candidate latozinemab with GSK to treat patients with FTD-</w:t>
      </w:r>
      <w:r>
        <w:rPr>
          <w:rFonts w:ascii="Times New Roman" w:hAnsi="Times New Roman"/>
          <w:i/>
          <w:color w:val="000000"/>
          <w:sz w:val="20"/>
        </w:rPr>
        <w:t>GRN</w:t>
      </w:r>
      <w:r>
        <w:rPr>
          <w:rFonts w:ascii="Times New Roman" w:hAnsi="Times New Roman"/>
          <w:color w:val="000000"/>
          <w:sz w:val="20"/>
        </w:rPr>
        <w:t xml:space="preserve">. Latozinemab was an investigational human monoclonal antibody (mAb) designed to block and internalize the sortilin receptor (SORT1) to elevate PGRN levels in the brain. In October 2025, we decided to stop the open label extension portion of the Phase 3 study and the continuation study of latozinemab based on the results of the INFRONT-3 Phase 3 clinical trial evaluating the safety and efficacy of latozinemab in slowing disease progression. Latozinemab failed to meet the clinical co-primary endpoint in that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our AL002 program was terminated based on the results of the INVOKE-2 Phase 2 clinical trial evaluating the safety and efficacy of AL002 in slowing disease progression in individuals with early AD, in which AL002 failed to meet the primary endpoint. In 2022, we and AbbVie concluded that further development of our product candidate AL003 was not warranted. In the future, GSK or any other collaboration partner may decide to terminate a collaboration program based on, among other things, our clinical trial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product candidates that have advanced into clinical trials, we may terminate such trials or the clinical program prior to their completion. For example, in April 2026, we and GSK decided to discontinue the PROGRESS-AD Phase 2 clinical trial of nivisnebart in early AD following the pre-specified interim futility analysis. An independent data monitoring committee concluded that the trial was unlikely to meet its primary endpoint of slowing disease progression at completion. In 2023, we decided to close the Phase 1 clinical trial for our AL044 product candidate based on initial pharmacokinetics and tolerability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and we may encounter difficulties or delays in doing so, even if such product candidate successfully completed clinical trials. We may never receive regulatory approval, or we may not receive approval in the desired timeframe,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countries regarding safety, efficacy,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or do so within the timeframe we desire. Even if we (or our collaborators or partners) are successful in obtaining approval in one jurisdiction, we cannot ensure that we will obtain approval in any other jurisdiction. If we are unable to obtain approval for our product candidates in multiple jurisdictions, our business, financial condition, results of operations, and our growth prospects could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whether for the treatment of neurodegenerative diseases or other diseases, we cannot be assured that any such product candidate will be successfully commercialized, widely accepted in the marketplace, or more effective than other commercially available alternatives.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from our research and drug discovery platform or to develop commercially successful products. If we fail to successfully identify and develop additional product candidates from our research and drug discovery platform,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our strategies is to identify and pursue clinical development of additional product candidates. Identifying, developing, obtaining regulatory approval for, and commercializing additional product candidates for the treatment of neurodegenerative and other diseases will require substantial additional funding and are prone to the risks of failure inherent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drug development. We cannot provide any assurance that we will be able to successfully identify or acquire additional product candidates, advance any of these additional product candidates through the development process, successfully commercialize any such additional product candidates, if approved, or assemble sufficient resources to identify, acquire, develop, or, if approved, commercialize additional product candidates. If we are unable to successfully identify, acquire, develop, and commercialize additional product candidates, our commercial opportunity may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are developing our proprietary BBB technology platform (Alector Brain Carrier, or ABC) to support selected product candidates. The goal of our technology is to deliver therapeutic candidates at a lower dose and provide deeper blood-brain barrier penetration while optimizing efficacy, safety and cost. If we are unable to successfully develop and apply our ABC technology as intended, our future pipeline opportunities may be reduced.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seek to develop product candidates incorporating our ABC technology in our preclinical and research pipeline for a range of neurodegenerative diseases. For example, we are currently pursuing AL037/AL137, our brain-penetrant anti-amyloid beta antibody program in AD; AL050, our brain-penetrant GCase enzyme replacement therapy, in Parkinson’s disease; and AL164, our brain-penetrant tau siRNA, in AD, all of which are enabled by ABC using a TfR-based transport mechanism. Those product candidates have complex structures and multiple functional elements, relative to standard antibody candidates that have previously been our main focus. Therefore, those product candidates may pose additional challenges, including with respect to their manufacture and their ability to function as intended. If we are unable to advance those programs or other preclinical or research candidates, or if we encounter significant delays in our anticipated timeline for progressing those candidates, our future pipeline opportunities may be reduced.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successful in our efforts to obtain approval for additional or expanded indications for any product candidates that receive approval for a given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development strategy includes clinically testing and seeking regulatory approval for our product candidates in indications in which we believe we can generate proof-of-concept data. For certain product candidates, we may choose to expand clinical testing and seek regulatory approvals in other neurodegenerative indications based on genetic and mechanistic overlap with the initial indication. Conducting clinical trials for additional indications for our product candidates requires substantial technical, financial, and human capital resources and is prone to the risks of failure inherent in drug development. We cannot provide any assurance that we will be successful in our effort to obtain regulatory approval for our product candidates for additional indications even if we obtain approval for an initial indication.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concentrated a substantial portion of our research and development efforts on the treatment of neurodegenerative diseases, a field that has seen limited success in drug development. Further, our product candidates are based on innovative approaches and technologies to address the complex mechanisms underlying neurodegeneration, which makes it difficult to predict the time and cost of product candidate development and to subsequently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focusing our research and development efforts on addressing neurodegenerative diseases. Collectively, efforts by biopharmaceutical companies in the field of neurodegenerative diseases have seen limited success in drug development. There are currently limited approved therapeutic options available for patients with Alzheimer’s disease, Parkinson’s disease, and other neurodegenerative diseases. Recently approved therapies for the treatment of Alzheimer’s disease target a specific pathology (amyloid plaques). Our future success is highly dependent on the successful development of our product candidates for treating neurodegenerative diseases. Developing product candidates and, if approved, commercializing our products for treatment of neurodegenerative diseases subject us to a number of challenges, including obtaining disease modifying activity and efficacious dosing and obtaining regulatory approval from the FDA and other regulatory authorities who have only a limited set of precedents to rely 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approach to developing treatments for neurodegenerative diseases is based on understanding the complex mechanisms underlying neurodegeneration, including the roles of misfolded proteins, deficient proteins, and dysfunctional immune cells and neurons. Our approach further leverages our understanding of the genetic associations with disease. Through this approach, our product candidates seek to remove toxic proteins, replace critical deficient proteins, and restore immune and nerve cells to normal function. One aspect of this approach is to identify and select targets enriched in microglia and other myeloid immune cells which are genetically associated with neurodegenerative diseases. Another aspect of this approach is to select known or validated targets for neurodegenerative diseases. We identify and develop product candidates, including candidates that utilize our ABC technology, that are designed to cross the blood-brain barrier in sufficient quantity and potency to enable efficacious delivery to the brain and engage the intended target. We seek to identify and develop biomarkers and biomarker assays that can accurately identify signs of a disease or condition, assist us in selecting the right patient population, demonstrate target and pathway engagement, and measure the impact on disease progression of our product candidates. This strategy may not prove to be successful. We cannot be sure that our approach will yield satisfactory therapeutic products that are safe and effective, scalable, or profitable.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or a clinical trial application (CTA) will result in the FDA or EMA, as applicable, allowing clinical trials to begin in a timely manner, if at all. Moreover, even if these trials begin, issues may arise that could suspend or terminate such clinical trials. A failure of one or more clinical trials can occur at any stage of testing, and any of our current or future clinical trials may not be successful.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toxicology, or other in vivo or in vitro data to support the submission of an IND or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confirming target engagement, patient selection, or other relevant biomarkers to be utilized in preclinical and clinical product candidate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(IRB)/Ethics Committee (EC)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delays to clinical trials, including as a result of temporary or permanent clinical hold by regulatory agencies for any number of reasons (see for example our discussions of ARIA and other risks described in this “Risk Factors” section),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review of an IND or amendment, CTA or amendment, or equivalent application or amendment;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 new safety finding that presents unreasonable risk to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modifications to clinical trial protocols or related documentation;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negative finding from an inspection of our clinical trial operations or study sites;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finding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our CROs, other third parties, or us to adhere to clinical trial protocols and other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current good clinical practices (cGCPs)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including costs associated with tariffs or other import or export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correspondence from, reviews by, or other interactions with the FDA or regulatory agencies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analyses of clinical trials that result in a decision to terminate those trials due to failure of our product candidates to meet certain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or sooner than anticipated, which could impair our ability to successfully commercialize our product candidates and may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decreases in regulatory agency funding, staffing, or operations, lack of adequate funding to continue the clinical trial, and impacts of worldwide economic conditions, including trade tariffs, public health outbreaks, geopolitical events, and international conflicts. Should the FDA or other government agency issue additional guidance that mandates material changes to our clinical trials, e.g., in response to a pandemic or other public health outbreak, the costs of such clinical trials may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advance product candidates into clinical trials and terminate such trials prior to their completion, which could adversely affect our business. Further, FDA’s policy to release in “real time” newly issued Complete Response Letters associated with withdrawn or abandoned applications for approval of drug or biological products, if applicable to any of our product candidates, could materially impact our competitive advantage and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initiation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biomarker-driven identification and/or certain highly specific criteria related to stage of disease progression, which may limit the patient populations eligible for our clinical trials to a greater extent than competing clinical trials for the same indication that do not have biomarker-driven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study population required for analysis of the trial’s primary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enrolling patients in our clinical trials caused by worldwide economic conditions, including pandemics or other public health outbreaks and other geopolitical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approved products that target the patient populations that we are seeking to enroll;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of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or that we may not be able to collect data from such patients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partners may encounter difficulties or delays in enrollment of our clinical trials, due to the availability of newly approved therapies and competing products. For example, lecanemab received FDA approval for the treatment of Alzheimer’s disease in 2023, and donanemab received FDA approval for the treatment of Alzheimer’s disease in July 2024. As a result, our or our partners’ ability to enroll participants in clinical trials for Alzheimer’s disease may be hampered if potential participants choose to instead avail themselves of approved therapies.</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reveal significant adverse events, toxicities, or other side effects and may fail to demonstrate substantial evidence of the safety and efficacy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sufficiently safe, pure, and potent for use in their target indications. Each product candidate must demonstrate an adequate risk versus benefit profile in its intended patient population and for its intended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early-stage clinical trials of our product candidates may not be predictive of the results of later-stage clinical trials. The results of clinical trials in healthy volunteers or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 elements, and the rate of dropout among clinical trial participants. Open-label or long-term extension studies may also extend the timing and cost of a clinical program substantially.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This is particularly true in neurodegenerative diseases, where failure rates historically have been higher than in many other disease areas. Most product candidates that begin clinical trials are never approved by regulatory authorities for commercialization. For example, in April 2026, we and GSK decided to discontinue the PROGRESS-AD Phase 2 clinical trial of nivisnebart in early AD following the pre-specified interim futility analysis. An independent data monitoring committee concluded that the trial was unlikely to meet its primary endpoint of slowing disease progression at completion. In October 2025, because latozinemab did not meet the clinical co-primary endpoint in the INFRONT-3 Phase 3 clinical trial, we decided to stop the open label portion of that trial and the continuation study for latozinemab. In November 2024, we decided to stop the long term extension study of our product candidate AL002 after results from the INVOKE-2 Phase 2 clinical trial showed that AL002 failed to meet the primary endpoint.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our INVOKE-2 Phase 2 clinical trial in Alzheimer’s disease, treatment-emergent MRI findings resembling ARIA were observed. ARIA are MRI findings that may include vasogenic edema, sulcal effusions, microhemorrhages and/or superficial siderosis. To mitigate the associated risks, we stopped enrolling patients that were most at risk and implemented additional monitoring procedures, and the trial continued to completion.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experience in designing clinical trials and may be unable to design and execute a clinical trial that generates data sufficient to support continued clinical development or marketing approval of any of our product candidates. We cannot be certain that any of our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any of our clinical trials are successfully completed, we cannot guarantee that the FDA or foreign regulatory authorities will interpret the results as we do, and more trials could be required before we submit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candidates, which may also limit its commercial potential. Further, even if regulatory approval is secured for any of our product candidates, we cannot be assured that a federal court will not modify, invalidate, or revoke such approval.</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Some competitors have achieved, and there is a possibility that other competitors will achieve, regulatory approval before us. Our competitors’ therapies may be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Moreover, the neurodegenerative field is characterized by strong and increasing competition, with a strong emphasis on intellectual property. We may face competition with respect to any of our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are currently pursuing the development of products for the treatment of neurodegenerative diseases, including Alzheimer’s disease and Parkinsons disease. Many of these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For example, in July 2024, the FDA approved donanemab, which was developed by Eli Lilly and Company, for the treatment of Alzheimer’s disease. Donanemab targets amyloid plaques by binding to insoluble N-truncated pyroglutamate amyloid beta. In January 2023, the FDA granted accelerated approval, and in July 2023, the FDA granted full approval to lecanemab, an anti-amyloid beta protofibril antibody for the treatment of Alzheimer’s disease developed by Eisai Co., Ltd. (Eisai) and Biogen Inc. (Biogen). Lecanemab has been approved as a treatment for slowing progression of mild cognitive impairment and mild dementia due to Alzheimer’s disease in Japan, and in April 2025, lecanemab received final marketing authorization in Europe for treating mild cognitive impairment or mild dementia due to Alzheimer’s disease in patients who have only one or no copy of the ApoE4 allele.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competing pharmaceutical and biotechnology companies, such as Denali Therapeutics, Inc. (“Denali”), F. Hoffman La Roche Ltd. (“Roche”), Aliada Therapeutics, Inc. (acquired by AbbVie), Eli Lilly, BioArctic, JCR Pharmaceuticals, Korsana, Arrowhead, and Ossianix, who have developed and continue to develop technologies for the transport of products across the blood-brain barrier using transferrin receptor (TfR)-based transfer mechanisms. Other companies may successfully develop technologies for blood-brain barrier transport that are based on mechanisms other than TfR and that effectively compete with TfR-based mechanisms. Our ABC platform, which uses a TfR-based transfer mechanism, faces competition from such third-party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those competing blood-brain barrier transport technologies are being applied to antibodies and product candidates that act on the same disease targets as we are pursuing. For example, Denali, Korsana, and Roche are advancing antibody candidates, both of which target A-beta and incorporate blood-brain barrier transport mechanisms that act through TfR, and Arrowhead is advancing a tau-siRNA candidate with a TfR binding antibody fragment. Other companies, including Bial, Vanqua Bio, Inc., Gain Therapeutics, Inc., Prevail, Spur Therapeutics, Voyager Therapeutics, Inc., Denali, and Roche have clinical or pre-clinical programs targeting GCase through allosteric activation, gene therapy, or enzyme replacement, with the latter approach incorporating TfR-based blood-brain barrier transfer mechanisms. Those and other competitors are pursuing product candidates that act on some of the same targets or through comparable mechanisms of action as we are pursuing.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companies are employing nucleic acid-based strategies, such as anti-sense oligonucleotides and siRNA, directed to neurodegenerative disease targets in conjunction with TfR-based blood-brain barrier technologies. Certain of those companies, including Eli Lilly, Arrowhead, Novartis, Denali, Roche and Manifold Bio, are applying this approach to some of the same targets that we are pursuing, including tau and alpha-synuclein.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potential competitors may develop products with a market advantage due to their mode of delivery, such as oral small molecule or subcutaneous formulation. For example, Eisai received FDA approval for a subcutaneous formulation of lecanemab in August 2025, and Bial, Vanqua Bio, and Gain Therapeutics are developing small molecule allosteric activators of GCase.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neurodegenerative disease indications, which could give such products significant regulatory and market timing advantages over any of our product candidates. Our competitors also may obtain FDA, EMA, or other regulatory approval for their products more rapidly than we may obtain approval for ours, including through fast track designation, priority review, accelerated approval or breakthrough therapy designation, and may obtain orphan drug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face litigation or other proceedings with respect to the scope, ownership, validity, and/or enforceability of our patents relating to our competitors’ products. Furthermore, our competitors may allege that our products infringe, misappropriate, or otherwise violate their intellectual property. The availability of our competitors’ products could limit the demand, and the price we are able to charge, for any products that we may develop and commercialize.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manufacture of our product candidates is complex, and we may encounter difficulties in production. If we or any of our third-party manufacturers encounter such difficulties, or fail to meet rigorously enforced regulatory standards, our ability to provide supply of our product candidates for clinical trials or our products, if approved for patients, could be delayed or stopped, or we may be unable to maintain a commercially viable cost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processes involved in manufacturing our product candidates are complex, expensive, highly-regulated, and subject to multiple risks. Manufacturing certain product candidates, such as non-antibody protein product candidates or product candidates incorporating ABC and other active components, may be especially challenging and may require complex and integrated supply chains and CDMO networks. Further, as product candidates are developed through preclinical studies to late-stage clinical trials towards approval and commercialization, it is common that various aspects of the development program, such as manufacturing methods, are altered along the way in an effort to scale processes and optimize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conduct clinical trials of our product candidates, or supply commercial products, if approved, we will need to manufacture them in large quantities. Our CDMOs may be unable to successfully produce or increase the manufacturing scale or capacity for any of our product candidates in a timely or cost-effective manner, or at all. In addition, quality issues may arise during scale-up activities or in connection with production of commercial supply. If any of the foregoing occurs, the development, testing, and clinical trials of that product candidate may be delayed or become infeasible, and/or regulatory approval or commercial launch of any resulting product may be delayed or not obtained in any or all jurisdictions in which such approval or launch is intended, which could significantly harm our business. The same risks would apply to our own manufacturing facilities, should we in the future decide to build our own manufacturing capacity, which would carry significant risks in terms of being able to plan, design, and execute on a complex project to build manufacturing facilities in a timely and cost-efficient manner. Likewise, the same risks would apply to a collaboration partner manufacturing our product candidates or commercial products, if approved, using their CDMOs or their own facilities, and that partner may be unable to maintain a commercially viable cost structure.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manufacturing process for any products that we may develop is subject to FDA, EMA, and other foreign regulatory authority approval processes, and continuous oversight, and we will need to contract with manufacturers who can meet all applicable FDA, EMA, and other foreign regulatory authority requirements, including complying with current good manufacturing practices (cGMPs) on an ongoing basis. Further, the manufacturers that we or our collaboration partners work with will be subject to any future legislation by Congress or other government action that may curtail the ability of foreign CDMOs to provide services to U.S. biotechnology companies. In addition, tariffs may be imposed on products that are manufactured by foreign CDMOs and imported into the U.S. to incentivize manufacturing activity in the U.S. versus abroad.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commercial activities with our collaborators for, some of our product candidates if and when they are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risks involved with both establishing our own commercial capabilities and entering into arrangements with third parties to perform these services. For example, recruiting and training a sales force or reimbursement specialists are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persuade adequate numbers of physicians to prescribe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and our ability to recognize revenue from such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or royalty revenue or the profitability of such revenue may be lower than if we were to market and sell any product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products will depend upon its degree of market acceptance by physicians, patients, third-party payors, and others in the medical community. Even if any product candidate we develop receives marketing approval, it may nonetheless fail to gain sufficient market acceptance by physicians, patients, healthcare payors, and others in the medical community. The degree of market acceptance of any product candidate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as demonstrated in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revenue, and we may not become profitable. </w:t>
      </w:r>
    </w:p>
    <w:p>
      <w:pPr>
        <w:pStyle w:val="TextBody"/>
        <w:bidi w:val="0"/>
        <w:spacing w:before="240" w:after="283"/>
        <w:jc w:val="left"/>
        <w:rPr>
          <w:rFonts w:ascii="Times New Roman" w:hAnsi="Times New Roman"/>
          <w:sz w:val="20"/>
        </w:rPr>
      </w:pPr>
      <w:r>
        <w:rPr>
          <w:rFonts w:ascii="Times New Roman" w:hAnsi="Times New Roman"/>
          <w:b/>
          <w:i/>
          <w:color w:val="000000"/>
          <w:sz w:val="20"/>
        </w:rPr>
        <w:t>Any products we or a collaboration partner commercialize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drugs vary widely from country to country. In the United States, recently enacted or potential future legislation or other government action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continued governmental control even after initial approval is granted. As a result, a product candidate might obtain marketing approval in a particular country, but then be subject to price regulations that delay or render commercially inviable commercial launch of the product, possibly for lengthy time periods, and negatively impact the revenue otherwise expected from the sale of the product in that country, either by us or by a collaboration partner. Adverse pricing limitations may hinder our ability to recoup our investment in one or more product candidates, even if any product candidates we may develop obtain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to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and future Centers for Medicare and Medicaid Services (CMS) coverage restrictions on classes of drugs that encompass our product candidates, including our candidates for treating Alzheimer’s disease, could have a material adverse impact on our ability to commercialize our product candidates, if approved, generate revenue and attain profitability. It is unclear how future CMS coverage decisions and policies will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current administration has issued an executive order focused on decreasing prescription drug prices, which directs the Secretary of Health and Human Services (HHS) to establish a mechanism through which American patients can buy drugs directly from manufacturers who sell at a most-favored-nation price. The order further directs the U.S. Trade Representative and Secretary of Commerce to take action to ensure foreign countries are not engaged in practices that purposefully and unfairly undercut market prices and drive price hikes in the United States. If HHS sets most-favored-nation pricing targets for prescription drugs or increases generic and biosimilar drug entry sooner than expected, then those actions could have a material adverse effect on our ability to set adequate pricing, recoup our investment in R&amp;D, and commercialize our product candidates, if approved. We cannot predict the full impact of this executive order, its implementation, or other measures that may be implemented by the current administration related to drug pricing.</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for which we intend to seek approval may face biosimilar competition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achieving regulatory approval to commercialize a product candidate ahead of our competitors, our product candidates may face competition from biosimilar products. In the United States, our product candidates are regulated by the FDA as biologic products and we intend to seek approval for these product candidates pursuant to the BLA pathway.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entitled to the 12-year period of exclusivity, potentially creating the opportunity for competition sooner than anticipated. Moreover, the extent to which a biosimilar product, once approved, will be substituted for any one of our reference products in a way that is analogous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get it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competitors are able to obtain marketing approval for biosimilars referencing our product candidates, if approved, such product candidates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legal proceedings or claims involving or against us could be costly and time-consuming to defend and could harm our reputation regardless of the outcome.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become subject to legal proceedings and claims that arise in the ordinary course of business, including intellectual property, data privacy, product liability, employment, class action or derivative, whistleblower and other litigation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or in countries outside the United States under the applicable legal regimes. If we cannot successfully defend ourselves against product liability claims, we may incur substantial liabilities or be required to limit testing and commercialization of our product candidates. Even successful defense or negotiations of a settlement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an application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development of our product candidates and/or regulatory approval may be delayed for reasons beyond our control. For example, the U.S. federal government has experienced and may in the future experience major reductions in the federal workforce, shutdowns or budget sequestrations, which has resulted and could result in significant reductions to the FDA’s budget, employees, and/or operations, which may lead to slower response times and longer review periods, potentially affecting our ability to progress development of our product candidates or obtain regulatory approval for our product candidates. FDA and other regulatory authorities may also experience delays or limited resources due to the effects of worldwide economic conditions, including tariffs and global trade disruptions, pandemics or other public health outbreaks, other geopolitical events, conflicts or other reasons. To the extent FDA and other regulatory authorities experience any delays or limited resources in reviewing our regulatory applications or requests for meetings and/or guidance, and inspection of manufacturing facilities prior to regulatory approval, we may experience significant delays in our anticipated timelines for our clinical studies and/or for seeking regulatory approvals,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in an initial or subsequent indication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the interpretation of the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or insufficiently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program may not be sufficiently broad or representative to assure efficacy and safety in the full population for which we seek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on its own or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EMA, or comparable foreign regulatory authorities may significantly change in a manner rendering our clinical data insufficient for approval or resulting in delays in our regulatory approval, as seen, for example, in connection with the FDA’s approval of Biogen’s Aduhelm in Alzheimer’s disease amid questions regarding the underlying data, as well as the government investigation of the FDA’s approval process for Aduhelm.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growth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the FDA and other regulatory authorities may change their policies, issue additional regulations or revise existing regulations, any of which could delay our ability to obtain approvals, increase the costs of compliance or restrict our ability to maintain any regulatory approvals we may have obtained. In June 2024, the Supreme Court overturned their 1984 decision that gave rise to the </w:t>
      </w:r>
      <w:r>
        <w:rPr>
          <w:rFonts w:ascii="Times New Roman" w:hAnsi="Times New Roman"/>
          <w:i/>
          <w:color w:val="000000"/>
          <w:sz w:val="20"/>
        </w:rPr>
        <w:t>Chevron</w:t>
      </w:r>
      <w:r>
        <w:rPr>
          <w:rFonts w:ascii="Times New Roman" w:hAnsi="Times New Roman"/>
          <w:color w:val="000000"/>
          <w:sz w:val="20"/>
        </w:rPr>
        <w:t xml:space="preserve"> doctrine. That doctrine gave deference to regulatory agencies such as FDA, rather than the courts, to interpret relevant statutes where the law is ambiguous. As a result of the Supreme Court’s rejection of the </w:t>
      </w:r>
      <w:r>
        <w:rPr>
          <w:rFonts w:ascii="Times New Roman" w:hAnsi="Times New Roman"/>
          <w:i/>
          <w:color w:val="000000"/>
          <w:sz w:val="20"/>
        </w:rPr>
        <w:t>Chevron</w:t>
      </w:r>
      <w:r>
        <w:rPr>
          <w:rFonts w:ascii="Times New Roman" w:hAnsi="Times New Roman"/>
          <w:color w:val="000000"/>
          <w:sz w:val="20"/>
        </w:rPr>
        <w:t xml:space="preserve"> doctrine, more companies and other stakeholders may bring lawsuits against the FDA to challenge longstanding FDA decisions and policies, which could undermine the FDA’s authority, lead to uncertainties in the industry, and disrupt the FDA’s normal operations, potentially resulting in the delay of the FDA’s review of our regulatory submissions. We cannot predict the full impact of this decision on us or the pharmaceutical and biotechnology industries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reorganization of the U.S. Department of Health and Human Services (HHS) under its current leadership, changes in the current administration’s focus and policies, departure of senior leadership at the FDA and other agencies under HHS, and reductions in staffing at HHS may impact operations at the FDA as well as other federal agencies. Government shutdown, staff departures at the FDA, lapses in government appropriations, and changes in the staffing and resourcing levels at the FDA may impact the FDA’s ability to meet current review, approval, and inspection schedules, as well as our ongoing correspondence with the FDA, including correspondence regarding progression to the next phases of development. Likewise, restructuring, downsizing, and decreased funding of federal agencies including the FDA may result in our not realizing all the benefits of Breakthrough Designation and Fast Track designation, particularly benefits related to priority review, frequent communications with the FDA, and intensive guidance from the FDA, to the extent such benefits are applicable to any of our product candidates. Any of the above impacts could in turn delay our anticipated timelines, which can increase the cost of clinical development of our product candidates. Other policy changes may lead to fewer agency guidance documents, which could result in changes to FDA programs or possible delays or refusals to approve products.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or regulations implemented under the current administration and the new FDA commissioner or other executive orders. To the extent the agency's reduction in force and other agency changes lead to disruptions in the FDA’s operations, our interactions, correspondence, and regulatory review processes with the FDA may be delayed.</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Drug-related side effects could affect patient recruitment, the ability of enrolled patients to complete the study, and/or result in potential product liability claims. We are required to maintain product liability insurance pursuant to certain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and commercialization agreements. We may not be able to maintain insurance coverage at a reasonable cost or in sufficient amounts to protect us against losses due to liability. A successful product liability claim or series of claims brought against us could adversely affect our results of operations, business, and reputation.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treatment-emergent MRI findings resembling ARIA were observed in our INVOKE-2 Phase 2 clinical trial. ARIA are MRI findings that may include vasogenic edema, sulcal effusions, microhemorrhages and/or superficial siderosis. In INVOKE-2, most cases resembling ARIA were asymptomatic and non-serious. We mitigated ARIA-related risks by discontinuing enrollment of patients who were most at risk based on their genotype, and we implemented additional monitoring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and cause us to recall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monitor patients over the course of treatment,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Risk Evaluation and Mitigation Strategy plan, which could include a medication guide outlining the risks of such side effects for distribution to patients, a communication plan for healthcare providers, pre-prescription screening or ongoing monitoring for adverse events (such as ARIA-like events), and/or other elements, such as boxed warning on the packaging (for example, as required for lecanemab),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financial condition, results of operations, and growth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Data on our future product candidates resulting from clinical trials conducted outside the United States may not be accepted by the FDA, EMA, and applicable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conduct future clinical trials outside the United States, including in Europe, Latin America, Australia, or Asia. The acceptance of study data from clinical trials conducted outside the United States or another jurisdiction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as regulatory authorities in different jurisdictions may impose different requirements for approval, including requirements with respect to trial design or trial diversity.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 Our reliance on genetic screening and use of biomarkers to align patient risk profiles with targeted intervention may eventually require us to develop and use companion diagnostics, which could likewise require generation of data that would be acceptable to FDA, EMA, or any applicable foreign regulatory authority.</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partner we work with fails to comply with the regulatory requirements in international markets or fails to receive applicable marketing approvals, our target market will be reduced, and our ability to realize the full market potential of our product candidates will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post-marketing requirements and regulatory scrutiny.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(MAA).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any requirement to implement a Risk Evaluation and Mitigation Strategy), or contain requirements for potentially costly post-marketing testing. We will be required to report certain adverse reactions and production problems, if any, to the FDA, EMA, and comparable foreign regulatory authorities. Any new legislation or other government action addressing drug safety issues could result in delays in product development or commercialization, or increased costs to ensure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letters that would result in adverse publicity and potentially cause disruptions to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our product candidates, but we may be unable to obtain such designations or to maintain the benefits associated with orphan drug status, including market exclusivity, which may cause our revenue, if any, to be reduced.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of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While certain of our prior candidates had orphan drug designation for treatment of FTD, we may be unable to reap the benefits associated with orphan drug status. In addition, we may be unable to obtain orphan drug designation for any additional product candidates, if we seek such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a particular active ingredient for the disease for which it has such designation, the product is entitled to orphan drug exclusivity. This means that the FDA may not approve any other NDA or BLA application to market the same drug or biologic for the same indication for seven years, except in limited circumstances such as if the same drug or biologic shows clinical superiority to the product with orphan exclusivity, if the FDA revokes the orphan drug designation, or if the FDA finds that the holder of the orphan exclusivity has not assured the availability of sufficient quantities of the orphan product to meet the needs of patients with the disease or condition for which the drug was designated. Even if the FDA approves orphan drug status for one of our product candidates for treatment of FTD, the FDA can still approve other drugs that have a different active ingredient for use in treating FTD. Furthermore, orphan drug exclusivity does not prevent the FDA from approving another marketing application for the same drug product for a different indication before the expiration of the orphan exclusivity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litigation in 2021, an appellate court disagreed with the FDA’s longstanding position that orphan drug exclusivity only applies to the approved use or indication within an eligible disease, and not to all uses or indications within the entire designated disease or condition. This court decision created uncertainty in the application of orphan drug exclusivity. In January 2023, the FDA published a notice in the Federal Register to clarify that while the agency complies with the applicable court ruling, the FDA intends to continue tying the scope of orphan-drug exclusivity to the uses or indications for which a drug is approved, which permits other sponsors to obtain approval of a drug for new uses or indications within the same orphan designated disease or condition that has not yet been approved. It is unclear how future litigation, such as a result of executive orders that impose a freeze on hiring, federal funding, and external communications, and return-to-office policy, legislation, agency decisions, and administrative actions will impact the scope of orphan drug exclusivity.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legislative and executive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 number of legislative, executive, and regulatory changes to the healthcare system that could impact our ability to sell our products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in 2010, the Patient Protection and Affordable Care Act, or Affordable Care Act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or healthcare measures promulgated by administrative or legislative action will impact our business, financial condition, and results of operations. Complying with any new legislation or other changes in healthcare regulation could be time-intensive and expensive, resulting in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American Rescue Plan Act of 2021, the statutory cap on Medicaid Drug Rebate Program rebates that manufacturers pay to state Medicaid programs were eliminated. Elimination of this cap may require pharmaceutical manufacturers to pay more in rebates than they receive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In March 2023, CMS published its first guidance on how negotiations will be conducted, starting in 2026 for high expenditure drugs as determined and selected by Health and Human Services. In June 2023, CMS issued a revised guidance for the Medicare Drug Price Negotiation Program under the Inflation Reduction Act. In August 2024, CMS released the first set of negotiated prices for ten drugs under the Medicare Drug Price Negotiation Program for 2026. Various industry stakeholders, including pharmaceutical companies have initiated lawsuits against the federal government asserting that the price negotiation provisions of the Inflation Reduction Act are unconstitutional. With the Supreme Court’s June 2024 decision that overturning the Chevron doctrine, the Inflation Reduction Act as well as other administration decisions of HHS, including those of CMS, may be subject to increased litigation and judicial scrutiny.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(MFN) price and directing the U.S. Trade Representative and Secretary of Commerce to take action to ensure foreign countries are not engaged in practices that purposefully and unfairly undercut market prices and drive price hikes in the United States. The OBBBA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MFN pricing agreements and other government measures that use most-favored-nation pricing targets for prescription drugs, including the use of international pricing references to set drug prices in the United States, or increased and earlier generic and biosimilar drug entry, can have a material adverse effect on our industry, including the ability to set adequate pricing for new drugs to recover research and development costs, and the ability to attract potential investors and potential buyers in the future. We cannot predict the full impact of these and other measures that may be implemented by the current administration related to drug pricing. The impact of ongoing judicial challenges against provisions of the Inflation Reduction Act as well as future legislative, executive, and administrative actions under the current presidential administration, including changes in leadership at HHS, CMS, and FDA, and new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candidates. Such initiatives and legislation may affect the prices we may obtain or demand for any of our product candidates for which we may obtain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2022, CMS released a national policy for coverage of aducanumab and any future monoclonal antibodies directed against amyloid approved by the FDA with an indication for use in treating Alzheimer’s disease. CMS reiterated this policy in January 2023 in connection with the accelerated approval of lecanemab. According to the two-part National Coverage Determination (NCD), Medicare will cover monoclonal antibodies that target amyloid (or plaque) for the treatment of Alzheimer’s disease that receive traditional approval from the FDA under coverage with evidence development. Following full approval of lecanemab in July 2023, CMS reiterated that it would broadly cover the medication while continuing to gather data. Additionally, for drugs that the FDA has not determined to have shown a clinical benefit or that received an accelerated approval, Medicare will provide coverage in FDA or National Institutes of Health approved clinical trials. In February 2023, CMS again reiterated these policies in rejecting a petition from the Alzheimer’s Association to provide wider coverage for lecanemab. In June 2023, CMS announced that Medicare will cover new Alzheimer’s drugs with traditional FDA approval when a physician and clinical team participate in CMS’ registry to collect evidence on how these drugs work in the real world. Current and future CMS coverage restrictions on classes of drugs that encompass our product candidates could have a material adverse impact on our ability to commercialize our product candidates, if approved, generate revenue and attain profitability. It is unclear how future CMS coverage decisions and policies will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requirements and expose us to greater liability under such state laws once we begin commercialization after obtaining regulatory approval for any of our products. Further, the FDA has recently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unable to predict the future course of federal or state healthcare legislation or actions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One Big Beautiful Bill Act (OBBBA), includes provisions that will impact the United States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We expect that the above healthcare reform measures and others that have been and may be adopted in the future, such as the OBBBA, may result in additional reductions in Medicare and other healthcare funding, more rigorous coverage criteria, lower reimbursement, and new payment methodologies. Any reduction in reimbursement from Medicare or other government programs may result in a similar reduction in payments from private payors. This could lower the price that we receive for any approved product. There may be further federal and state legislation, regulations, and other actions designed to control pharmaceutical and biological product pricing, including price or patient reimbursement constraints, discounts, restrictions on certain product access and marketing cost disclosure and transparency measures.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misconduct, or other illegal activity by our employees, independent contractors, consultants, commercial partners, and vendors. Misconduct by these parties could include intentional, reckless, and negligent conduct that fails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 laws of the FDA, EMA, and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true, complete, and accurate information to the FDA, EMA, and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clinical or 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healthcare fraud and abuse laws in the United States and similar foreign fraudulent misconduct 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report financial information or data accurately or disclose unauthorized activities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We have adopted a code of business conduct and ethics and other policies, but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FDA approval for any of our product candidates and begin commercializing those products in the United States, our operations will be subject to various federal and state fraud and abuse laws. The laws that may impact our operations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 things the federal Anti-Kickback Statute prohibits persons from knowingly and willfully soliciting, receiving, offering, or paying any remuneration (including any kickback, bribe, or rebate), directly or indirectly, overtly or covertly, in cash or in kind, to induce, or in return for, either the referral of an individual,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and civil monetary penalty laws, including the False Claims Act,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 Sunshine Act, created under the ACA, and its implementing regulations, require applicable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and other transfers of value made to covered recipients, including physicians (defined to include doctors, dentists, optometrists, podiatrists and chiropractors), certain non-physician healthcare professionals (such as nurse practitioners and physician assistants, among others) and teaching hospitals, and information regarding ownership and investment interests held by physicians (as defined by law)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may apply to pharmaceutical business practices, including but not limited to, research, distribution, sales, and marketing arrangements, as well as submitting claims involving healthcare items or services reimbursed by any third-party payer, including commercial insurers.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laws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laws also require drug manufacturers to file reports with states regarding pricing and marketing information, such as the tracking and reporting of gifts, compensations and other remuneration, and items of value provided to healthcare professionals and entities.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and foreign laws also govern the privacy and security of health information in certain circumstances, such as Washington’s My Health, My Data Act, which, among other things, provides for a private right of action. Many of these laws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despite our efforts to comply, be subject to challenge under one or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is subject to complex and evolving U.S. and foreign laws and regulations relating to security, privacy and data protection. These laws and regulations are subject to change and uncertain interpretation, and could result in claims, changes to our business practices, or monetary penalties, and otherwise may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wide variety of state, national, and international laws and regulations apply to security and cybersecurity requirements and the collection, use, retention, protection, disclosure, transfer, and other processing of personal data, including the data obtained in our clinical trials. These laws and regulations include the General Data Protection Regulation (GDPR) in the European Union and similar requirements in other jurisdictions, as well as privacy laws and regulations within the United States. These laws and regulations are evolving and may result in ever-increasing regulatory and public scrutiny and escalating levels of enforcement and sanctions. We are continually working to comply with these laws and regulations, and we have devoted, and anticipate needing to continue to devote, significant additional resources to our compliance efforts. It is possible that new legislation, regulations, or other government action may impose, or purport to impose, new or modified obligations and requirements on us and similarly situated companies, and these laws or regulations may be interpreted and applied in a manner that is inconsistent from jurisdiction to jurisdiction, that can result in new or modified compliance obligations or that may be inconsistent with our policies and practices. Our actual or perceived failure to adequately comply with applicable laws, regulations, or other actual or asserted obligations relating to security, privacy, and data protection, to protect our systems, personal data, and other data we process or maintain, or to obtain appropriate consent with respect to our use, processing, disclosure or transfer of personal data, including data obtained in our clinical trials, could result in regulatory fines, investigations and enforcement actions, penalties and other liabilities, claims for damages by affected individuals, and damage to our reputation, and could impact our ability to use, disclose, transfer, or otherwise process data obtained in our clinical trials, any of which could materially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or reductions in the FDA’s or other government agencies’ management and personnel, or changes in such agencies’ funding, could impact their ability to hire and retain key leadership and other personnel, impact the timing for development or commercialization of new products and services, or otherwise impact those agencies’ performance of historically typical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agency reorganizations, ability to hire and retain key personnel and accept the payment of user fees, and statutory, regulatory, and policy changes. Average review times at the agency have fluctuated in recent years as a result and may increase due to recent reductions in FDA staffing. In addition, government funding of other government agencies on which our operations may rely, including those that fund research and development activities, is subject to the political process, which is inherently fluid and unpredictable. Changes at the FDA and other agencies may also slow the time necessary for new drugs to be reviewed and/or approved by necessary government agencies, which would adversely affect our business. Changes in the leadership at federal agencies under the current presidential administration, as well as executive orders and actions, such as staffing cuts, hiring freezes, regulatory freeze pending review by the new administration, and a freeze on external communications and federal funding, may also impact our clinical development and business operations and that of our partners or collaborators. The U.S. government has experienced budgetary shutdowns and certain regulatory agencies, such as the FDA, have had to furlough critical FDA and other government employees and stop critical activities. In the event of a prolonged government shutdown, or if regulatory agencies continue to experience workforce reductions,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(FCPA), similar anti-bribery and anti-corruption laws, and other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engage in our clinical trials or prescribe pharmaceuticals are employed by their government, and the purchasers of pharmaceuticals are government entities; therefore, our dealings with these investigators, prescribers and purchasers are subject to regulation under the FCPA.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the SEC and Department of Justice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use and expect to continue to use third-party collaborators for the research, development, and commercialization of certain of the product candidates we may develop, including our arrangements with GSK, Adimab, and previously, AbbVie. As discussed previously, GSK can terminate the GSK Agreement with us, subject to certain notice provisions, in its entirety and for convenience at any time. Adimab can terminate its agreement with us in the event of our uncured materials breaches, and subject to certain notice requirements. In January 2025, AbbVie decided to terminate the AbbVie Agreement after the INVOKE-2 Phase 2 clinical trial evaluating the safety and efficacy of AL002 in slowing disease progression in individuals with early AD failed to meet the primary endpoint. In the event that another of our current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collaborators discontinues its collaboration with us, we may not be able to find a suitable alternative collaboration partner or partners, or we may need to obtain and expend additional and unanticipated capital to maintain our current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likely collaborators for any other collaboration arrangements include large and mid-sized pharmaceutical companies, regional and national pharmaceutical companies, biotechnology companies, and academic institutions. Such arrangements with any third parties generally provide us with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our current collaborations or any collaboration that we may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research programs, or any product candidates we may develop, pose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to delay or not pursue development and commercialization of any product candidates we develop or may elect not to continue or renew development or commercialization programs, for example, based on clinical trial results, changes in the collaborator’s strategic focus or available funding, the collaborator’s assessment regarding the commercial viability of the product candidate, or external factors such as an acquisition that diverts resources or creates competing priorities or collaborators may elect to fund or commercialize a competing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provide insufficient quantities of materials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or research and development programs that results from our collaboration with them, and in such cases, we may not have the exclusive right to commercialize such intellectual property or such product candidates or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control certain interactions with regulatory authorities, which may impact 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restrict us from researching, developing, or commercializing certain products or technologies without their involvement;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manufacturing, marketing, or distribution rights to one or more product candidates may not commit sufficient resources to the manufacture, marketing, or distribution of such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grant sublicenses to our technology or product candidates or undergo a change of control, and the sublicensees or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or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reductions in federal funding, such as research grants, to academic and other institutions may result in reduced opportunities to collaborate with such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collaborators do not satisfy their obligations under our agreements with them, if they terminate our collaborations with them, or if we fail to satisfy our obligations to our collaborators, we may not be able to develop or commercialize product candidates as planned;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 collaboration agreement may be amended in a manner that could negatively impact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present or future collaborator of ours were to be involved in a business combination, such as a merger or acquisition, the continued pursuit and emphasis on our development or commercialization program under such collaboration could be delayed, diminished, or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AbbVie, after reviewing the CD33 collaboration program with us, decided to terminate the CD33 collaboration program, under which AL003 was being developed. AbbVie later decided to terminate the TREM2 collaboration program, under which AL002 was being developed, resulting in termination of the AbbVie Agreement. Prior to its discontinuation for futility, the PROGRESS-AD Phase 2 trial with nivisnebart was being conducted by GSK and GSK is winding down the study. Alector is responsible for up to $140.5 million of the costs of such study. As such, the timing at which the costs of winding down the study are outside of Alector’s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For example,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revenue. </w:t>
      </w:r>
    </w:p>
    <w:p>
      <w:pPr>
        <w:pStyle w:val="TextBody"/>
        <w:bidi w:val="0"/>
        <w:spacing w:before="120" w:after="283"/>
        <w:jc w:val="left"/>
        <w:rPr>
          <w:rFonts w:ascii="Times New Roman" w:hAnsi="Times New Roman"/>
          <w:sz w:val="20"/>
        </w:rPr>
      </w:pPr>
      <w:r>
        <w:rPr>
          <w:rFonts w:ascii="Times New Roman" w:hAnsi="Times New Roman"/>
          <w:color w:val="000000"/>
          <w:sz w:val="20"/>
        </w:rPr>
        <w:t>We may not realize the benefit of collaborations if we or our collaborator are unable to successfully develop a product candidate and commercialize it upon approval or integrate a product candidate into existing operations and company culture. For example, in January 2025, AbbVie decided to terminate the TREM2 collaboration program, which resulted in termination of the AbbVie Agreement, after the INVOKE-2 Phase 2 clinical trial evaluating the safety and efficacy of AL002 in slowing disease progression in individuals with early AD failed to meet the primary endpoint. Therefore, we did not receive a $250.0 million milestone payment for AbbVie’s opting into the AL002 program or any future payments, and all rights to the TREM2 program have reverted back to us. In October 2025, we announced that latozinemab failed to meet the clinical co-primary endpoint in the INFRONT-3 Phase 3 clinical trial. As a result, we will not be seeking approval for and commercializing latozinemab in FTD-</w:t>
      </w:r>
      <w:r>
        <w:rPr>
          <w:rFonts w:ascii="Times New Roman" w:hAnsi="Times New Roman"/>
          <w:i/>
          <w:color w:val="000000"/>
          <w:sz w:val="20"/>
        </w:rPr>
        <w:t>GRN</w:t>
      </w:r>
      <w:r>
        <w:rPr>
          <w:rFonts w:ascii="Times New Roman" w:hAnsi="Times New Roman"/>
          <w:color w:val="000000"/>
          <w:sz w:val="20"/>
        </w:rPr>
        <w:t xml:space="preserve">, and certain milestone payments ($160 million for the first US commercial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and $90 million for the first commercial sale in two or more EU countries) will not be achieved through commercialization of latozinemab in FTD-</w:t>
      </w:r>
      <w:r>
        <w:rPr>
          <w:rFonts w:ascii="Times New Roman" w:hAnsi="Times New Roman"/>
          <w:i/>
          <w:color w:val="000000"/>
          <w:sz w:val="20"/>
        </w:rPr>
        <w:t>GRN</w:t>
      </w:r>
      <w:r>
        <w:rPr>
          <w:rFonts w:ascii="Times New Roman" w:hAnsi="Times New Roman"/>
          <w:color w:val="000000"/>
          <w:sz w:val="20"/>
        </w:rPr>
        <w:t>, and our receipt of such milestones will therefore be delayed, or may not occur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 </w:t>
      </w:r>
    </w:p>
    <w:p>
      <w:pPr>
        <w:pStyle w:val="TextBody"/>
        <w:bidi w:val="0"/>
        <w:spacing w:before="240" w:after="283"/>
        <w:jc w:val="left"/>
        <w:rPr>
          <w:rFonts w:ascii="Times New Roman" w:hAnsi="Times New Roman"/>
          <w:sz w:val="20"/>
        </w:rPr>
      </w:pPr>
      <w:r>
        <w:rPr>
          <w:rFonts w:ascii="Times New Roman" w:hAnsi="Times New Roman"/>
          <w:b/>
          <w:i/>
          <w:color w:val="000000"/>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laboratory service providers and other vendors, CROs, clinical data management organizations, medical institutions, and clinical investigators, to conduct some aspects of our research and preclinical testing and our clinical trials. Any of these third parties may terminate their engagements with us or be unable to fulfill their contractual obligations. If we need to enter into alternative arrangements, it would delay our research, preclinical and clinical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For example, if our CROs or clinical sites deviate from the clinical protocol or cGCPs, then such deviations could have serious negative impacts on our trials, including exclusion of patients or sites from our trials, which could put patients at risk or make assessment of the clinical endpoints infeasible or inconclusive.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also are required to register ongoing clinical trials and post the results of completed clinical trials on government-sponsored databases within certain timeframes. We may also be exposed to additional liabilities if our contracted third parties engage in activities associated with improper use of information obtained in the course of patient recruitment for our clinical trials, cGCP noncompliance or noncompliance under applicable privacy laws, which could result in regulatory sanctions and cause serious harm to our reputation and business operations. Failure to do so can result in fines, adverse publicity, and civil and criminal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comply with regulatory requirements or our stated protocols, we will not be able to obtain, or may be delayed in obtaining, data to advance development of any of our product candidates or to achieve marketing approvals for any of our product candidates and we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to rely on other third parties to store and distribute drug supplies for our clinical trials. Any performance failure on the part of our distributors, including with the shipment of any drug supplies, could delay clinical development or marketing approval of any product candidates we may develop or commercialization of our medicines, producing additional losses and depriving us of potential revenue.</w:t>
      </w:r>
    </w:p>
    <w:p>
      <w:pPr>
        <w:pStyle w:val="TextBody"/>
        <w:bidi w:val="0"/>
        <w:spacing w:before="240" w:after="283"/>
        <w:jc w:val="left"/>
        <w:rPr>
          <w:rFonts w:ascii="Times New Roman" w:hAnsi="Times New Roman"/>
          <w:sz w:val="20"/>
        </w:rPr>
      </w:pPr>
      <w:r>
        <w:rPr>
          <w:rFonts w:ascii="Times New Roman" w:hAnsi="Times New Roman"/>
          <w:b/>
          <w:i/>
          <w:color w:val="000000"/>
          <w:sz w:val="20"/>
        </w:rPr>
        <w:t>We contract with third parties for the manufacture of materials for our research programs, preclinical studies, clinical trials, and for commercialization of any product candidates that we may develop. Additionally, GSK, and other potential partners, currently have or may in the future have certain product manufacturing rights under their respective agreements.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We currently rely on CDMOs for the manufacture of our materials for research, preclinical studies and clinical trials and expect to continue to do so for research, preclinical studies, clinical trials, and for commercial supply of any product candidates that we may develop. We currently have established relationships with several CDMOs for the manufacture of each of our product candidates. We may be unable to establish any further agreements with CDMOs or to do so on acceptable terms. Even if we are able to establish agreements with third-party manufacturers, reliance on CDMOs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site closure or other change by the third party that would require adjustments to our production processes, location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CDMOs or collaboration partners,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third-party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any product candidates we may develop may adversely affect our future profit margins and our ability to commercialize any medicines that receive marketing approval on a timely and competitive basis.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CDMO partners on which we rely, depend on third-party suppliers for key raw materials used in our manufacturing processes, and the loss of these third-party suppliers or their inability to supply us with adequate raw materials,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CDMO partners on which we rely depend on third-party suppliers for the supply of the raw materials required for the production of our product candidates, and we expect to continue to depend on third-party manufacturers for the commercial supply of any of our product candidates for which we obtain marketing approval. Their dependence on these third-party suppliers and the challenges faced in obtaining adequate supplies of raw materials involve several risks, including supply chain issues caused by the effects of worldwide economic conditions, including pandemics and other public health outbreaks, national security concerns, export or import restrictions, trade tariffs, or other geopolitical events, limited control over pricing, the availability of such materials, the quality of such materials, and delivery schedules. To the extent our business relies on customers, vendors, or suppliers in countries where the U.S. government has imposed any of these or other trade restrictions, our business may experience a material adverse effect. As a small company, our negotiation leverage is limited, and we are likely to get lower priority than our competitors who are larger than we are. We do not have long-term supply agreements, and we purchase our required drug product on a development manufacturing services agreement or purchase order basis. We cannot be certain that suppliers will continue to provide the quantities of these raw materials that are required or satisfy the anticipated specifications and quality requirements. Any supply interruption in limited or sole sourced raw materials, including those caused by the effects of worldwide economic conditions including pandemics and other public health outbreaks, geopolitical events, export or import restrictions, or trade tariffs, could materially harm our ability to manufacture our product candidates until a new source of supply, if any, can be identified and qualified. In such an event, we may be unable to find a sufficient alternative supply channel in a reasonable time or on commercially reasonable terms. Any performance failure on the part of the suppliers could delay the development and potential commercialization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including limiting supplies necessary for clinical trials and regulatory approvals,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our competitors could develop and commercialize products similar or identical to ours, and our ability to successfully commercialize any product candidates we may develop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proprietary product candidates and other technologies we may develop. We seek to protect our proprietary position by filing patent applications in the United States and abroad relating to our core programs and product candidates, as well as other technologies that are important to our business. As our product candidates enter and progress through clinical development, we continue to pursue intellectual property protection with respect to certain aspects of those product candidates. For example, we have filed or intend to file patent applications on aspects of our technology and core product candidates; however, there can be no assurance that any such patent applications will issue as granted patents. Furthermore, in cases in which we have only filed provisional patent applications on certain aspects of our technology and product candidates, each of those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core programs and product candidates, as well as other technologies that are important to our business, and instead may need to rely on filing patent applications with claims covering a method of use and/or method of manufacture for protection of such core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Moreover, if we decide to abandon certain patent applications or cease maintaining issued patents relating to programs or product candidates that are no longer important to our business, there is a risk that our interest in such programs or product candidates may resume at a future time, e.g., due to new information available to us or in the field, and our intellectual property rights with respect to those programs or product candidates may be weakened due to the abandonment of or failure to maintain such patent applications and patents, respectively. Any failure to obtain or maintain patent protection with respect to our core programs and product candidates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patent applications, or those of our collaborators, do not issue as patents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or those of our collaborators with respect to our product candidates. With respect to both our intellectual property and that of our collaborators related to our product candidates, we cannot predict whether the patent applications we and our collaborators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or our collaborators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CDMOs,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collaborators were first to file for patent protection of such inventions.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or our collaborators’ pending and future patent applications may not result in patents being issued which protect our product candidates or other technologies or which effectively prevent others from commercializing competitive technologies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or our collaborators license or own currently or in the future issue as patents, they may not issue in a form that will provide us with any meaningful protection, prevent competitors or other third parties from competing with us, or otherwise provide us with any competitive advantage. Any patents to which we or our collaborators have rights may be challenged, narrowed, circumvented, or invalidated by third parties. Consequently, we do not know whether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or our collaborators may be subject to a third-party pre-issuance submission of prior art to the United States Patent and Trademark Office (USPTO) or foreign patent offices or become involved in opposition, derivation,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inventorship dispute, or interference proceedings or other similar proceedings challenging our or our collaborators’ patent rights. An adverse determination in any such submission, proceeding, or litigation could reduce the scope of, or invalidate or render unenforceable, such patent rights, allow third parties to commercialize our product candidates or other technologies and compete directly with us, without payment to us. Moreover, we, or any one of our collaborators, may have to participate in post-grant challenge proceedings, such as oppositions in a foreign patent office, in which a third party challenges the features of patentability with respect to our or our collaborators’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for our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inventorship dispute, we may be required to obtain and maintain licenses from third parties.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rights to exclude others for a sufficient period of time from commercializing products similar or identical to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patents and patent applications may be co-owned with third parties. In addition, collaborators or future licensors may co-own their patents and patent applications with other third parties with whom we do not have a direct relationship. Our rights to certain of these patents and patent applications may be dependent, in part, on inter-institutional or other operating agreements between the joint owners of such patents and patent applications, who are not parties to our license agreements. If our collaborators or future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to the extent such products and technology are not also covered by our intellectual property.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rights to develop and commercialize are subject, in part, to the terms and conditions of agreements with others, including terms and conditions regarding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certain patent rights and proprietary technology from third parties that are important or necessary to the development of our product candidates, and development and commercialization of our product candidates are subject to the terms and conditions of certain collaboration agreements with third parties. For example, in 2014 we entered into the Adimab Collaboration Agreement, from which nivisnebart arose. In July 2021, we entered into the GSK Agreement to collaborate on the global development and commercialization of the progranulin-elevating monoclonal antibodies, latozinemab and nivisnebart.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agreements with Adimab, GSK, and other agreements we enter into in the future may not provide exclusive rights to use certain intellectual property and technology retained by the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subject to the terms of any such agreements, we may not have the right to control the preparation, filing, prosecution, and maintenance, and we may not have the right to control the enforcement and defense of certain patents and patent applications relating to or affecting our development candidates. For example, the GSK Agreement provides GSK with certain rights with respect to preparation, filing, prosecution, maintenance, enforcement, and defense of certain patents and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patents and patent applications as to which preparation, filing, prosecution, maintenance, enforcement, or defense are controlled by our collaborators will be prepared, filed, prosecuted, maintained, enforced, and defended in a manner consistent with the best interests of our business. If our collaborators fail to prosecute, maintain, enforce, and defend such patents, or lose rights to those patents or patent applications, our rights to such patents may be reduced or eliminated, our right to develop and commercialize any of our product candidates that are the subject of such rights could be adversely affected, and we may have a reduced ability to prevent competitors from making, using, and selling competing products. In addition, even where we have the right to control prosecution of patent applications we have licensed to and from collaborators, we may still be adversely affected or prejudiced by actions or inactions of our collaborators that took place prior to the date upon which we assumed control of patent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or our collaborators’ patents may be subject to a reservation of rights by one or more third parties. For example, we received an award from the National Institute of Health in support of our research into the production and characterization of novel therapeutic antibodies against the neurotrophic factor PGRN degrading receptor SORT1, which led to the development of latozinemab and nivisnebart. As a result,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for public use under federal regulations, or to give preference to U.S. industry. In addition, our rights in such inventions may be subject to certain requirements to manufacture products embodying such inventions in facilities in the United States in certain circumstances and if the U.S. government does not waive this requirement. Any exercise by the U.S. government of its rights, including denial of a request for a waiver of the above requirements to manufacture certain products in facilities in the United States, or by any third party of its reserved rights, could have a material adverse effect on our competitive position, business, financial condition, results of operations, and prospects, including our plans and timing for potential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government may implement new policies and guidelines that impose certain risks on our intellectual property. On July 28, 2023, President Biden issued an Executive Order that emphasized a preference for domestic manufacturing for subject inventions under the Bayh Dole Act (Bayh Dole). On December 7, 2023, the National Institutes of Science and Technology (NIST) published a draft framework for expanding the use of the government’s march-in rights under Bayh Dole. In August 2025, the U.S. Department of Commerce under the Trump administration initiated a comprehensive review of Harvard University’s federally funded research programs and expressly reserved the government’s right to exercise its march-in authority with respect to Harvard’s patent portfolio. If the U.S. government exercises its march-in rights for any of our subject inventions under its policy, this action could have a material adverse effect on our competitive position, business, financial condition, results of operations, and prospects, including our plans and timing for potential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in the agreements under which we option or license intellectual property rights from our collaborators or future licensors or otherwise experience disruptions to our business relationships with our collaborators or future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agreements with our collaborators to option or license certain intellectual property and may need to obtain additional intellectual property rights from others to advance our research or allow commercialization of product candidates we may develop. It is possible that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each of our agreements with collaborators do, and we expect our future agreements will, impose various economic, development, diligence, commercialization, and other obligations on us. Certain of our collaboration agreements also require us to meet development timelines, or to exercise commercially reasonable efforts to develop and commercialize licensed products. In spite of our efforts, our collaborators might conclude that we have materially breached our obligations under such agreements and might therefore terminate or seek damages under the agreements, thereby removing or limiting our ability to develop and commercialize products and technology covered by these agreements. If termination of these agreements causes us to lose the rights to certain patents or other intellectual property, or if the underlying patents fail to provide the intended exclusivity,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agreement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collaborators and us and our other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agreements under which we currently have rights to option or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our current arrangements on commercially acceptable terms, we may be unable to successfully develop and commercialize the affected product candidates, which could have a material adverse effect on our business, financial conditions,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our product candidates and other technologies in all countries throughout the world would be prohibitively expensive, and the laws of foreign countries may not protect our rights to the same extent as the laws of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Consequently, we may not be able to prevent third parties from practicing our inventions in all countries outside the United States, or from selling or importing products made using our inventions in or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counterclaims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our collaborators, or any of our future licensors is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the USPTO and various government patent agencies outside of the United States over the lifetime of our owned or licensed patents and applications. In certain circumstances, we rely on our collaborators or licensing partners to pay these fees due to U.S. and non-U.S. patent agencies. The USPTO and various non-U.S. government agencies require compliance with several procedural, documentary, fee payment, and other similar provisions during the patent application process. We also are dependent on our collaborators or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conflict between Russia and Ukraine, including the sanctions targeting Russia, could interfere with filing of patent applications, prosecution of applications, and maintenance of issued patents in Russia, Ukraine, and via the Eurasian Patent Office. For example, the conflict and sanctions could interfere with payment of filing fees, extension fees, and annuities. The conflict and sanctions could also interfere with enforcement or defense of patents issued in Russia, Ukraine, and via the Eurasian Patent Office. Similarly, the ongoing conflicts in the Middle East could interfere with our ability to prosecute, maintain, enforce and defend patents in Israel. These conflicts and associated sanctions could therefore increase the uncertainties and costs surrounding the prosecution of our patent applications and the enforcement or defense of any future issued patents, all of which could have a material adverse effect on our business, financial condition, results of operations, and prospects.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U.S. patent law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example, under the Leahy-Smith America Invents Act (the America Invents Act), the first inventor to file a patent application in the United States is entitled to the patent on an invention regardless of whether another party was the first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 the claimed invention. Therefore, a third party that filed a patent application in the USPTO after March 2013, but before us, could be awarded a patent covering an invention of ours even if we had made the invention before it was made by such third party. This possibility requires us to be cognizant of the time from invention to the time of filing a patent application. Because patent applications in the United States and most other countries are confidential for a period of time after filing or until issuance, we cannot be certain that we were the first to file any patent application related to our product candidates or other technologies.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procedures at the USPTO under the America Invents Act could affect the way patent applications are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presented in a district court action. Accordingly, a third party may attempt to use the USPTO procedures to invalidate our patent claims that would not have been invalidated if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pharmaceuticals are particularly uncertain. Rulings from the U.S. Supreme Court and the U.S. Court of Appeals for the Federal Circuit have narrowed the scope of patent protection available in certain circumstances and weakened the rights of patent owners in certain situations. Certain rulings, for example, have applied the enablement and written description requirements to limit the scope of claims covering antibodies and other inventions relating to biologic therapeutics. These rulings have created uncertainty with respect to the validity and enforceability of patents, once obtained, for example, with respect to written description and enablement requirements.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covering our product candidates and other technologies could be found invalid or unenforceable if challenged in court or before administrative bodies in the United States or abroad.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we initiated legal proceedings against a third party to enforce a patent covering our product candidates or other technologies,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patents before administrative bodies in the United States or abroad, even outside the context of litigation. Such mechanisms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derivation proceedings, and equivalent proceedings in foreign jurisdictions (e.g., opposition proceedings). Such proceedings could result in the revocation of, cancellation of, or amendment to our patents in such a way that they no longer cover our product candidates or other technologies.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or other technologies. Such a loss of patent protection would have a material adverse impact on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Protection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or were involved in developing our product candidates or other technologies. Litigation may be necessary to defend against these and other claims challenging inventorship or ownership of our patents, trade secrets, or other intellectual property. If the defense of any such claims fails,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product candidates and other technologies, we also rely on trade secrets and confidentiality agreements to protect our unpatented know-how, technology, and other proprietary information and to maintain our competitive position. We consider trade secrets and know-how to be one of our primary sources of intellectual property.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and academic collaborators, outside scientific collaborators, CROs, CDMOs,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FDA’s policy to release in “real time” newly issued Complete Response Letters associated with withdrawn or abandoned applications for approval of drug or biological products, if applicable to any of our product candidates, could materially impact our intellectual property by publicly disclosing our trade secrets or other confidential information in the absence of an opportunity to redact or otherwise protect such information contained in such applications.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obtaining, through acquisitions or otherwise, necessary rights to our product candidates or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pharmaceutical companies, biotechnology companies, and academic institutions that are competing with us in the field of neurodegeneration therapy may have patents and have filed and are likely filing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technologies for use with future product candidates. In addition, with respect to any patents we co-own with third parties, we may wish to obtain licenses to such co-owners’ interest to such patents. However, we may be unable to secure such licenses or otherwise acquire any rights to compositions, methods of use, processes, or other intellectual property rights from third parties that we identify as necessary for our future product candidates.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field of discovering treatments for neurodegenerative diseases is highly competitive and dynamic. Due to the focused research and development that is taking place by various companies, including us and our competitors, in this field, the intellectual property landscape is in flux, and it may remain uncertain in the future. As such, there may be significant intellectual property related litigation and proceedings relating to our, and other third party, intellectual property and proprietary rights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and our collaborators’ ability to develop, manufacture, market, and sell any product candidates that we develop and to use our proprietary technologies without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and we may become subject to, or threatened with, such actions in the future, regardless of their merit. In addition, we may undertake costly administrative proceedings for challenging third party patents, including post-grant, derivation, and reexamination proceedings before the USPTO or oppositions and other comparable proceedings in foreign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in the fields in which we are developing our product candidates. As the biotechnology and pharmaceutical industries expand and more patents are issued, the risk increases that our product candidates and other technologies may give rise to claims of infringement of the patent rights of others. We cannot be assured that our product candidates and other technologies that we have developed, are developing, or may develop in the future will not infringe existing or future patents owned by third parties. There may be third party patent applications that may issue or patents that have already issued and that a third party, for example, a competitor in the fields in which we are developing product candidates and other technologies, might assert are infringed by our current or future product candidates or other technologies, including claims to compositions, formulations, methods of manufacture or methods of use or treatment that cover our product candidates or other technologies. It is also possible that patents owned by third parties of which we are aware, but which we do not believe are relevant to our product candidates or other technologies, could be found to be infringed by our product candidates or other technologies. In addition, because patent applications can take many years to issue, there may be currently pending patent applications that may later result in issued patents that our product candidates or other technologies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product candidates or other technologies infringes upon these patents. 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our product candidates or other technologies. In this case, the holders of such patents may be able to block our ability to manufacture or commercialize the applicable product candidate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our product candidates or other technologies, or such commercialization efforts may be significantly delayed, which could in turn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our infringing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In that event, we would be unable to further develop and commercialize our product candidates or other technologies, which could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or to defend against allegations of patent infringement,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In addition, our patents or the patents of our licensing partners also may become involved in inventorship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under 35 U.S.C. §271(e)(1), or may refuse to stop the other party from using the technology at issue on the grounds that our patents do not cover the technology in question and are therefore not infringed.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license or may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licensors or collaborators, might not have been the first to invent the claimed inventions covered by the issued patents or pending patent applications that we license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leadership, including our Chief Executive Officer, Dr. Arnon Rosenthal. The loss of the services provided by any of our executive officers, other key employees, and other scientific and medical advisors, and our inability to either find suitable replacements in the event of such loss or to attract senior management personnel to fill open positions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at our facility in South San Francisco, California, a region that is headquarters to many other biotechnology companies as well as many academic and research institutions, which may limit our ability to hire competitively and retain highly qualified personnel from or outside of our region.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and will continue to provide restricted stock units, stock option grants, and/or other equity awards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retain,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effectively manage the size and capabilities of our 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near-term financial performance and development plans also require that we manage our personnel, and in each of 2024 and 2025 we committed to plans to reduce our workforce to better align our resources with our strategic priorities. We initiated a reduction in force in October 2025 that impacted approximately 47% of our workforce. Total incremental restructuring charges associated with the reduction in force are approximately $7.0 million, consisting primarily of severance and related termination benefits. Cash payments related to these expenses will be paid out during the first half of 2026. We previously initiated reductions in force effective March 2025 and effective November 2024.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future reductions in or restructurings of our workforce may generate severance and other costs that may cause our business and operating results to suffer. Future reductions in force or restructuring of our workforce may occur as a result of market downturns, uncertainty in capital markets, or other macroeconomic changes, or may occur if we are unable to obtain additional capital to develop our product candidates or fund operations or if our future clinical trials are not successful. Future reductions in force may require the company to manage significant personnel and operational changes, which may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contractors, advisors, and consultants to provide certain services. There can be no assurance that the services of these independent contractors, advisors, and consultants will continue to be available to us on a timely basis when needed, or that we can find qualified replacements. In addition, if we are unable to effectively manage our outsourced activities or if the quality or accuracy of the services provided is compromised for any reason, our research, preclinical development and clinical trials may be negatively impacted, and we may not be able to advance our programs or obtain regulatory approval of or successfully commercialize our product candidates or otherwise advance our business. There can be no assurance that we will be able to manage our existing independent contractors, advisors or consultants or find other competent outside contractors and consultants on economically reasonable terms,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manage our organization by retaining key employees, consultants and contractors, we may not be able to successfully implement the tasks necessary to further our research and preclinical development activities. Moreover, clinical trials may be negatively impacted, and we may not be able to obtain regulatory approval of or successfully commercialize our product candidates. Accordingly, we may not achieve our research, development, and commercialization goals.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engaged in strategic collaborations and may in the future engage in acquisitions, collaborations, or strategic partnerships, which may increase our capital requirements, dilute our stockholders, cause us to incur additional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strategic collaborations in the past, such as our strategic collaborations with GSK, and previously, AbbVie, and 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with respect to the financial reporting related to such arrangements, such as our expected variability in the recognition of revenue each quarter from the GSK Agreement based on the percentage-of-completion basis under the applicable accounting rules;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goodwill impairment resulting from such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by our partners,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our management’s attention from our existing product programs and initiatives in pursuing such an acquisition, collaboration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of 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regulatory approvals, that may impact their ability to fulfill their obligations under such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that the other party to such a transaction may exercise its rights under the applicable agreement in a way that negatively impacts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or partnered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issue dilutive securities, assume or incur debt obligations, incur large one-time expenses, and acquire intangible assets that could result in significant future amortization expense.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experienced cyberattacks in the past, and our internal computer systems, and those used by third parties with which we engage, such as research institution collaborators, clinical trial sites, and CROs or other vendors, contractors or consultants, may fail or suffer other breakdowns, outages, cyberattacks, information security breaches or releases or loss of sensitive data that could compromise the confidentiality, integrity, and availability of such systems and data, result in material disruptions of our research or development programs and business operations, risk disclosure of confidential, financial, or proprietary information, and affect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cyberattacks in the past that have not had a material effect on our business operations, and we face the risk of future cyberattacks that may or may not have a material effect. Despite the implementation of security measures, our internal computer systems and those of third parties with which we engage, such as research institution collaborators, clinical trial sites, and CROs and other vendors, contractors and consultants, may be vulnerable to damage, interruption, or other disruption from various causes, including computer viruses and other malicious code, and may be vulnerable to unauthorized access. Likewise, data privacy or security breaches or incidents, or breaches or other incidents undertaken or otherwise caused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As the cyber-threat landscape evolves, especially as certain of our employees have engaged in remote or hybrid work and bad actors use AI to automat attacks, these attacks are growing in frequency, sophistication, and intensity, and are becoming increasingly difficult to detect, mitigate, and defend against.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During times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 and other conflicts, we and our business counterparties, including third parties upon which we rely, may be vulnerable to a heightened risk of these attacks. Such attacks might involve the use of sophisticated malware, including ransomware or various types of service denial tactics. They can be initiated through harmful websites or by leveraging phishing strategies, social engineering tactics, or credential stuffing. This might also include brute force attacks, along with other contemporary malicious methods which are always changing.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breakdown, cyberattack, or other information security breach or incident occurs, it could cause damage to or interruptions or other disruptions in our operations or those of third parties, with which we engage, and could result in damage to, the loss or unavailability of, or misappropriation or other unauthorized use or processing of, sensitive data, including personal information and confidential information, such as our intellectual property or financial information, and a material disruption of our research and development programs and our business operations. For example, the loss or unavailability of, or damage to, clinical trial data from completed, ongoing, or future clinical trials could result in delays in our regulatory approval efforts and significantly increase our costs to recover or reproduce the data. Likewise, we rely on third-party research institution collaborators, clinical trial sites, and CROs and other vendors, consultants and contractors for research and development of our product candidates, and we rely on other third parties, such as CDMOs and CROs, to manufacture our product candidates and to conduct clinical trials, respectively. Supply-chain attacks against third-party actors like these have increased in frequency and severity, and we cannot guarantee that third-party infrastructure in our supply chain or our third-party partners’ supply chains have not been compromised. Cyberattacks, security breaches and incidents, and disruptions, interruptions, and similar events relating to their computer systems and operations could also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business counterparties, including third parties on which we rely, may be unable to anticipate or prevent outages or to anticipate or prevent techniques used to obtain unauthorized access to or to compromise our or our business counterparties’ systems because such techniques change frequently and are generally not detected until after an incident has occurred. We may be unable to anticipate or prevent any breakdowns or other outages due to a failure of software, software updates or other events that may cause disruptions to our systems or data. There can be no assurance that we and our business counterparties will be successful in efforts to detect, prevent, or fully recover systems or data from all breakdowns, service interruptions or other disruptions, attacks, or compromises of, or security breaches or incidents impacting, systems that could adversely affect our business and operations and/or result in the loss or unavailability of, or damage to, critical or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disruption or security breach or incident resulting in loss or unavailability of, or damage to, our data or systems, or those of third parties on which we rely, or inappropriate use, disclosure, or modification of personal, sensitive, confidential or proprietary information, could result in our being subject to claims, demands, and litigation, investigations and other regulatory proceedings, and fines and other liabilities, as well as in delays to further development and commercialization of our product candidates. While we have invested, and continue to invest, in the protection of our data and information technology infrastructure, there can be no assurance that our efforts will prevent service disruptions, or prevent or identify vulnerabilities or security breaches or incidents, that could adversely affect our business and operations or result in the loss, unavailability, or corruption of, or inappropriate access to or use of, confidential, personal, or other sensitive information or company resources. Any such interruptions, breaches or incidents, or the perception that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sz w:val="20"/>
        </w:rPr>
      </w:pPr>
      <w:r>
        <w:rPr>
          <w:rFonts w:ascii="Times New Roman" w:hAnsi="Times New Roman"/>
          <w:b/>
          <w:i/>
          <w:color w:val="000000"/>
          <w:sz w:val="20"/>
        </w:rPr>
        <w:t>The use of new and evolving technologies, such as AI, in our operations may require us to expend resources and may present risks and challenges that can impact our business, including by posing security and other risks to our proprietary and personal information, any of which may result in reputational harm and liability, or otherwise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integrate AI into our operations, and this innovation presents risks and challenges that could affect its adoption, and therefore our business. Although AI has the potential to help advance our business, there are risks involved in utilizing AI, and no assurance can be provided that the use of AI will enhance our business or assist our business in becoming more efficient or profitable. The use of certain AI technology can give rise to intellectual property risks, including compromises to proprietary intellectual property and intellectual property infringement and misappropriation. Other known risks of AI currently include inaccuracy, bias, toxicity, data privacy and cybersecurity issues, and data provenance disputes.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AI may have errors or inadequacies that are not easily detectable. AI may also be subject to data herding and interconnectedness (i.e., multiple market participants utilizing the same data).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expect to see increasing government and supranational regulation related to AI use, which may also significantly increase the burden and cost of research, development and compliance in this area. For example, the EU’s Artificial Intelligence Act (AI Act), which imposes significant obligations on providers and deployers of AI systems, entered into force on August 1, 2024 and, with some exceptions, will become effective 24 months thereafter. The rapid evolution of AI will require the expenditure of resources to design, develop, test and/or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Our use of AI applications may also, in the future, result in cybersecurity incidents that implicate personal data. Any such cybersecurity incidents related to our use of AI applications could adversely affect our reputation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collaborators or other third-party service providers may also incorporate AI tools into their own offerings, and the providers of those AI tools may not meet existing or rapidly evolving regulatory or industry standards, including with respect to intellectual property, data privacy, and cybersecurity.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or otherwise adversely impact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including as a result of geopolitical events,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collaborators, CROs, CDMOs, suppliers, and other contractors and consultants, could be subject to events beyond our control, such as pandemics or the spread of disease, earthquakes, power shortages, telecommunications failures, software outages or other system failures, water shortages, floods, hurricanes, typhoons, fires, extreme weather conditions, medical epidemics, pandemics, regional health issues, geopolitical events, including the ongoing conflicts between Russia and Ukraine and in the Middle East, and other natural or man-made disasters or business interruptions, for which we are either totally or partly uninsured. In addition, we rely on our third-party research institution collaborators for conducting research and development of our product candidates, and they may be affected by government shutdowns or withdrawn funding. We rely on third-party manufacturers to produce and process our product candidates. Our ability to obtain supplies of our product candidates could be disrupted if the operations of these suppliers are affected by a man-made or natural disaster, geopolitical events, global pandemics, or other business interruption. The occurrence of any of these business disruptions could seriously harm our operations and financial condition and increase our costs and expenses. Moreover, if there is a significant pandemic or public health outbreak that poses a threat to our ability to conduct our business operations as planned, there can be no assurance that we will be able to avoid a material impact on our business from the pandemic or its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operations including our corporate headquarters are located in a facility in South San Francisco, California. Damage or extended periods of interruption to our corporate, development, or research facilities due to fire, natural disaster, global pandemics, power loss, communications failure, unauthorized entry, earthquakes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CDMOs and clinical trial sites, for example,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recession, inflation, or political instability in non-U.S.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and changing regulatory requirements in non-U.S.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shipping of biologics/drugs;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trade tariffs,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consequences from changes in tax laws; (including the provisions of the federal tax legislation titled the Inflation Reduction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UK Bribery Act,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including earthquakes, typhoons, floods, droughts, extreme temperatures, and fires.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ability to attain profitable operations. Further, there is currently significant uncertainty about the current presidential administration’s policies and priorities, which could affect future relationships between the United States and various other countries, most significantly China, the European Union, and other trading partners, with respect to trade policies, treaties, tariffs, taxes, and other limitations on cross-border operations. For example, the National Defense Authorization Act of 2026, which includes Section 851 regarding the prohibition on contracting with certain biotechnology providers (“the BIOSECURE Act”), may ultimately limit certain U.S. biotechnology companies from using equipment or services produced or provided by Chinese biotechnology companies or their affiliates that meet the designation criteria of the new law. Moreover, both the United States and China have implemented significant trade tariffs against each other’s imports. Separately, a Department of Justice rule effective in April 2025, along with subsequent action by the FDA, prohibits or restricts transfer of sensitive personal data, including health data, biometric data, and human genomic data, and patient biological materials to China and other “countries of concern” in the interests of national security. As a result of these and other laws and regulations or the impact on trade relations between the United States and China or other countries, our business may be seriously harmed if we are unable to obtain or use services or products from existing service providers, including those of contract development and manufacturing organizations, or if alternative service providers cannot be secured at an acceptable cost or at all. Likewise, if foreign policy measures, such as those described above, cause broader disruption in drug manufacturing and related industries that impact drug development, clinical trials, and drug product availability or pricing, then our business, liquidity, financial condition, and/or results of operations would be materially and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federal and state net operating loss (NOL) carryforwards of approximately $375.6 million and $419.1 million, respectively. Federal NOL carryforwards have an indefinite life but cannot offset more than 80% of taxable income. Pursuant to Internal Revenue Code Sections 382 and 383, annual use of the Company’s net operating loss and research and development credit carryforwards may be limited in the event that a cumulative change in ownership of more than 50% occurs within a three-year period. We may have experienced such an ownership change in the past, and may also experience ownership changes in the future as a result of subsequent shifts in our stock ownership, some of which are outside our control. As a result, our ability to use our pre-change NOL carryforwards and other pre-change tax attributes to offset post-change taxable income or taxes may be subject to limitation. Additionally, California has recently enacted a temporary suspension on the use of state NOL carryforwards in the taxable years beginning in 2024, 2025, and 2026, which would adversely affect our company if we earn taxable income in the impacted taxable years. Our NOL carryforwards may also be subject to other state tax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tax laws or in their implementation or interpretation may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(TCJA) went into effect that eliminates the option to deduct domestic research and development costs in the year incurred and instead requires taxpayers to amortize such costs over five years for domestic costs and 15 years for foreign costs. The OBBBA, which was enacted on July 4, 2025, made a number of changes to U.S. federal income tax law, including permanently suspending the requirement to capitalize and amortize domestic research and development costs and permitting such deductions on a current basis. The Company is currently assessing the impact of this new legislation, but does not anticipate it will have a material impact on the results of operations. Changes in tax laws, regulations, or rulings, changes in interpretations of existing laws and regulations, or changes in accounting principles could negatively or materially affect our financial position, cash flows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stock may continue to be volatile, which could result in substantial losses for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common stock is listed on The Nasdaq Global Select Market, the market for our shares has demonstrated varying levels of trading activity. The trading price of our common stock has been and may continue to be highly volatile and could be subject to wide fluctuations in response to various factors, some of which are beyond our control.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Some of the factors that may cause the market price of our common stock to fluctuate or decline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development and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achieve development, regulatory, or commercialization milestones under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development and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clinical development programs, or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our insiders, or other stockholders, such as if we use our at-the-market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industry, and market conditions, including a rising rate of inflation, a period of economic recession, or increased international conflict;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such as inflationary concerns,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one or more of the analysts covering our business cease to cover us or downgrade their evaluations of our stock or if we fail to meet their operating results estimates for us,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substantial amounts of our common stock in the public markets, or the perception that such sales might occur,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holders of shares of our common stock may, in the future, have rights that may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the Nasdaq Stock Market, it could result in our common stock being delisted, which could adversely affect the market price and liquidity of our securities and could have other adverse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currently listed for trading on The Nasdaq Global Select Market. We must satisfy Nasdaq’s continued listing requirements, including a minimum bid price for our common stock of $1.00 per share. Given the current market environment and despite our cash position, our common stock has traded for less than $1.00 per share during the second quarter of 2025, and our aggregate market capitalization over the last several quarters has valued below the total value of our cash, cash equivalents, and investments. If we do not meet these requirements, we risk possible delisting from Nasdaq, which could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delisting could make it more difficult to buy or sell our securities and to obtain accurate quotations, and the price of our common stock could be adversely affected. In addition, a delisting would impair our ability to raise capital through the public markets, could deter broker-dealers from making a market in or otherwise seeking or generating interest in our securities, and might deter certain institutions and persons from investing in our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additional capital through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or debt securities, the ownership interest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will be diluted, and the terms may include liquidation or other preferences that adversely affect the rights of stockholders.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We have an omnibus shelf registration statement on Form S-3 with the SEC, which became effective on April 30, 2026, which permits us to issue up to $400 million in common stock, other equity securities and/or debt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7, 2023, we entered into an at-the-market sales agreement with TD Securities (USA) LLC (TD Securities, formerly known as Cowen and Company, LLC) pursuant to which we may offer and sell from time to time through TD Securities up to $125,000,000 of shares of our common stock (the Placement Shares), in such share amounts as we may specify by notice to TD Securities (the Sales Agreement). As of March 31, 2026, we have issued 7,110,162 shares and received approximately $20.0 million in net proceeds from the sale of securities pursuant to the Sales Agreement. The Sales Agreement includes a renewal provision pursuant to which we may file a new shelf registration statement relating to the Placement Shares. On January 17, 2024, we entered into an underwriting agreement with Cantor, pursuant to which we offered and sold 10,869,566 shares of the Company’s common stock at a price per share of $6.57 paid by Cantor.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on November 14, 2024, we entered into the Loan Agreement with Lenders and Hercules pursuant to which we may access up to two tranches of term loans in an aggregate principal amount of up to $50,000,000. The initial tranche of Term Loans provides for an aggregate principal amount of up to $25,000,000 through June 30, 2026, subject to the satisfaction of certain conditions. The second tranche of Term Loans provides for up to $25,000,000 and is available at the sole discretion of the Lenders. We borrowed $10,000,000 principal amount of the initial tranche of Term Loans on the closing date of the Loan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exercise significant influence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holders of more than 5% of our outstanding stock and their respective affiliates beneficially own 28.4% of our outstanding common stock as of May 1, 2026.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and will continue to incur significant additional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have hired, and expect that we will need to continue to hire, additional accounting, finance, and other personnel in connection with our being, and our efforts to comply with the requirements of being, a public company, and our management and other personnel have devoted and will continue to devote a substantial amount of time towards maintaining compliance with these requirements. These requirements have increased and will continue to increase our legal and financial compliance costs and will make some activities more time-consuming and costly. For example, we expect that the rules and regulations applicable to us as a public company may make it more difficult and more expensive for us to maintain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Sarbanes-Oxley Act Section 404(a), which require annual management assessments of the effectiveness of our internal control over financial reporting. Section 404(b) of the Sarbanes-Oxley Act also requires our independent auditors to attest to, and report on, this management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are subject to the 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has previously experienced historically high levels of inflation. If the inflation rate increases in the future, particularly due to trade tariffs imposed by the United States on global trade partners, it will affect our expenses, such as employee compensation and research and development charges. Even if the rate of inflation does not increase, past inflation may still affect our expenses, such as employee compensation and research and development charges. Research and development expenses account for a significant portion of our operating expenses. Such increased charges may not be readily recoverable during the period of time that we are bringing the product candidates to market. To the extent inflation results in rising interest rates and has other adverse effects on the market, it may adversely affect our consolidated financial condition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conditions and changing circumstances, some of which may be beyond our control,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maintained certain immaterial deposit accounts at the time,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expect to pay any dividends for the foreseeable future. Investors may never obtain a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We are also prohibited from declaring or paying any cash dividends under our Loan Agreement. As a result, investors seeking cash dividends should not purchase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bylaws may discourage, delay, or prevent a merger, acquisition, or other change in control that stockholders may consider favorable, including transactions in which you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Class I, Class II, and Class III,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Exchange Act or any other claim for which the U.S. federal courts have exclusive jurisdiction.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further provide that the federal district courts of the United States will be the exclusive forum for resolving any complaint asserting a cause of action arising under the Securities Act.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_2"/>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8" w:name="item_3"/>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9" w:name="item_4"/>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_5"/>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None.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None.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During our last fiscal quarter, no officer or director (as defined in Rule 16a-1(f) under the Exchange Act) adopted or terminated a “Rule 10b5-1 trading arrangement” or a "non-Rule 10b5-1 trading arrangement" (each as defined in Item 408 of Regulation S-K).</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6249"/>
        <w:gridCol w:w="443"/>
        <w:gridCol w:w="773"/>
        <w:gridCol w:w="578"/>
        <w:gridCol w:w="687"/>
        <w:gridCol w:w="715"/>
      </w:tblGrid>
      <w:tr>
        <w:trPr/>
        <w:tc>
          <w:tcPr>
            <w:tcW w:w="760" w:type="dxa"/>
            <w:tcBorders/>
            <w:vAlign w:val="center"/>
          </w:tcPr>
          <w:p>
            <w:pPr>
              <w:pStyle w:val="TableContents"/>
              <w:bidi w:val="0"/>
              <w:spacing w:before="0" w:after="283"/>
              <w:jc w:val="left"/>
              <w:rPr>
                <w:sz w:val="4"/>
                <w:szCs w:val="4"/>
              </w:rPr>
            </w:pPr>
            <w:r>
              <w:rPr>
                <w:sz w:val="4"/>
                <w:szCs w:val="4"/>
              </w:rPr>
            </w:r>
          </w:p>
        </w:tc>
        <w:tc>
          <w:tcPr>
            <w:tcW w:w="624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ind w:left="0" w:right="0" w:firstLine="22"/>
              <w:jc w:val="left"/>
              <w:rPr>
                <w:sz w:val="4"/>
                <w:szCs w:val="4"/>
              </w:rPr>
            </w:pPr>
            <w:r>
              <w:rPr>
                <w:sz w:val="4"/>
                <w:szCs w:val="4"/>
              </w:rPr>
            </w:r>
          </w:p>
        </w:tc>
      </w:tr>
      <w:tr>
        <w:trPr/>
        <w:tc>
          <w:tcPr>
            <w:tcW w:w="7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22"/>
              <w:jc w:val="left"/>
              <w:rPr>
                <w:sz w:val="4"/>
                <w:szCs w:val="4"/>
              </w:rPr>
            </w:pPr>
            <w:r>
              <w:rPr>
                <w:sz w:val="4"/>
                <w:szCs w:val="4"/>
              </w:rPr>
            </w:r>
          </w:p>
        </w:tc>
        <w:tc>
          <w:tcPr>
            <w:tcW w:w="624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22"/>
              <w:jc w:val="left"/>
              <w:rPr>
                <w:sz w:val="4"/>
                <w:szCs w:val="4"/>
              </w:rPr>
            </w:pPr>
            <w:r>
              <w:rPr>
                <w:sz w:val="4"/>
                <w:szCs w:val="4"/>
              </w:rPr>
            </w:r>
          </w:p>
        </w:tc>
        <w:tc>
          <w:tcPr>
            <w:tcW w:w="2481" w:type="dxa"/>
            <w:gridSpan w:val="4"/>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Incorporated by Reference</w:t>
            </w:r>
          </w:p>
        </w:tc>
        <w:tc>
          <w:tcPr>
            <w:tcW w:w="715"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22"/>
              <w:jc w:val="left"/>
              <w:rPr/>
            </w:pPr>
            <w:r>
              <w:rPr/>
              <w:t> </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8"/>
              <w:jc w:val="both"/>
              <w:rPr>
                <w:rFonts w:ascii="Times New Roman" w:hAnsi="Times New Roman"/>
                <w:b/>
                <w:color w:val="000000"/>
                <w:sz w:val="14"/>
              </w:rPr>
            </w:pPr>
            <w:r>
              <w:rPr>
                <w:rFonts w:ascii="Times New Roman" w:hAnsi="Times New Roman"/>
                <w:b/>
                <w:color w:val="000000"/>
                <w:sz w:val="14"/>
              </w:rPr>
              <w:t>Number</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Exhibit Title</w:t>
            </w:r>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Form</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File No.</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Exhibit</w:t>
            </w:r>
          </w:p>
        </w:tc>
        <w:tc>
          <w:tcPr>
            <w:tcW w:w="687"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b/>
                <w:color w:val="000000"/>
                <w:sz w:val="14"/>
              </w:rPr>
            </w:pPr>
            <w:r>
              <w:rPr>
                <w:rFonts w:ascii="Times New Roman" w:hAnsi="Times New Roman"/>
                <w:b/>
                <w:color w:val="000000"/>
                <w:sz w:val="14"/>
              </w:rPr>
              <w:t>Filing</w:t>
            </w:r>
          </w:p>
          <w:p>
            <w:pPr>
              <w:pStyle w:val="TableContents"/>
              <w:bidi w:val="0"/>
              <w:spacing w:before="66" w:after="283"/>
              <w:ind w:left="0" w:right="0" w:firstLine="22"/>
              <w:jc w:val="center"/>
              <w:rPr>
                <w:rFonts w:ascii="Times New Roman" w:hAnsi="Times New Roman"/>
                <w:b/>
                <w:color w:val="000000"/>
                <w:sz w:val="14"/>
              </w:rPr>
            </w:pPr>
            <w:r>
              <w:rPr>
                <w:rFonts w:ascii="Times New Roman" w:hAnsi="Times New Roman"/>
                <w:b/>
                <w:color w:val="000000"/>
                <w:sz w:val="14"/>
              </w:rPr>
              <w:t>Date</w:t>
            </w:r>
          </w:p>
        </w:tc>
        <w:tc>
          <w:tcPr>
            <w:tcW w:w="715"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b/>
                <w:color w:val="000000"/>
                <w:sz w:val="14"/>
              </w:rPr>
            </w:pPr>
            <w:r>
              <w:rPr>
                <w:rFonts w:ascii="Times New Roman" w:hAnsi="Times New Roman"/>
                <w:b/>
                <w:color w:val="000000"/>
                <w:sz w:val="14"/>
              </w:rPr>
              <w:t>Filed</w:t>
            </w:r>
          </w:p>
          <w:p>
            <w:pPr>
              <w:pStyle w:val="TableContents"/>
              <w:bidi w:val="0"/>
              <w:spacing w:before="66" w:after="283"/>
              <w:ind w:left="0" w:right="0" w:firstLine="22"/>
              <w:jc w:val="center"/>
              <w:rPr>
                <w:rFonts w:ascii="Times New Roman" w:hAnsi="Times New Roman"/>
                <w:b/>
                <w:color w:val="000000"/>
                <w:sz w:val="14"/>
              </w:rPr>
            </w:pPr>
            <w:r>
              <w:rPr>
                <w:rFonts w:ascii="Times New Roman" w:hAnsi="Times New Roman"/>
                <w:b/>
                <w:color w:val="000000"/>
                <w:sz w:val="14"/>
              </w:rPr>
              <w:t>Herewith</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3.1</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8-K</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001-38792</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3.1</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2/11/2019</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3.2</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r:id="rId3">
              <w:r>
                <w:rPr>
                  <w:rStyle w:val="InternetLink"/>
                  <w:rFonts w:ascii="Times New Roman" w:hAnsi="Times New Roman"/>
                  <w:color w:val="0000FF"/>
                  <w:sz w:val="20"/>
                  <w:u w:val="single"/>
                </w:rPr>
                <w:t>Amended and Restated Bylaws of the Registrant.</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8-K</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001-38792</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3.1</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6/15/2023</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31.1</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31.2</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32.1*</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32.2*</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101.INS</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101.SCH</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104</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XBRL Document Set.</w:t>
            </w:r>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t> </w:t>
      </w:r>
    </w:p>
    <w:tbl>
      <w:tblPr>
        <w:tblW w:w="6464" w:type="dxa"/>
        <w:jc w:val="left"/>
        <w:tblInd w:w="0" w:type="dxa"/>
        <w:tblLayout w:type="fixed"/>
        <w:tblCellMar>
          <w:top w:w="28" w:type="dxa"/>
          <w:left w:w="28" w:type="dxa"/>
          <w:bottom w:w="28" w:type="dxa"/>
          <w:right w:w="28" w:type="dxa"/>
        </w:tblCellMar>
      </w:tblPr>
      <w:tblGrid>
        <w:gridCol w:w="1636"/>
        <w:gridCol w:w="146"/>
        <w:gridCol w:w="466"/>
        <w:gridCol w:w="42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ALECTOR,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Arnon Rosenthal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Arnon Rosenthal,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Co-founder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Neil Berkley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Neil Berkley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Chief Business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Grace Wong-Sarad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Grace Wong-Sarad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Accounting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bookmarkStart w:id="23" w:name="alec-ex31_1.htm"/>
      <w:bookmarkStart w:id="24" w:name="ksalec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Arnon Rosenthal, certify that:</w:t>
      </w:r>
    </w:p>
    <w:tbl>
      <w:tblPr>
        <w:tblW w:w="10205" w:type="dxa"/>
        <w:jc w:val="left"/>
        <w:tblInd w:w="0" w:type="dxa"/>
        <w:tblLayout w:type="fixed"/>
        <w:tblCellMar>
          <w:top w:w="28" w:type="dxa"/>
          <w:left w:w="28" w:type="dxa"/>
          <w:bottom w:w="28" w:type="dxa"/>
          <w:right w:w="28" w:type="dxa"/>
        </w:tblCellMar>
      </w:tblPr>
      <w:tblGrid>
        <w:gridCol w:w="239"/>
        <w:gridCol w:w="302"/>
        <w:gridCol w:w="9664"/>
      </w:tblGrid>
      <w:tr>
        <w:trPr/>
        <w:tc>
          <w:tcPr>
            <w:tcW w:w="23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64" w:type="dxa"/>
            <w:tcBorders/>
            <w:vAlign w:val="center"/>
          </w:tcPr>
          <w:p>
            <w:pPr>
              <w:pStyle w:val="TableContents"/>
              <w:bidi w:val="0"/>
              <w:spacing w:before="0" w:after="283"/>
              <w:jc w:val="left"/>
              <w:rPr>
                <w:sz w:val="4"/>
                <w:szCs w:val="4"/>
              </w:rPr>
            </w:pPr>
            <w:r>
              <w:rPr>
                <w:sz w:val="4"/>
                <w:szCs w:val="4"/>
              </w:rPr>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1.</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Alector, Inc.;</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2.</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3.</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4.</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(a)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(c)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(d)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5.</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(a)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(b)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tbl>
      <w:tblPr>
        <w:tblW w:w="4524" w:type="dxa"/>
        <w:jc w:val="left"/>
        <w:tblInd w:w="0" w:type="dxa"/>
        <w:tblLayout w:type="fixed"/>
        <w:tblCellMar>
          <w:top w:w="28" w:type="dxa"/>
          <w:left w:w="28" w:type="dxa"/>
          <w:bottom w:w="28" w:type="dxa"/>
          <w:right w:w="28" w:type="dxa"/>
        </w:tblCellMar>
      </w:tblPr>
      <w:tblGrid>
        <w:gridCol w:w="1636"/>
        <w:gridCol w:w="146"/>
        <w:gridCol w:w="146"/>
        <w:gridCol w:w="259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25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Arnon Rosenthal</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Arnon Rosenthal,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lec-ex31_2.htm"/>
      <w:bookmarkStart w:id="26" w:name="ksalec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PURSUANT TO SECTION 302</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Neil Berkley, certify that:</w:t>
      </w:r>
    </w:p>
    <w:tbl>
      <w:tblPr>
        <w:tblW w:w="10205" w:type="dxa"/>
        <w:jc w:val="left"/>
        <w:tblInd w:w="0" w:type="dxa"/>
        <w:tblLayout w:type="fixed"/>
        <w:tblCellMar>
          <w:top w:w="28" w:type="dxa"/>
          <w:left w:w="28" w:type="dxa"/>
          <w:bottom w:w="28" w:type="dxa"/>
          <w:right w:w="28" w:type="dxa"/>
        </w:tblCellMar>
      </w:tblPr>
      <w:tblGrid>
        <w:gridCol w:w="239"/>
        <w:gridCol w:w="302"/>
        <w:gridCol w:w="9664"/>
      </w:tblGrid>
      <w:tr>
        <w:trPr/>
        <w:tc>
          <w:tcPr>
            <w:tcW w:w="23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64" w:type="dxa"/>
            <w:tcBorders/>
            <w:vAlign w:val="center"/>
          </w:tcPr>
          <w:p>
            <w:pPr>
              <w:pStyle w:val="TableContents"/>
              <w:bidi w:val="0"/>
              <w:spacing w:before="0" w:after="283"/>
              <w:jc w:val="left"/>
              <w:rPr>
                <w:sz w:val="4"/>
                <w:szCs w:val="4"/>
              </w:rPr>
            </w:pPr>
            <w:r>
              <w:rPr>
                <w:sz w:val="4"/>
                <w:szCs w:val="4"/>
              </w:rPr>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1.</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Alector, Inc.;</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2.</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3.</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4.</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(a)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(c)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(d)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5.</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(a)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(b)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tbl>
      <w:tblPr>
        <w:tblW w:w="6354" w:type="dxa"/>
        <w:jc w:val="left"/>
        <w:tblInd w:w="0" w:type="dxa"/>
        <w:tblLayout w:type="fixed"/>
        <w:tblCellMar>
          <w:top w:w="28" w:type="dxa"/>
          <w:left w:w="28" w:type="dxa"/>
          <w:bottom w:w="28" w:type="dxa"/>
          <w:right w:w="28" w:type="dxa"/>
        </w:tblCellMar>
      </w:tblPr>
      <w:tblGrid>
        <w:gridCol w:w="1636"/>
        <w:gridCol w:w="146"/>
        <w:gridCol w:w="146"/>
        <w:gridCol w:w="442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4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Neil Berkley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Neil Berkley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Chief Financial Officer and Chief Business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lec-ex32_1.htm"/>
      <w:bookmarkStart w:id="28" w:name="ksalec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Alector, Inc. (the “Company”) for the period ended March 31, 2026, as filed with the Securities and Exchange Commission on the date hereof (the “Report”), the undersigned officer of the Company certifies,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4862" w:type="dxa"/>
        <w:jc w:val="left"/>
        <w:tblInd w:w="0" w:type="dxa"/>
        <w:tblLayout w:type="fixed"/>
        <w:tblCellMar>
          <w:top w:w="28" w:type="dxa"/>
          <w:left w:w="28" w:type="dxa"/>
          <w:bottom w:w="28" w:type="dxa"/>
          <w:right w:w="28" w:type="dxa"/>
        </w:tblCellMar>
      </w:tblPr>
      <w:tblGrid>
        <w:gridCol w:w="1636"/>
        <w:gridCol w:w="109"/>
        <w:gridCol w:w="146"/>
        <w:gridCol w:w="29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Arnon Rosenthal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Arnon Rosenthal,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Chief Executive Officer</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9" w:name="alec-ex32_2.htm"/>
      <w:bookmarkStart w:id="30" w:name="ksalec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Alector, Inc. (the “Company”) for the period ended March 31, 2026, as filed with the Securities and Exchange Commission on the date hereof (the “Report”), the undersigned officer of the Company certifies,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6947" w:type="dxa"/>
        <w:jc w:val="left"/>
        <w:tblInd w:w="0" w:type="dxa"/>
        <w:tblLayout w:type="fixed"/>
        <w:tblCellMar>
          <w:top w:w="28" w:type="dxa"/>
          <w:left w:w="28" w:type="dxa"/>
          <w:bottom w:w="28" w:type="dxa"/>
          <w:right w:w="28" w:type="dxa"/>
        </w:tblCellMar>
      </w:tblPr>
      <w:tblGrid>
        <w:gridCol w:w="1636"/>
        <w:gridCol w:w="109"/>
        <w:gridCol w:w="146"/>
        <w:gridCol w:w="50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Neil Berkley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Neil Berkley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Chief Financial Officer and Chief Business Officer</w:t>
            </w:r>
          </w:p>
          <w:p>
            <w:pPr>
              <w:pStyle w:val="TableContents"/>
              <w:bidi w:val="0"/>
              <w:spacing w:before="0" w:after="283"/>
              <w:jc w:val="left"/>
              <w:rPr>
                <w:rFonts w:ascii="Times New Roman" w:hAnsi="Times New Roman"/>
                <w:sz w:val="22"/>
              </w:rPr>
            </w:pPr>
            <w:r>
              <w:rPr>
                <w:rFonts w:ascii="Times New Roman" w:hAnsi="Times New Roman"/>
                <w:b/>
                <w:color w:val="000000"/>
                <w:sz w:val="22"/>
              </w:rPr>
              <w:t>(Principal Financial Officer)</w:t>
            </w:r>
            <w:r>
              <w:rPr>
                <w:rFonts w:ascii="Times New Roman" w:hAnsi="Times New Roman"/>
                <w:color w:val="000000"/>
                <w:sz w:val="22"/>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53087/000119312519033930/d702882dex31.htm" TargetMode="External"/><Relationship Id="rId3" Type="http://schemas.openxmlformats.org/officeDocument/2006/relationships/hyperlink" Target="https://www.sec.gov/Archives/edgar/data/1653087/000119312523167891/d515127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55645</Words>
  <Characters>315353</Characters>
  <CharactersWithSpaces>370918</CharactersWithSpaces>
  <Paragraphs>3774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