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176530</wp:posOffset>
            </wp:positionH>
            <wp:positionV relativeFrom="paragraph">
              <wp:posOffset>213995</wp:posOffset>
            </wp:positionV>
            <wp:extent cx="6789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257175</wp:posOffset>
            </wp:positionV>
            <wp:extent cx="6789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ind w:left="280"/>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8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820" w:hanging="535"/>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820" w:hanging="535"/>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820" w:hanging="535"/>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820" w:hanging="535"/>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820" w:hanging="535"/>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192" w:lineRule="exact"/>
        <w:rPr>
          <w:sz w:val="24"/>
          <w:szCs w:val="24"/>
          <w:color w:val="auto"/>
        </w:rPr>
      </w:pPr>
    </w:p>
    <w:p>
      <w:pPr>
        <w:jc w:val="center"/>
        <w:ind w:right="-339"/>
        <w:spacing w:after="0"/>
        <w:rPr>
          <w:sz w:val="20"/>
          <w:szCs w:val="20"/>
          <w:color w:val="auto"/>
        </w:rPr>
      </w:pPr>
      <w:r>
        <w:rPr>
          <w:rFonts w:ascii="Arial" w:cs="Arial" w:eastAsia="Arial" w:hAnsi="Arial"/>
          <w:sz w:val="40"/>
          <w:szCs w:val="40"/>
          <w:b w:val="1"/>
          <w:bCs w:val="1"/>
          <w:color w:val="auto"/>
        </w:rPr>
        <w:t>ALECTOR, INC.</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820" w:hanging="535"/>
        <w:spacing w:after="0"/>
        <w:tabs>
          <w:tab w:leader="none" w:pos="8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820" w:hanging="535"/>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360" w:hanging="535"/>
        <w:spacing w:after="0" w:line="277"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535"/>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820" w:right="240" w:hanging="535"/>
        <w:spacing w:after="0" w:line="342" w:lineRule="auto"/>
        <w:tabs>
          <w:tab w:leader="none" w:pos="8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MS PGothic" w:cs="MS PGothic" w:eastAsia="MS PGothic" w:hAnsi="MS PGothic"/>
          <w:sz w:val="16"/>
          <w:szCs w:val="16"/>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360" w:hanging="535"/>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862330</wp:posOffset>
            </wp:positionH>
            <wp:positionV relativeFrom="paragraph">
              <wp:posOffset>-3568065</wp:posOffset>
            </wp:positionV>
            <wp:extent cx="6094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-3199130</wp:posOffset>
            </wp:positionV>
            <wp:extent cx="6094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-2693670</wp:posOffset>
            </wp:positionV>
            <wp:extent cx="6094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-2324735</wp:posOffset>
            </wp:positionV>
            <wp:extent cx="6094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-1956435</wp:posOffset>
            </wp:positionV>
            <wp:extent cx="6094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-876300</wp:posOffset>
            </wp:positionV>
            <wp:extent cx="6094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-507365</wp:posOffset>
            </wp:positionV>
            <wp:extent cx="6094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-139065</wp:posOffset>
            </wp:positionV>
            <wp:extent cx="6094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229235</wp:posOffset>
            </wp:positionV>
            <wp:extent cx="6094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408940</wp:posOffset>
            </wp:positionV>
            <wp:extent cx="6789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452120</wp:posOffset>
            </wp:positionV>
            <wp:extent cx="67894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ALECTOR,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131 OYSTER POINT BOULEVARD, SUITE 600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SOUTH SAN FRANCISCO, CA 94080</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To Be Held at 8:00 a.m. Pacific Time on Thursday, June 17,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 of Alector, Inc.:</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cordially invite you to attend the 2021 annual meeting of stockholders (the “Annual Meeting”) of Alector, Inc., a Delaware corporation, which will be held on Thursday, June 17, 2021 at 8:00 a.m. Pacific Time. The safety of our stockholders is important to us, and given the current guidance by public health officials surrounding COVID-19 and group gatherings, this year’s Annual Meeting will be held virtually, via live webcast at https://web.lumiagm.com/209804434 password: alector2021 (cap sensitive), originating from South San Francisco, CA. The Annual Meeting will be held for the following purposes, as more fully described in the accompanying proxy statement:</w:t>
      </w:r>
    </w:p>
    <w:p>
      <w:pPr>
        <w:spacing w:after="0" w:line="68" w:lineRule="exact"/>
        <w:rPr>
          <w:sz w:val="20"/>
          <w:szCs w:val="20"/>
          <w:color w:val="auto"/>
        </w:rPr>
      </w:pPr>
    </w:p>
    <w:p>
      <w:pPr>
        <w:ind w:left="300" w:hanging="184"/>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three Class III directors to serve until the 2024 annual meeting of stockholders and until their successors are duly elected and qualified;</w:t>
      </w:r>
    </w:p>
    <w:p>
      <w:pPr>
        <w:spacing w:after="0" w:line="248" w:lineRule="exact"/>
        <w:rPr>
          <w:rFonts w:ascii="Arial" w:cs="Arial" w:eastAsia="Arial" w:hAnsi="Arial"/>
          <w:sz w:val="16"/>
          <w:szCs w:val="16"/>
          <w:color w:val="auto"/>
        </w:rPr>
      </w:pPr>
    </w:p>
    <w:p>
      <w:pPr>
        <w:ind w:left="300" w:hanging="184"/>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2021;</w:t>
      </w:r>
    </w:p>
    <w:p>
      <w:pPr>
        <w:spacing w:after="0" w:line="248" w:lineRule="exact"/>
        <w:rPr>
          <w:rFonts w:ascii="Arial" w:cs="Arial" w:eastAsia="Arial" w:hAnsi="Arial"/>
          <w:sz w:val="16"/>
          <w:szCs w:val="16"/>
          <w:color w:val="auto"/>
        </w:rPr>
      </w:pPr>
    </w:p>
    <w:p>
      <w:pPr>
        <w:ind w:left="300" w:hanging="184"/>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to approve named executive officer compensation;</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on the frequency of future advisory votes on named executive officer compensation; and</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that may properly come before the Annual Meeting or any adjournments or postponements thereof.</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Board of Directors has fixed the close of business on April 20, 2021 as the record date for the Annual Meeting. Only stockholders of record on April 20, 2021 are entitled to notice of and to vote at the Annual Meeting. Further information regarding voting rights and the matters to be voted upon is presented in the accompanying proxy statement.</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or about April 28, 2021,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 The accompanying proxy statement and our annual report can be accessed directly at the following Internet address: http://www.astproxyportal.com/ast/22640. All you have to do is enter the control number located on your Notice or proxy card.</w:t>
      </w:r>
    </w:p>
    <w:p>
      <w:pPr>
        <w:spacing w:after="0" w:line="184"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appreciate your continued support of Alector,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Arnon Rosenthal, Ph.D.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Co-founder, Chief Executive Officer and Director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2021</w:t>
      </w:r>
    </w:p>
    <w:p>
      <w:pPr>
        <w:sectPr>
          <w:pgSz w:w="11900" w:h="16838" w:orient="portrait"/>
          <w:cols w:equalWidth="0" w:num="1">
            <w:col w:w="11000"/>
          </w:cols>
          <w:pgMar w:left="320" w:top="459"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40" w:type="dxa"/>
            <w:vAlign w:val="bottom"/>
            <w:gridSpan w:val="12"/>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QUESTIONS AND ANSWERS ABOUT THE PROXY MATERIALS AND THE ANNUAL</w:t>
              </w:r>
            </w:hyperlink>
          </w:p>
        </w:tc>
        <w:tc>
          <w:tcPr>
            <w:tcW w:w="3920" w:type="dxa"/>
            <w:vAlign w:val="bottom"/>
            <w:gridSpan w:val="4"/>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6740" w:type="dxa"/>
            <w:vAlign w:val="bottom"/>
            <w:tcBorders>
              <w:bottom w:val="single" w:sz="8" w:color="0000EE"/>
            </w:tcBorders>
            <w:gridSpan w:val="12"/>
            <w:vMerge w:val="continue"/>
          </w:tcPr>
          <w:p>
            <w:pPr>
              <w:spacing w:after="0"/>
              <w:rPr>
                <w:sz w:val="13"/>
                <w:szCs w:val="13"/>
                <w:color w:val="auto"/>
              </w:rPr>
            </w:pPr>
          </w:p>
        </w:tc>
        <w:tc>
          <w:tcPr>
            <w:tcW w:w="392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BOARD OF DIRECTORS AND CORPORATE GOVERNANCE</w:t>
              </w:r>
            </w:hyperlink>
          </w:p>
        </w:tc>
        <w:tc>
          <w:tcPr>
            <w:tcW w:w="59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PROPOSAL NO. 1 ELECTION OF DIRECTORS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PROPOSAL NO. 2 RATIFICATION OF APPOINTMENT OF INDEPENDENT REGISTERED PUBLIC ACCOUNTING FIRM</w:t>
              </w:r>
            </w:hyperlink>
          </w:p>
        </w:tc>
        <w:tc>
          <w:tcPr>
            <w:tcW w:w="12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PROPOSAL NO. 3 ADVISORY VOTE ON NAMED EXECUTIVE OFFICER COMPENSATION</w:t>
              </w:r>
            </w:hyperlink>
          </w:p>
        </w:tc>
        <w:tc>
          <w:tcPr>
            <w:tcW w:w="34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1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PROPOSAL NO. 4 ADVISORY VOTE ON THE FREQUENCY OF FUTURE ADVISORY VOTES ON NAMED EXECUTIVE OFFICER</w:t>
              </w:r>
            </w:hyperlink>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AUDIT COMMITTEE REPORT</w:t>
              </w:r>
            </w:hyperlink>
          </w:p>
        </w:tc>
        <w:tc>
          <w:tcPr>
            <w:tcW w:w="82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EXECUTIVE OFFICERS</w:t>
              </w:r>
            </w:hyperlink>
          </w:p>
        </w:tc>
        <w:tc>
          <w:tcPr>
            <w:tcW w:w="87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EXECUTIVE COMPENSATION</w:t>
              </w:r>
            </w:hyperlink>
          </w:p>
        </w:tc>
        <w:tc>
          <w:tcPr>
            <w:tcW w:w="82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RELATED PARTY TRANSACTIONS</w:t>
              </w:r>
            </w:hyperlink>
          </w:p>
        </w:tc>
        <w:tc>
          <w:tcPr>
            <w:tcW w:w="3900" w:type="dxa"/>
            <w:vAlign w:val="bottom"/>
            <w:tcBorders>
              <w:top w:val="single" w:sz="8" w:color="0000EE"/>
            </w:tcBorders>
            <w:gridSpan w:val="3"/>
          </w:tcPr>
          <w:p>
            <w:pPr>
              <w:spacing w:after="0"/>
              <w:rPr>
                <w:sz w:val="17"/>
                <w:szCs w:val="17"/>
                <w:color w:val="auto"/>
              </w:rPr>
            </w:pPr>
          </w:p>
        </w:tc>
        <w:tc>
          <w:tcPr>
            <w:tcW w:w="39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ALECTOR,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2021 ANNUAL MEETING OF STOCKHOLDERS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at 8:00 a.m. Pacific Time on Thursday, June 17, 2021</w:t>
      </w:r>
    </w:p>
    <w:p>
      <w:pPr>
        <w:spacing w:after="0" w:line="21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2021 annual meeting of stockholders of Alector, Inc., a Delaware corporation, and any postponements, adjournments or continuations thereof (the “Annual Meeting”). The Annual Meeting will be held virtually, via live webcast at https://web.lumiagm.com/209804434 password: alector2021 (cap sensitive), originating from South San Francisco, CA. The Notice of Internet Availability of Proxy Materials (the “Notice”) containing instructions on how to access this proxy statement and our annual report is first being mailed on or about April 28, 2021 to all stockholders entitled to vote at the Annual Meeting.</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safety of our stockholders is important to us and given the current guidance by public health officials surrounding COVID-19 and group gatherings, this year’s Annual Meeting will be a “virtual meeting” of stockholders. 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and participate in the annual meeting online?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will be hosting the meeting via live webcast only at https://web.lumiagm.com/209804434 password: alector2021 (cap sensitive). You will be able to submit your questions and vote your shares electronically during the Annual Meeting.</w:t>
      </w:r>
    </w:p>
    <w:p>
      <w:pPr>
        <w:spacing w:after="0" w:line="170"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webcast will start at 8:00 a.m. Pacific Time. You are encouraged to access the meeting prior to the start time. The webcast will open 15 minutes before the start of the meeting, and you should allow ample time for the check-in procedures. In order to enter the meeting, you will need the control number. The control number will be included in the Notice or on your proxy card if you are a stockholder of record of shares of common stock (as defined below), or included with your voting instructions received from your broker, bank or other agent if you hold your shares of common stock in a “street name.” Instructions on how to attend and participate online are available at https://web.lumiagm.com/209804434 password: alector2021 (cap sensitive).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get help if I have trouble checking in or listening to the meeting online?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log-in page.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matters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will be voting on:</w:t>
      </w:r>
    </w:p>
    <w:p>
      <w:pPr>
        <w:spacing w:after="0" w:line="131" w:lineRule="exact"/>
        <w:rPr>
          <w:sz w:val="20"/>
          <w:szCs w:val="20"/>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three Class III directors to serve until our 2024 annual meeting of stockholders and until their successors are duly elected and qualified;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our independent registered public accounting firm for the fiscal year ending December 31,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to approve named executive officer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on the frequency of future advisory votes on named executive officer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recommends a vote:</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Tillman Gerngross, Ph.D., Richard Scheller, Ph.D. and Louis J. Lavigne, Jr. as Class III directors;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on an advisory basis, of the named executive officer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 YEAR” for the frequency of future advisory votes on named executive officer compensation.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Holders of our common stock as of the close of business on April 20, 2021, the record date for the Annual Meeting, may vote at the Annual Meeting. As of the record date, there were 79,760,655 shares of our common stock outstanding. In deciding all matters at the Annual Meeting, each stockholder will be entitled to one vote for each share of our common stock held by them on the record date. We do not have cumulative voting rights for the election of directors.</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 you are considered the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of record with respect to those shares and the Notice was provided to you directly by us.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shares of our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35" w:lineRule="exact"/>
        <w:rPr>
          <w:sz w:val="20"/>
          <w:szCs w:val="20"/>
          <w:color w:val="auto"/>
        </w:rPr>
      </w:pPr>
    </w:p>
    <w:p>
      <w:pPr>
        <w:ind w:left="1080" w:hanging="424"/>
        <w:spacing w:after="0" w:line="25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election of directors requires a plurality vote of the shares of our common stock present (including by proxy) at our</w:t>
      </w:r>
      <w:r>
        <w:rPr>
          <w:rFonts w:ascii="Arial" w:cs="Arial" w:eastAsia="Arial" w:hAnsi="Arial"/>
          <w:sz w:val="18"/>
          <w:szCs w:val="18"/>
          <w:i w:val="1"/>
          <w:iCs w:val="1"/>
          <w:color w:val="auto"/>
        </w:rPr>
        <w:t xml:space="preserve"> </w:t>
      </w:r>
      <w:r>
        <w:rPr>
          <w:rFonts w:ascii="Arial" w:cs="Arial" w:eastAsia="Arial" w:hAnsi="Arial"/>
          <w:sz w:val="18"/>
          <w:szCs w:val="18"/>
          <w:color w:val="auto"/>
        </w:rPr>
        <w:t>virtual Annual Meeting and entitled to vote thereon. “Plurality” means that the nominees who receive the largest number of votes cast “for”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w:t>
      </w:r>
    </w:p>
    <w:p>
      <w:pPr>
        <w:spacing w:after="0" w:line="93"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Ernst &amp; Young LLP requires the affirmative vote of a majority of the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present (including by proxy) at our virtual Annual Meeting and entitled to vote thereon. Abstentions are considered votes present and entitled to vote on this proposal, and thus, will have the same effect as a vote “against” the proposal. Broker non-votes will have no effect on the outcome of this proposal.</w:t>
      </w:r>
    </w:p>
    <w:p>
      <w:pPr>
        <w:spacing w:after="0" w:line="92"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3</w:t>
      </w:r>
      <w:r>
        <w:rPr>
          <w:rFonts w:ascii="Arial" w:cs="Arial" w:eastAsia="Arial" w:hAnsi="Arial"/>
          <w:sz w:val="18"/>
          <w:szCs w:val="18"/>
          <w:color w:val="auto"/>
        </w:rPr>
        <w:t>: The approval, on an advisory basis, of the named executive officer compensation requires the affirmative vote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shares of our common stock present (including by proxy) at our virtual Annual Meeting and entitled to vote thereon. Abstentions are considered votes present and entitled to vote on this proposal, and thus, will have the same effect as a vote “against” the proposal. Broker non-votes will have no effect on the outcome of this proposal.</w:t>
      </w:r>
    </w:p>
    <w:p>
      <w:pPr>
        <w:spacing w:after="0" w:line="92"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4</w:t>
      </w:r>
      <w:r>
        <w:rPr>
          <w:rFonts w:ascii="Arial" w:cs="Arial" w:eastAsia="Arial" w:hAnsi="Arial"/>
          <w:sz w:val="18"/>
          <w:szCs w:val="18"/>
          <w:color w:val="auto"/>
        </w:rPr>
        <w:t>: The frequency receiving the greatest number of votes cast by stockholders will be considered the advisory vote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You may vote to hold such advisory votes “EVERY YEAR,” “EVERY TWO YEARS” or “EVERY THREE YEARS,” or you may “ABSTAIN.”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 quorum is the minimum number of shares required to be present at the Annual Meeting for the Annual Meeting to be properly held under our bylaws and Delaware law. The presence (including by proxy) of a majority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131" w:lineRule="exact"/>
        <w:rPr>
          <w:sz w:val="20"/>
          <w:szCs w:val="20"/>
          <w:color w:val="auto"/>
        </w:rPr>
      </w:pPr>
    </w:p>
    <w:p>
      <w:pPr>
        <w:ind w:left="1080" w:right="10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vote online during the Annual Meeting, follow the provided instructions to join the meeting at https://web.lumiagm.com/209804434 password: alector2021 (cap sensitive), starting at 8:00 a.m. Pacific Time on June 17, 2021 (have your Notice or proxy card in hand when you visit the website);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Internet at www.voteproxy.com, 24 hours a day, seven days a week, until 11:59 p.m. Eastern Time, on June 16, 2020 (have your Notice or proxy card in hand when you visit the website);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toll-free telephone at 1-800-PROXIES (1-800-776-9437) in the United States or 1-718-921-8500 from foreign countries (have your Notice or proxy card in hand when you call);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Even if you plan to participate in our virtual Annual Meeting, we recommend that you also vote by proxy so that your vote will be counted if you later decide not to participate in the Annual Meeting.</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mailing a later-dated proxy card;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the Secretary of Alector, Inc., in writing, to 131 Oyster Point Boulevard, Suite 600, South San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Francisco, California 94080.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street name stockholder, your broker, bank or other nominee can provide you with instructions on how to change your vote.</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You may also change your vote or revoke your proxy by attending our virtual Annual Meeting and voting online during the meeting. Simply attending the meeting will not, by itself, revoke your proxy.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Proxies are solicited by and on behalf of our Board of Directors. Arnon Rosenthal and Shehnaaz Suliman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April 28, 2021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on your behalf. In addition, our directors and employees may also solicit proxies in person, by telephone, or by other means of communication. Our directors and employees will not be paid any additional compensation for soliciting proxies.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12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Your broker will not have discretion to vote on the election of directors, on the approval, on an advisory basis, of the named executive officer compensation, or on the advisory vote on the frequency of future advisory votes on named executive officer compensation, which are “non-routine” matters, absent direction from you.</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expect to announce voting results at the Annual Meeting. We will also disclose voting results on a Current Report on Form 8-K that we will file with the SEC within four business days after the Annual Meeting.</w:t>
      </w:r>
    </w:p>
    <w:p>
      <w:pPr>
        <w:spacing w:after="0" w:line="274"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Alector,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 Oyster Point Boulevard, Suite 600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 (415) 231-5660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329"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Proposals</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the next annual meeting of stockholders by submitting their proposals in writing to our Secretary in a timely manner. For a stockholder proposal to be considered for inclusion in our proxy statement for our 2022 annual meeting of stockholders, our Secretary must receive the written proposal at our principal executive offices not later than December 29, 2021. In addition, stockholder proposals must comply with the requirements of Rule 14a-8</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the inclusion of stockholder proposals in company-sponsored proxy materials. Stockholder proposals should be addressed 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Alector,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 Oyster Point Boulevard, Suite 600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 (415) 231-5660</w:t>
      </w:r>
    </w:p>
    <w:p>
      <w:pPr>
        <w:spacing w:after="0" w:line="21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meeting, (ii) otherwise properly brought before such meeting by or at the direction of our Board of Directors, or (iii) properly brought before such meeting by a stockholder of record entitled to vote at the annual meeting who has delivered timely written notice to our Secretary, which notice must contain the information specified in our bylaws. To be timely for our 2022 annual meeting of stockholders, our Secretary must receive the written notice at our principal executive offices:</w:t>
      </w:r>
    </w:p>
    <w:p>
      <w:pPr>
        <w:spacing w:after="0" w:line="70"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12, 2022;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the close of business on March 14, 2022.</w:t>
      </w:r>
    </w:p>
    <w:p>
      <w:pPr>
        <w:spacing w:after="0" w:line="22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the event that we hold our 2022 annual meeting of stockholders more than 30 days before or more than 60 days after the one-year anniversary of the Annual Meeting, notice of a stockholder proposal that is not intended to be included in our proxy statement must be received no earlier than the close of business on the 120th day before our 2021 annual meeting of stockholders and no later than the close of business on the later of the following two dates:</w:t>
      </w:r>
    </w:p>
    <w:p>
      <w:pPr>
        <w:spacing w:after="0" w:line="1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our 2022 annual meeting of stockholders;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10th day following the day on which public announcement of the date of our 2022 annual meeting of stockholders is first made.</w:t>
      </w:r>
    </w:p>
    <w:p>
      <w:pPr>
        <w:spacing w:after="0" w:line="237"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Nomination of Director Candidates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You may propose director candidates for consideration by our corporate governance and nominating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 Stockholder Recommendations for Nominations to the Board of Directors.”</w:t>
      </w:r>
    </w:p>
    <w:p>
      <w:pPr>
        <w:spacing w:after="0" w:line="17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periods described above under “Stockholder Proposals” for stockholder proposals that are not intended to be included in a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Availability of Bylaws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 copy of our amended and restated bylaws may be obtained by accessing our filings on the SEC’s website at www.sec.gov. You may also contact our Secretary at our principal executive offices for a copy of the relevant bylaw provisions regarding the requirements for making stockholder proposals and nominating director candidates.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eight members. Five of our directors are independent within the meaning of the listing standards of the NASDAQ Global Select Market (NASDAQ). Our Board of Directors is divided into three staggered classes of directors. At each annual meeting of stockholders, a class of directors will be elected for a three-year term to succeed the same class whose term is then expiring.</w:t>
      </w:r>
    </w:p>
    <w:p>
      <w:pPr>
        <w:spacing w:after="0" w:line="18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following table sets forth the names and certain other information about each of the nominees for Class III director. The names of and certain other information about the continuing members of our Board of Directors are also set forth below. All information is as of March 1, 2021:</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Director</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0"/>
              </w:rPr>
              <w:t>Class</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Pr>
          <w:p>
            <w:pPr>
              <w:spacing w:after="0"/>
              <w:rPr>
                <w:sz w:val="12"/>
                <w:szCs w:val="12"/>
                <w:color w:val="auto"/>
              </w:rPr>
            </w:pPr>
          </w:p>
        </w:tc>
        <w:tc>
          <w:tcPr>
            <w:tcW w:w="316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Position</w:t>
            </w:r>
          </w:p>
        </w:tc>
        <w:tc>
          <w:tcPr>
            <w:tcW w:w="800" w:type="dxa"/>
            <w:vAlign w:val="bottom"/>
            <w:gridSpan w:val="2"/>
            <w:vMerge w:val="continue"/>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Term</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 Which</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Since</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Expires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 Nominees</w:t>
            </w: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Tillman Gerngross, Ph.D.</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III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Chairman and 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2013</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2021</w:t>
            </w:r>
          </w:p>
        </w:tc>
        <w:tc>
          <w:tcPr>
            <w:tcW w:w="760" w:type="dxa"/>
            <w:vAlign w:val="bottom"/>
            <w:gridSpan w:val="2"/>
          </w:tcPr>
          <w:p>
            <w:pPr>
              <w:jc w:val="center"/>
              <w:ind w:left="196"/>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Richard Scheller, Ph.D.</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III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3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2021</w:t>
            </w:r>
          </w:p>
        </w:tc>
        <w:tc>
          <w:tcPr>
            <w:tcW w:w="76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Louis J. Lavigne, Jr.</w:t>
            </w:r>
            <w:r>
              <w:rPr>
                <w:rFonts w:ascii="Arial" w:cs="Arial" w:eastAsia="Arial" w:hAnsi="Arial"/>
                <w:sz w:val="15"/>
                <w:szCs w:val="15"/>
                <w:color w:val="auto"/>
              </w:rPr>
              <w:t>(1)(2)</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III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2021</w:t>
            </w:r>
          </w:p>
        </w:tc>
        <w:tc>
          <w:tcPr>
            <w:tcW w:w="760" w:type="dxa"/>
            <w:vAlign w:val="bottom"/>
            <w:gridSpan w:val="2"/>
          </w:tcPr>
          <w:p>
            <w:pPr>
              <w:jc w:val="center"/>
              <w:ind w:left="196"/>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Directors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Arnon Rosenthal, Ph.D.</w:t>
            </w:r>
          </w:p>
        </w:tc>
        <w:tc>
          <w:tcPr>
            <w:tcW w:w="6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I</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65</w:t>
            </w:r>
          </w:p>
        </w:tc>
        <w:tc>
          <w:tcPr>
            <w:tcW w:w="330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Co-founder, Chief</w:t>
            </w:r>
          </w:p>
        </w:tc>
        <w:tc>
          <w:tcPr>
            <w:tcW w:w="8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2013</w:t>
            </w:r>
          </w:p>
        </w:tc>
        <w:tc>
          <w:tcPr>
            <w:tcW w:w="7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2022</w:t>
            </w:r>
          </w:p>
        </w:tc>
        <w:tc>
          <w:tcPr>
            <w:tcW w:w="760" w:type="dxa"/>
            <w:vAlign w:val="bottom"/>
            <w:gridSpan w:val="2"/>
          </w:tcPr>
          <w:p>
            <w:pPr>
              <w:jc w:val="center"/>
              <w:ind w:left="176"/>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Executive Officer and Director</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David Wehner</w:t>
            </w:r>
            <w:r>
              <w:rPr>
                <w:rFonts w:ascii="Arial" w:cs="Arial" w:eastAsia="Arial" w:hAnsi="Arial"/>
                <w:sz w:val="15"/>
                <w:szCs w:val="15"/>
                <w:color w:val="auto"/>
              </w:rPr>
              <w:t>(1)(2)</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3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76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Paula Hammond, Ph.D.</w:t>
            </w:r>
            <w:r>
              <w:rPr>
                <w:rFonts w:ascii="Arial" w:cs="Arial" w:eastAsia="Arial" w:hAnsi="Arial"/>
                <w:sz w:val="15"/>
                <w:szCs w:val="15"/>
                <w:color w:val="auto"/>
              </w:rPr>
              <w:t>(2)</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2022</w:t>
            </w:r>
          </w:p>
        </w:tc>
        <w:tc>
          <w:tcPr>
            <w:tcW w:w="760" w:type="dxa"/>
            <w:vAlign w:val="bottom"/>
            <w:gridSpan w:val="2"/>
          </w:tcPr>
          <w:p>
            <w:pPr>
              <w:jc w:val="center"/>
              <w:ind w:lef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Terry McGuire</w:t>
            </w:r>
            <w:r>
              <w:rPr>
                <w:rFonts w:ascii="Arial" w:cs="Arial" w:eastAsia="Arial" w:hAnsi="Arial"/>
                <w:sz w:val="15"/>
                <w:szCs w:val="15"/>
                <w:color w:val="auto"/>
              </w:rPr>
              <w:t>(1)(3)</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76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Kristine Yaffe, M.D.</w:t>
            </w:r>
            <w:r>
              <w:rPr>
                <w:rFonts w:ascii="Arial" w:cs="Arial" w:eastAsia="Arial" w:hAnsi="Arial"/>
                <w:sz w:val="15"/>
                <w:szCs w:val="15"/>
                <w:color w:val="auto"/>
              </w:rPr>
              <w:t>(3)</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II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2019</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2023</w:t>
            </w:r>
          </w:p>
        </w:tc>
        <w:tc>
          <w:tcPr>
            <w:tcW w:w="760" w:type="dxa"/>
            <w:vAlign w:val="bottom"/>
            <w:gridSpan w:val="2"/>
          </w:tcPr>
          <w:p>
            <w:pPr>
              <w:jc w:val="center"/>
              <w:ind w:left="17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corporate governance and nominating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i w:val="1"/>
          <w:iCs w:val="1"/>
          <w:color w:val="auto"/>
        </w:rPr>
        <w:t xml:space="preserve">Tillman Gerngross, Ph.D. </w:t>
      </w:r>
      <w:r>
        <w:rPr>
          <w:rFonts w:ascii="Arial" w:cs="Arial" w:eastAsia="Arial" w:hAnsi="Arial"/>
          <w:sz w:val="16"/>
          <w:szCs w:val="16"/>
          <w:color w:val="auto"/>
        </w:rPr>
        <w:t>Dr. Gerngross co-founded Alector in 2013 and has served as a member of our Board of Directors and as Chairperson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2013. Dr. Gerngross is a founder, director, and executive officer of numerous biotechnology companies. He is a founder and currently serving as Chief Executive Officer and as a director of Adimab, LLC. He is also a founder and Chairman of the board of directors of Avitide, Inc., Amagma, Inc., Ankyra Therapeutics, Inc., and Adagio Therapeutics, Inc. Dr. Gerngross previously served on the board of directors of Arsanis, Inc., a publicly traded biopharmaceutical company, from 2010 to 2019, Dr. Gerngross is currently a Venture Partner at SV Life Sciences Advisors, LLC, which he joined in 2006. Dr. Gerngross co-founded GlycoFi, Inc. and served as its Chief Scientific Officer from 2000 to 2006 until it was acquired by Merck &amp; Company, Inc. Dr. Gerngross currently teaches at the School of Engineering at Dartmouth College, where he has taught since 1998. Dr. Gerngross attended the Technical University of Vienna, Austria, where he received a B.S. and M.S. in Chemical Engineering and a Ph.D. in Molecular Biology.</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believe Dr. Gerngross is qualified to serve on our Board of Directors because of the perspective and experience he provides as one of our founders, his expertise and experience in antibody drug discovery and development, his experience as a founder and director of other life sciences companies, his educational background, and his experience working in the venture capital industry.</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Richard Scheller, Ph.D</w:t>
      </w:r>
      <w:r>
        <w:rPr>
          <w:rFonts w:ascii="Arial" w:cs="Arial" w:eastAsia="Arial" w:hAnsi="Arial"/>
          <w:sz w:val="18"/>
          <w:szCs w:val="18"/>
          <w:color w:val="auto"/>
        </w:rPr>
        <w:t>. Dr. Scheller has served as a member of our Board of Directors since October 2018 and has served as co-chair of our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Advice and Review Committee (SPARC) since December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Dr. Scheller has served as the Chairman of Research and Development at BridgeBio Pharma LLC, a publicly traded biotechnology company, since January 2019 and as a member of its board of directors since January 2018. Dr. Scheller previously served as Chief Scientific Officer at 23andMe, a personal genetics company, from April 2015 to April 2019. Previously, Dr. Scheller was the Executive Vice President of Research and Early Development and a member of the Executive Committee at Genentech, Inc. from February 2001 to December 2014. From January 2009 to December 2014, Dr. Scheller was also a member of the Enlarged Executive Committee at Hoffmann-La Roche Ltd. Since February 2015, Dr. Scheller has served as a member of the board of directors for ORIC Pharmaceuticals, Inc. Dr. Scheller served as a member of the board of directors for Xenon Pharmaceuticals Inc. from March 2015 to 2019. Dr. Scheller’s research on elucidating the molecular machinery and regulatory mechanism that underlie the release of neurotransmitters earned him the 2013 Albert Lasker Basic Medical Research Award. He is a member of the National Academy of Sciences and a member of the National Academy of Medicine. Dr. Scheller holds a Ph.D. in Chemistry (1980) from the California Institute of Technology and B.Sc. in Biochemistry (1975) from the University of Wisconsin-Madison. He completed his post-doctorate in Biology at Caltech and his postdoctorate in Molecular Neurobiology at Columbia University.</w:t>
      </w:r>
    </w:p>
    <w:p>
      <w:pPr>
        <w:spacing w:after="0" w:line="18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believe Dr. Scheller is qualified to serve on our Board of Directors because of his scientific background and his senior management experience in the pharmaceutical industry.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Louis J. Lavigne, Jr. </w:t>
      </w:r>
      <w:r>
        <w:rPr>
          <w:rFonts w:ascii="Arial" w:cs="Arial" w:eastAsia="Arial" w:hAnsi="Arial"/>
          <w:sz w:val="17"/>
          <w:szCs w:val="17"/>
          <w:color w:val="auto"/>
        </w:rPr>
        <w:t>Mr. Lavigne has served as a member of our Board of Directors and as our Lead Independent Director since October 2018.</w:t>
      </w:r>
    </w:p>
    <w:p>
      <w:pPr>
        <w:spacing w:after="0" w:line="35"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Mr. Lavigne has been Managing Director of Lavrite, LLC, a management consulting firm specializing in the areas of corporate finance, accounting, growth strategy, and management, since 2005 and since 2019 Laman Partners, LLC. Mr. Lavigne served in various executive capacities with Genentech, Inc. for over 20 years, including Chief Financial Officer from 1988 to 2005, Executive Vice President from 1997 to 2005, Senior Vice President from 1994 to 1997, Vice President from 1986 to 1994, and Controller from 1983 to 1986. He has served as a member of the board of directors of Zynga Inc., a social game company, since 2015, including as audit committee chairman since 2015 and as a member of the nominating and governance committee since 2020; and since 2009 as a member of the board of directors and now a member of the nominating and governance committee of Accuray Incorporated, a radiation oncology company, and as the lead director since August, 2020 and since December, 2019 chairman of the audit committee of Rodan + Fields, LLC a private skincare company where he has been a director since June 2015. Within the last five years, Mr. Lavigne also served on the board of directors, the audit committee, and the science and technology committee of Allergan, Inc., a global health care company, from 2005 until its acquisition by Actavis plc in 2015; as a director and chair of the audit committee of NovoCure Limited, an oncology company, from 2013 until October 2018; as a director, chair of the compensation committee, and member of the audit committee of Assertio Therapeutics, Inc., a pharmaceutical company, from July 2013 until his resignation in May 2019; and as a director, chair of the audit committee, and member of the compensation committee of DocuSign Inc., an eSignature transaction management company, July 2013 to May 2020. Mr. Lavigne is the former chairman and board member of the UCSF Benioff Children’s Hospitals and the UCSF Benioff Children’s Hospitals Foundation. Mr. Lavigne holds a B.S. in Business Administration from Babson College and an M.B.A. from Temple University.</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believe Mr. Lavigne is qualified to serve on our Board of Directors because of his extensive experience in business operations and management, strategy, finance, accounting, and public company governance as a chief financial officer of a large, complex publicly-traded company and his extensive board leadership positions with a number of public company boards and audit committees.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i w:val="1"/>
          <w:iCs w:val="1"/>
          <w:color w:val="auto"/>
        </w:rPr>
        <w:t xml:space="preserve">Arnon Rosenthal, Ph.D. </w:t>
      </w:r>
      <w:r>
        <w:rPr>
          <w:rFonts w:ascii="Arial" w:cs="Arial" w:eastAsia="Arial" w:hAnsi="Arial"/>
          <w:sz w:val="17"/>
          <w:szCs w:val="17"/>
          <w:color w:val="auto"/>
        </w:rPr>
        <w:t>Dr. Rosenthal co-founded Alector in 2013 and has served as a member of our board of directors, as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President since 2013. Dr. Rosenthal co-founded Annexon Biosciences, Inc. and served as its acting Chief Executive Officer from August 2011 to December 2014 and served as a member of the board of directors, including as Chairman from August 2011 February 2017.</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Dr. Rosenthal co-founded Rinat Neuroscience Corporation (acquired by Pfizer Inc. in August 2006), and served as President, Chief Scientific Officer and as a member of the board of directors from August 2001 to August 2006. From January 1985 to August 2001, Dr. Rosenthal served in various roles at Genentech, Inc., where he ultimately served as Staff Scientist and was appointed as a permanent member of Genentech’s Research Review Committee where his team discovered the target for the cancer drug Erivedge. Dr. Rosenthal conducted his post-doctoral fellowship at Genentech, Inc. He holds a Ph.D. in biology from the Hebrew University of Jerusalem.</w:t>
      </w:r>
    </w:p>
    <w:p>
      <w:pPr>
        <w:spacing w:after="0" w:line="188"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believe Dr. Rosenthal is qualified to serve on our Board of Directors because of the perspective and experience he provides as one of our founders and as our Chief Executive Officer, his experience as a founder and director of other life sciences companies, his educational background, as well as his broad experience within the pharmaceutical industry, particularly in the area of neuroscience and drug discovery and development.</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Paula Hammond, Ph.D</w:t>
      </w:r>
      <w:r>
        <w:rPr>
          <w:rFonts w:ascii="Arial" w:cs="Arial" w:eastAsia="Arial" w:hAnsi="Arial"/>
          <w:sz w:val="16"/>
          <w:szCs w:val="16"/>
          <w:color w:val="auto"/>
        </w:rPr>
        <w:t>. Dr. Hammond has served as a member of our Board of Directors since March 2020. Dr. Hammond is the David H. Koch Chair</w:t>
      </w:r>
      <w:r>
        <w:rPr>
          <w:rFonts w:ascii="Arial" w:cs="Arial" w:eastAsia="Arial" w:hAnsi="Arial"/>
          <w:sz w:val="16"/>
          <w:szCs w:val="16"/>
          <w:i w:val="1"/>
          <w:iCs w:val="1"/>
          <w:color w:val="auto"/>
        </w:rPr>
        <w:t xml:space="preserve"> </w:t>
      </w:r>
      <w:r>
        <w:rPr>
          <w:rFonts w:ascii="Arial" w:cs="Arial" w:eastAsia="Arial" w:hAnsi="Arial"/>
          <w:sz w:val="16"/>
          <w:szCs w:val="16"/>
          <w:color w:val="auto"/>
        </w:rPr>
        <w:t>Professor of Engineering at the Massachusetts Institute of Technology (MIT), where she has been a faculty member since 1995, and she has served as the Head of the Department of Chemical Engineering at MIT since 2016. She is a member of MIT’s David H. Koch Institute for Integrative Cancer Research and a founding member of the MIT Institute for Soldier Nanotechnology. She also served as the Associate Head of the Chemical Engineering Department at MIT from 2008 to 2011. Dr. Hammond was the recipient of the 2013 AIChE Charles M. A. Stine Award, which is bestowed annually to a leading researcher in recognition of outstanding contributions to the field of materials science and engineering, the 2014 Alpha Chi Sigma Award for Chemical Engineering Research, and the Margaret Rousseau Award for Lifetime Achievement by a Woman Chemical Engineer in 2019. She received the Department of Defense Ovarian Cancer Teal Innovator Award in 2013, which supports a single visionary individual from any field principally outside of ovarian cancer to focus his/her creativity, innovation, and leadership on ovarian cancer research. She was named a Fellow of the American Physical Society, the American Institute of Biological and Medical Engineering, and the American Chemical Society, Division of Polymer Chemistry. Dr. Hammond was elected into the National Academy of Sciences in 2019, the National Academy of Engineering in 2017, the National Academy of Medicine in 2016, and the 2013 Class of the American Academy of Arts and Sciences. Dr. Hammond holds an M.S. in Chemical Engineering from the Georgia Institute of Technology and a Ph.D. and a S.B. in Chemical Engineering from MIT. Professor Hammond has published over 330 papers, and over 20 patent applications. She is the cofounder and member of the Scientific Advisory Board of LayerBio, Inc., a member of the Scientific Advisory Board of Moderna Therapeutics and Bambu Global, and an advisor for Catalio Capital Management.</w:t>
      </w:r>
    </w:p>
    <w:p>
      <w:pPr>
        <w:spacing w:after="0" w:line="16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believe Dr. Hammond is qualified to serve on our Board of Directors based on her scientific background and experience as an internationally recognized expert in the field of chemical engineering and for her work in the field of cancer research.</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Terry McGuire</w:t>
      </w:r>
      <w:r>
        <w:rPr>
          <w:rFonts w:ascii="Arial" w:cs="Arial" w:eastAsia="Arial" w:hAnsi="Arial"/>
          <w:sz w:val="17"/>
          <w:szCs w:val="17"/>
          <w:color w:val="auto"/>
        </w:rPr>
        <w:t>. Mr. McGuire has served as a member of our Board of Directors since 2013. Additionally, Mr. McGuire is a Founding Partner of Polaris</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a venture capital firm investing in technology and healthcare companies across all stages of development, where he has worked since 1996. Mr. McGuire has served on the board of directors of Cyclerion, Inc., a publicly traded biotechnology company, since January 2019. Mr. McGuire served on the board of directors of Ironwood Pharmaceuticals, Inc., a publicly traded drug manufacturer, from 1998 to 2019; on the board of directors of Acceleron Pharma, Inc., a publicly traded drug manufacturer, from 2005 to 2017; on the board of directors of Pulmatrix, Inc., a publicly traded biopharmaceutical company, from 2016 to 2019 and on the board of directors of Arsanis, Inc., a publicly traded biopharmaceutical company, from 2011 to 2019. Mr. McGuire is emeritus Chairman of the National Venture Capital Association and Chairman of the Global Ventures Capital Congress and is a member of the board of the Thayer School of Engineering at Dartmouth College. He also sits on the boards of Massachusetts Institute of Technology’s The David H. Koch Institute for Integrative Cancer Research, The Arthur Rock Center for Entrepreneurship at Harvard Business School and The Healthcare Initiative Advisory Board. Mr. McGuire holds an M.B.A. from Harvard Business School, a M.S. in engineering from the Thayer School at Dartmouth College, and a B.S. in physics and economics from Hobart College.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believe Mr. McGuire is qualified to serve on our Board of Directors because of his expertise and experience in the biotechnology industry through his role as a Founding Partner of Polaris Partners and his cumulative career in venture capital over a period spanning over 35 years, in which he has been involved in the evaluation, investment and oversight of numerous biotechnology companies, as well as his experience as a director of several biotechnology companies, including other public companies.</w:t>
      </w:r>
    </w:p>
    <w:p>
      <w:pPr>
        <w:spacing w:after="0" w:line="18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i w:val="1"/>
          <w:iCs w:val="1"/>
          <w:color w:val="auto"/>
        </w:rPr>
        <w:t xml:space="preserve">David Wehner. </w:t>
      </w:r>
      <w:r>
        <w:rPr>
          <w:rFonts w:ascii="Arial" w:cs="Arial" w:eastAsia="Arial" w:hAnsi="Arial"/>
          <w:sz w:val="18"/>
          <w:szCs w:val="18"/>
          <w:color w:val="auto"/>
        </w:rPr>
        <w:t>Mr. Wehner has served as a member of our Board of Directors since October 2018. He has served as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Facebook, Inc. since June 2014. Mr. Wehner joined Facebook, Inc. in November 2012 as Vice President, Corporate Finance and Business Planning. From August 2010 until November 2012, Mr. Wehner served as Chief Financial Officer at Zynga Inc., a provider of social game services. From February 2001 to July 2010, Mr. Wehner served in various positions at Allen &amp; Company, an investment bank, including as a Managing Director from November 2006 to July 2010 and as a director from December 2005 to November 2006. Mr. Wehner holds an M.S. in applied physics from Stanford University and a B.S. in chemistry from Georgetown University.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Mr. Wehner is qualified to serve on our Board of Directors based on his substantial executive, strategy, finance, and operational experience.</w:t>
      </w:r>
    </w:p>
    <w:p>
      <w:pPr>
        <w:spacing w:after="0" w:line="24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i w:val="1"/>
          <w:iCs w:val="1"/>
          <w:color w:val="auto"/>
        </w:rPr>
        <w:t>Kristine Yaffe, M.D</w:t>
      </w:r>
      <w:r>
        <w:rPr>
          <w:rFonts w:ascii="Arial" w:cs="Arial" w:eastAsia="Arial" w:hAnsi="Arial"/>
          <w:sz w:val="16"/>
          <w:szCs w:val="16"/>
          <w:color w:val="auto"/>
        </w:rPr>
        <w:t>. Dr. Yaffe has served as a member of our board directors since August 2019. Dr. Yaffe is currently a professor of psychiatry,</w:t>
      </w:r>
      <w:r>
        <w:rPr>
          <w:rFonts w:ascii="Arial" w:cs="Arial" w:eastAsia="Arial" w:hAnsi="Arial"/>
          <w:sz w:val="16"/>
          <w:szCs w:val="16"/>
          <w:i w:val="1"/>
          <w:iCs w:val="1"/>
          <w:color w:val="auto"/>
        </w:rPr>
        <w:t xml:space="preserve"> </w:t>
      </w:r>
      <w:r>
        <w:rPr>
          <w:rFonts w:ascii="Arial" w:cs="Arial" w:eastAsia="Arial" w:hAnsi="Arial"/>
          <w:sz w:val="16"/>
          <w:szCs w:val="16"/>
          <w:color w:val="auto"/>
        </w:rPr>
        <w:t>neurology, and epidemiology at the University of California, San Francisco (UCSF) and has served in that role since 2007. Dr. Yaffe has also served as the Roy and Marie Scola Endowed Chair since 2009 and Vice Chair in Psychiatry at UCSF since 2016. Dr. Yaffe has received numerous awards for her groundbreaking contributions to the field including the American Academy of Neurology Potamkin Prize for Research in Pick’s, Alzheimer’s, and Related Diseases. Dr. Yaffe holds a B.S. in biology-psychology from Yale University and an M.D. from the University of Pennsylvania School of Medicine and has completed residencies in neurology and psychiatry at UCSF. Dr. Yaffe was elected to the National Academy of Medicine in 2019.</w:t>
      </w:r>
    </w:p>
    <w:p>
      <w:pPr>
        <w:spacing w:after="0" w:line="16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believe Dr. Yaffe is qualified to serve on our Board of Directors based on her experience as an internationally recognized expert in the field of cognitive aging, neurodegeneration, and dementia.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Our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4"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To be considered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Drs. Hammond and Yaffe and Messrs. Lavigne, McGuire, and Wehner do not have a relationship that would interfere with the exercise of independent judgment in carrying out the responsibilities of a director and that each of these directors is “independent” as that term is defined under the rules of NASDAQ.</w:t>
      </w:r>
    </w:p>
    <w:p>
      <w:pPr>
        <w:spacing w:after="0" w:line="178"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Party Transactions.” There are no family relationships among any of our nominees for director, directors, or executive officers.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Our Board of Directors has appointed Louis J. Lavigne, Jr. to serve as our Lead Independent Director. As a general matter, our Board of Directors believes that appointing a Lead Independent Director, when either our Chief Executive Officer serves as Chairman or when our Chairman is not independent, creates an environment that encourages objective oversight of management’s performance and enhances the effectiveness of our Board of Directors as a whole. As Lead Independent Director, Mr. Lavigne will preside over periodic meetings of our independent directors, serve as a liaison between our Chairperson, Chief Executive Officer, and our independent directors, and perform such additional duties as our Board of Directors may otherwise determine and delegate.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that we face,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88"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Our Board of Directors is responsible for general oversight of risks and regular review of information regarding our risks. The audit committee is responsible for overseeing the management of risks relating to accounting matters and financial reporting and potential conflicts of interest.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w:t>
      </w:r>
    </w:p>
    <w:p>
      <w:pPr>
        <w:spacing w:after="0" w:line="17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Our Board of Directors believes that open communication between management and our Board of Directors is essential for effective risk management and oversight. Our Board of Directors meets with our Chief Executive Officer and other members of the senior management team at the meetings of our Board of Directors, where, among other topics, they discuss strategy and risks facing us, as well at such other times as they deemed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appropriate. Our Board of Directors believes its administration of its risk oversight function has not negatively affected the Board of Directors’ leadership structure.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on a periodic basis, and typically has such a session after each regularly scheduled board meeting. The Lead Independent Director of our Board of Directors is the presiding director over these executive sessions.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During the fiscal year ended December 31, 2020, our Board of Directors held six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Although we do not have a formal policy regarding attendance by members of our Board of Directors at annual meetings of stockholders, we encourage our directors to attend. All of our directors attended our 2020 annual meeting of stockholders in person or via teleconference.</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and a corporate governance and nominating committee, each of which has the composition and the responsibilities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members of our audit committee are Messrs. Lavigne, McGuire, and Wehner. Mr. Lavigne is the chairperson of our audit committee and together with Mr. Wehner, are our audit committee financial experts, as that term is defined under the SEC rules implementing Section 407 of SOX, and both possess financial sophistication, as defined under the rules of NASDAQ. Our audit committee oversees our corporate accounting and financial reporting process and assists our Board of Directors in monitoring our financial systems. The Company’s management is responsible for preparing our financial statements, and the independent auditor is responsible for auditing and reviewing those financial statements. The audit committee is responsible for assisting the Board in overseeing the conduct of these activities by management and the independent auditor. Our audit committee also:</w:t>
      </w:r>
    </w:p>
    <w:p>
      <w:pPr>
        <w:spacing w:after="0" w:line="70"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and evaluate the independence, qualifications and performance of the independent registered public accounting firm, including review and evaluation of the lead partner of the independent auditor;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approves audit and non-audit services and fees;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financial statements and discusses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prepares the audit committee report that the SEC requires to be included in our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reports and communications from the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 and disclosure controls and procedure;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monitors conflicts of interest situations, and approves or prohibits any involvement in matters that may involve a conflict of interest or taking of a corporate opportunity;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related party transactions; and</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audit committee operates under a written charter, which satisfies the applicable rules of the SEC and the listing standards of NASDAQ. A copy of the charter of our audit committee is available on our website at https://investors.alector.com. During the fiscal year ended December 31, 2020, our audit committee held four meetings.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members of our compensation committee are Dr. Hammond and Messrs. Lavigne and Wehner. Mr. Wehner is the chairperson of our compensation committee. Our compensation committee oversees our compensation policies, plans, and benefits programs. The compensation committee also:</w:t>
      </w:r>
    </w:p>
    <w:p>
      <w:pPr>
        <w:spacing w:after="0" w:line="2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our overall compensation philosophy and compensation policies, plans, and benefit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reviews and approves or recommends to the Board of Directors for approval compensation for our executive officers and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prepares the compensation committee report that the SEC will require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administers our equity compensation plans and incentive compensation plans.</w:t>
      </w:r>
    </w:p>
    <w:p>
      <w:pPr>
        <w:spacing w:after="0" w:line="225"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Our compensation committee operates under a written charter, which satisfies the applicable rules of the SEC and the listing standards of NASDAQ. A copy of the charter of our compensation committee is available on our website at https://investors.alector.com. During the fiscal year ended December 31, 2020, our compensation committee held six meetings and acted by unanimous written consent eight times.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The members of our corporate governance and nominating committee are Dr. Yaffe and Mr. McGuire. Mr. McGuire is the chairperson of our corporate governance and nominating committee. Our corporate governance and nominating committee oversees and assists our Board of Directors in reviewing and recommending nominees for election as directors. Specifically, the corporate governance and nominating committee:</w:t>
      </w:r>
    </w:p>
    <w:p>
      <w:pPr>
        <w:spacing w:after="0" w:line="71" w:lineRule="exact"/>
        <w:rPr>
          <w:sz w:val="20"/>
          <w:szCs w:val="20"/>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makes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considers and makes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22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Our corporate governance and nominating committee operates under a written charter, which satisfies the applicable rules of the SEC and the listing standards of NASDAQ. A copy of the charter of our corporate governance and nominating committee is available on our website at https://investors.alector.com. During the fiscal year ended December 31, 2020, our corporate governance and nominating committee held four meetings.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corporate governance and nominating committee uses a variety of methods for identifying and evaluating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management and be leaders in the companies or institutions with which they are affiliated. Director candidates must have sufficient time available in the judgment of our corporate governance and nominating committee to perform all board of director and committee responsibilities. Members of our Board of Directors are expected to prepare for, attend, and participate in all Board of Director and applicable committee meetings. Other than the foregoing, there are no stated minimum criteria for director nominees, although our corporate governance and nominating committee may also consider such other factors as it may deem, from time to time, are in our and our stockholders’ best interests.</w:t>
      </w:r>
    </w:p>
    <w:p>
      <w:pPr>
        <w:spacing w:after="0" w:line="168"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Although our Board of Directors does not maintain a specific policy with respect to board diversity, our Board of Directors believes that our Board of Directors should be a diverse body, and our corporate governance and nominating committee may consider such factors as differences in professional background, education, skill, and other individual qualities and attributes that contribute to the total mix of viewpoints and experience represented on our Board of Directors.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corporate governance and nominating committee will consider director candidates recommended by stockholders holding at least 1% of the fully diluted capitalization of our company continuously for at least 12 months prior to the date of the submission of the recommendation, so long as such recommendations comply with our amended and restated certificate of incorporation and bylaws and applicable laws, rules, and regulations, including those promulgated by the SEC. Our corporate governance and nominating committee will evaluate such recommendations in accordance with its charter, our bylaws, our policies and procedures for director candidates, as well as the regular director nominee criteria described above. Eligible stockholders wishing to recommend a candidate for nomination should contact our Secretary in writing. Such recommendations must include information about the candidate and any relationships between the candidate and our company, a statement of support by the recommending stockholder, evidence of the recommending stockholder’s ownership of our common stock, and a signed letter from the candidate confirming willingness to serve on our Board of Directors. Our corporate governance and nominating committee has discretion to decide which individuals to recommend for nomination as directors.</w:t>
      </w:r>
    </w:p>
    <w:p>
      <w:pPr>
        <w:spacing w:after="0" w:line="16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Under our bylaws, stockholders may also nominate persons for our Board of Directors. Any nomination must comply with the requirements set forth in our bylaws and should be sent in writing to our Secretary at Alector,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Inc., 131 Oyster Point Boulevard, Suite 600, South San Francisco, California 94080. To be timely for our 2022 annual meeting of stockholders, our Secretary must receive the nomination no earlier than February 12, 2022 and no later than March 14,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Secretary at Alector, Inc., 131 Oyster Point Boulevard, Suite 600, South San Francisco, California 94080. Our Secretary, in consultation with appropriate members of our Board of Directors as necessary, will review all incoming communications and, if appropriate, such communications will be forwarded to the appropriate member or members of our Board of Directors, or if none is specified, to the Chair of our Board of Directors.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President and Chief Operating Officer, and other executive and senior financial officers. The full text of our Corporate Governance Guidelines and our Code of Business Conduct and Ethics is posted on the Corporate Governance portion of our website at https://investors.alector.com. We will post amendments to our Code of Business Conduct and Ethics or waivers of our Code of Business Conduct and Ethics for directors and executive officers on the same website.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Rosenthal was our only employee director during 2020. See the section titled “Executive Compensation” for additional information about Dr. Rosenthal’s compensation.</w:t>
      </w:r>
    </w:p>
    <w:p>
      <w:pPr>
        <w:spacing w:after="0" w:line="146"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Fees Earned or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Option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640" w:type="dxa"/>
            <w:vAlign w:val="bottom"/>
            <w:gridSpan w:val="3"/>
          </w:tcPr>
          <w:p>
            <w:pPr>
              <w:ind w:left="1640"/>
              <w:spacing w:after="0"/>
              <w:rPr>
                <w:sz w:val="20"/>
                <w:szCs w:val="20"/>
                <w:color w:val="auto"/>
              </w:rPr>
            </w:pPr>
            <w:r>
              <w:rPr>
                <w:rFonts w:ascii="Arial" w:cs="Arial" w:eastAsia="Arial" w:hAnsi="Arial"/>
                <w:sz w:val="14"/>
                <w:szCs w:val="14"/>
                <w:b w:val="1"/>
                <w:bCs w:val="1"/>
                <w:color w:val="auto"/>
                <w:w w:val="93"/>
              </w:rPr>
              <w:t xml:space="preserve">Paid in Cash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(1)(2)</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Tillman Gerngross, Ph.D.</w:t>
            </w:r>
          </w:p>
        </w:tc>
        <w:tc>
          <w:tcPr>
            <w:tcW w:w="1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349,985</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Paula Hammond, Ph.D.</w:t>
            </w:r>
            <w:r>
              <w:rPr>
                <w:rFonts w:ascii="Arial" w:cs="Arial" w:eastAsia="Arial" w:hAnsi="Arial"/>
                <w:sz w:val="15"/>
                <w:szCs w:val="15"/>
                <w:color w:val="auto"/>
              </w:rPr>
              <w:t>(3)</w:t>
            </w:r>
          </w:p>
        </w:tc>
        <w:tc>
          <w:tcPr>
            <w:tcW w:w="19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566,530</w:t>
            </w:r>
          </w:p>
        </w:tc>
        <w:tc>
          <w:tcPr>
            <w:tcW w:w="4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601,655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Louis J. Lavigne, Jr.</w:t>
            </w: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349,985</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Terry McGuire</w:t>
            </w:r>
          </w:p>
        </w:tc>
        <w:tc>
          <w:tcPr>
            <w:tcW w:w="19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349,985</w:t>
            </w:r>
          </w:p>
        </w:tc>
        <w:tc>
          <w:tcPr>
            <w:tcW w:w="4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405,485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Richard Scheller, Ph.D.</w:t>
            </w: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39,038</w:t>
            </w:r>
          </w:p>
        </w:tc>
        <w:tc>
          <w:tcPr>
            <w:tcW w:w="1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$1,506,785(4)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$1,545,823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David Wehner</w:t>
            </w:r>
          </w:p>
        </w:tc>
        <w:tc>
          <w:tcPr>
            <w:tcW w:w="19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58,187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349,985</w:t>
            </w:r>
          </w:p>
        </w:tc>
        <w:tc>
          <w:tcPr>
            <w:tcW w:w="4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Kristine Yaffe, M.D.</w:t>
            </w: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349,985</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79"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the award as calculated in accordance with FASB ASC Topic 718 (as defined below). The assumptions used in calculating the grant date fair value of the award disclosed in this column are set forth in the notes to our audited financial statements included in our annual report on Form 10-K filed on February 25, 2021. These amounts do not correspond to the actual value that may be recognized by the directors upon vesting or exercise of the applicable awards.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2020, our non-employee directors held outstanding options to purchase the number of shares of common stock as follows: Dr. Gerngross (39,274 shares); Dr. Hammond (29,443 shares); Mr. Lavigne (109,274 shares); Mr. McGuire (39,274 shares); Dr. Scheller (241,089 shares); Mr. Wehner (109,274 shares); and Dr. Yaffe (59,274 shares).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Hammond joined our Board of Directors in March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a stock option grant to purchase 100,000 shares of Company common stock as described in the section titled “Related Party Transactions</w:t>
      </w:r>
    </w:p>
    <w:p>
      <w:pPr>
        <w:spacing w:after="0" w:line="3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 Consulting Agreement with Dr. Richard Scheller”.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Our Board of Directors has adopted our Outside Director Compensation Policy. Our Outside Director Compensation Policy provides that all non-employee directors are entitled to receive the following cash compensation for their services:</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$40,000 retainer per year for each non-employee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$20,000 retainer per year for service as non-executive chairman of the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$20,000 retainer per year for service as lead non-employee director;</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$15,000 retainer per year for the chairman of the audit committee or $7,500 retainer per year for each other member of the audit committee;</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$10,000 retainer per year for the chairman of the compensation committee or $5,000 retainer per year for each other member of the compensation committee;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$8,000 retainer per year for the chairman of the nominating and corporate governance committee or $4,000 retainer per year for each other member of the nominating and corporate governance committee.</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Each non-employee director who serves as the chair of a committee receives only the additional annual fee as the chair of the committee and does not receive the additional annual fee as a member of the committee. All cash payments to non-employee directors are paid quarterly in arrears on a prorated basis.</w:t>
      </w:r>
    </w:p>
    <w:p>
      <w:pPr>
        <w:spacing w:after="0" w:line="18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In addition to the cash compensation structure described above, our Outside Director Compensation Policy provides the following equity incentive compensation program for non-employee directors. Each non-employee director who first joins us (other than a director who becomes a non-employee director as a result of terminating employment with us) automatically will be granted on the first trading date on or after his or her start date as a non-employee director a one-time, initial option award having a grant date fair value of approximately $550,000. Further, on the date of each of our annual stockholder meetings, each non-employee director who, as of such annual meeting date, has served on the board as a director for at least the preceding six months, automatically will be granted an annual option award having a grant date fair value of approximately $350,000.</w:t>
      </w:r>
    </w:p>
    <w:p>
      <w:pPr>
        <w:spacing w:after="0" w:line="16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initial option will vest as to 1/4th of the underlying shares on the one-year anniversary of the date the director’s service as a non-employee director started and as to 1/48th of the underlying shares each following month, subject to continued service through each relevant vesting date. Each annual option will vest as to 1/12th of the underlying shares each month after the award’s grant date and will vest in full on the earlier of the 12-month anniversary of the date of grant or on the date of our annual stockholder meetings following the date the annual option is granted, subject to continued service through each relevant vesting date. In the event of a change in control of our company, all equity awards granted to a non-employee director (including those granted pursuant to our Outside Director Compensation Policy) will fully vest and become immediately exercisable, subject to continued service through such date. Each initial option and annual option will have a term of 10 years and will have an exercise price per share equal to 100% of the fair market value of a share of our common stock on the date of grant.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any fiscal year, a non-employee director may be paid, issued, or granted cash compensation and equity awards with a total value of no greater than $750,000 (increased to $1,000,000 in the fiscal year of his or her initial service as an outside director) with the value of an equity award based on its grant date fair value for purposes of this limit (annual director limit). Equity awards or cash compensation granted to a non-employee director for his or her service as an employee or consultant (other than a non-employee director) does not count toward the annual director limit.</w:t>
      </w:r>
    </w:p>
    <w:p>
      <w:pPr>
        <w:spacing w:after="0" w:line="17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Our Outside Director Compensation Policy also provides for the reimbursement of our non-employee directors for reasonable, customary, and documented travel expenses to attend meetings of our Board of Directors.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Compensation for our non-employee directors is not limited to the equity awards and payments set forth in our Outside Director Compensation Policy. Our non-employee directors remain eligible to receive equity awards and cash or other compensation outside of the Outside Director Compensation Policy, as may be provided from time to time at the discretion of our Board of Directors.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32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Board of Directors is currently comprised of eight members. In accordance with our amended and restated certificate of incorporation, our Board of Directors is divided into three staggered classes of directors. At the Annual Meeting, three Class III directors will be elected for a three-year term to succeed the same class whose term is then expiring.</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Tillman Gerngross, Ph.D., Richard Scheller, Ph.D., and Louis J. Lavigne, Jr. as nominees for election as Class III directors at the Annual Meeting. If elected, Messrs. Gerngross, Scheller, and Lavigne will serve as Class III directors until our 2024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spacing w:after="0" w:line="18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Messrs. Gerngross, Scheller, and Lavigne. We expect that each of Messrs. Gerngross, Scheller, and Lavigne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or nominee, your broker will leave your shares unvoted on this matter.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election of directors requires a plurality vote of the shares of our common stock present (including by proxy) at the Annual Meeting and entitled to vote thereon to be approved. Broker non-votes will have no effect on this proposal.</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EACH OF THE NOMINEES NAMED ABOVE.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Audit Committee has appointed Ernst &amp; Young LLP (“Ernst &amp; Young”), an independent registered public accounting firm, to audit our consolidated financial statements for the fiscal year ending December 31, 2021. During the fiscal year ended December 31, 2020, Ernst &amp; Young served as our independent registered public accounting firm. Ernst &amp; Young LLP has served as our independent registered public accounting firm since 2017.</w:t>
      </w:r>
    </w:p>
    <w:p>
      <w:pPr>
        <w:spacing w:after="0" w:line="14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Notwithstanding the appointment of Ernst &amp; Young and even if our stockholders ratify the appointment, our Audit Committee, in its discretion, may appoint another independent registered public accounting firm at any time during the fiscal year if our Audit Committee believes that such a change would be in the best interests of our company and our stockholders. At the Annual Meeting, our stockholders are being asked to ratify the appointment of Ernst &amp; Young as our independent registered public accounting firm for the fiscal year ending December 31, 2021. Our Audit Committee is submitting the appointment of Ernst &amp; Young to our stockholders because we value our stockholders’ views on our independent registered public accounting firm and as a matter of good corporate governance. Representatives of Ernst &amp; Young will be present at the Annual Meeting, and they will have an opportunity to make a statement and will be available to respond to appropriate questions from our stockholders.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our stockholders do not ratify the appointment of Ernst &amp; Young, our Board of Directors may reconsider the appointment.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Ernst &amp; Young for the fiscal years ended December 31,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$ 1,341,663</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929,636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98,880</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58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1,343,663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1,030,516</w:t>
            </w:r>
          </w:p>
        </w:tc>
        <w:tc>
          <w:tcPr>
            <w:tcW w:w="40" w:type="dxa"/>
            <w:vAlign w:val="bottom"/>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line="25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performed by Ernst &amp; Young LLP for the audit of our annual consolidated financial statements, the review of interim financial statements, and related services that are normally provided in connection with registration statements, including the registration statement for our follow-on public offering which we completed in February 2020, and our initial public offering, which we completed in February 2019. Included in the 2020 Audit Fees is $93,000 of fees billed in connection with our follow-on public offering, and included in the 2019 Audit Fees is $88,000 of fees billed in connection with our follow-on public offering, and $194,000 of fees billed in connection with our initial public offering.</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Audit-Related Fees include fees billed by Ernst &amp; Young LLP for assurance and related services that are reasonably related to the performance of the audit or review of our consolidated financial statements.</w:t>
      </w: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consulting and compliance performed by Ernst &amp; Young LLP.</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Fees consists of fees paid to Ernst &amp; Young LLP for access to its proprietary accounting research database.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In the fiscal year ended December 31, 2020, there were no other professional services provided by Ernst &amp; Young, other than those listed above, that would have required our Audit Committee to consider their compatibility with maintaining the independence of Ernst &amp; Young.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Audit Committee Policy on Pre-Approval of Audit and Permissible Non-Audit Services of Independent Registered Public Accounting Firm</w:t>
      </w:r>
    </w:p>
    <w:p>
      <w:pPr>
        <w:spacing w:after="0" w:line="14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Our Audit Committee has established a policy governing our use of the services of our independent registered public accounting firm. Under this policy, our Audit Committee is required to pre-approve all audit and permissible non-audit services,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performed by our independent registered public accounting firm in order to ensure that the provision of such services does not impair the public accountants’ independence. All fees paid to Ernst &amp; Young for the fiscal years ended December 31, 2020 and 2019 were pre-approved by our Audit Committee.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ratification of the appointment of Ernst &amp; Young as our independent registered public accounting firm requires the affirmative vote of a majority of the shares of our common stock present (including by proxy) at the Annual Meeting and entitled to vote thereon. Abstentions will have the effect of a vote “AGAINST” the proposal and broker non-votes will have no effect.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RATIFICATION OF THE APPOINTMENT OF ERNST &amp; YOUNG LLP.</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11"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officers named in the Summary Compensation Table (“named executive officers”) as disclosed in this proxy statement.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recommends a vote “FOR” the following resolution:</w:t>
      </w:r>
    </w:p>
    <w:p>
      <w:pPr>
        <w:spacing w:after="0" w:line="22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“RESOLVED, that the stockholders of Alector, Inc. approve, on an advisory basis, the compensation of the named executive officers, as disclosed in the proxy statement, including the Compensation Discussion and Analysis, the compensation tables and any related narrative discussion.”</w:t>
      </w:r>
    </w:p>
    <w:p>
      <w:pPr>
        <w:spacing w:after="0" w:line="14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became public in February 2019 and since that time we have made significant changes to our executive compensation program to reflect our transition from a private to public company. This is the first time we have included an advisory “say-on-pay” vote at the annual meeting of the stockholders, as our Board of Directors believes that stockholders will now be able to provide more meaningful feedback regarding the effectiveness of our executive compensation program and its relation to business outcomes of our company. We intend to submit the executive compensation of our named executive officers to an advisory vote at our annual meeting of stockholders consistent with the advisory vote of the stockholders at the Annual Meeting.</w:t>
      </w:r>
    </w:p>
    <w:p>
      <w:pPr>
        <w:spacing w:after="0" w:line="19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Compensation Discussion and Analysis, beginning on page 27, describes our executive compensation programs and the compensation decisions made by our compensation committee and Board of Directors for the fiscal year ended December 31, 2020 with respect to the named executive officers. As described in detail in the Compensation Discussion and Analysis and highlighted in the section captioned “Executive Summary,” our compensation committee believes that the most effective compensation program is designed to provide a substantial portion of executive compensation in the form of variable, at-risk pay which is earned based on performance. Our compensation committee thoughtfully employs the primary compensation elements of base salary, annual cash incentives, and long-term equity awards, to achieve these objectives.</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is asking you to support this proposal. Because your vote is advisory, it will not be binding. However, the Board of Directors and the compensation committee will review the voting results in their entirety and take them into consideration when making future decisions regarding named executive officer compensation.</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BOARD OF DIRECTORS RECOMMENDS A VOTE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APPROVAL OF PROPOSAL NO. 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ADVISORY VOTE ON THE FREQUENCY OF FUTURE ADVISORY VOTES 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NAMED EXECUTIVE OFFICER COMPENSATION</w:t>
      </w:r>
    </w:p>
    <w:p>
      <w:pPr>
        <w:spacing w:after="0" w:line="21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accordance with The Dodd-Frank Wall Street Reform and Consumer Protection Act of 2010 and Section 14A of the Exchange Act, we must provide our stockholders with the opportunity to make a non-binding, advisory vote on the frequency of future advisory votes on named executive officer compensation (the “Say-On-Frequency Vote”). The non-binding, advisory Say-On-Frequency Vote must be submitted to our stockholders at least once every six years.</w:t>
      </w:r>
    </w:p>
    <w:p>
      <w:pPr>
        <w:spacing w:after="0" w:line="18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are asking stockholders to indicate whether they prefer to cast future advisory votes on named executive officer compensation “EVERY YEAR,” “EVERY TWO YEARS” or “EVERY THREE YEARS.” Stockholders may also abstain from voting on this proposal. The frequency that receives the greatest number of votes cast by stockholders will be considered the advisory vote of our stockholders.</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board of directors values the opinions of our stockholders and will consider the result of the Say-On-Frequency Vote in determining the frequency with which we will hold future advisory votes on named executive officer compensation. However, the Say-On-Pay Frequency Vote is not binding. Our board of directors may determine that it is in the best interests of the company and our stockholders to hold an advisory vote on named executive officer compensation more or less frequently than the frequency that is selected by our stockholders.</w:t>
      </w:r>
    </w:p>
    <w:p>
      <w:pPr>
        <w:spacing w:after="0" w:line="17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 xml:space="preserve">After careful consideration, our board of directors recommends that future non-binding advisory votes on the compensation of our named executive officers be held </w:t>
      </w:r>
      <w:r>
        <w:rPr>
          <w:rFonts w:ascii="Arial" w:cs="Arial" w:eastAsia="Arial" w:hAnsi="Arial"/>
          <w:sz w:val="18"/>
          <w:szCs w:val="18"/>
          <w:b w:val="1"/>
          <w:bCs w:val="1"/>
          <w:color w:val="auto"/>
        </w:rPr>
        <w:t>every year</w:t>
      </w:r>
      <w:r>
        <w:rPr>
          <w:rFonts w:ascii="Arial" w:cs="Arial" w:eastAsia="Arial" w:hAnsi="Arial"/>
          <w:sz w:val="18"/>
          <w:szCs w:val="18"/>
          <w:color w:val="auto"/>
        </w:rPr>
        <w:t>.</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BOARD OF DIRECTORS RECOMMENDS A VOTE FOR “EVERY YEAR”</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SAY-ON-FREQUENCY VOTE.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The information contained in the following Audit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Alector, Inc. (the “Company”) specifically incorporates it by reference in such filing.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serves as the representative of our Board of Directors with respect to its oversight of:</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selection and hiring, independence, qualifications, performance, and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accounting and financial reporting processes and the audit of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policies for risk assessment and risk management and reviewing and monitoring conflicts of interest situations.</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audit committee reviewed and discussed the audited financial statements for the fiscal year ended December 31, 2020 with management and Ernst &amp; Young LLP, the Company’s independent registered public accounting firm. The audit committee has discussed with Ernst &amp; Young LLP the matters required to be discussed by the applicable requirements of the Public Company Accounting Oversight Board (“PCAOB”) and the SEC.</w:t>
      </w:r>
    </w:p>
    <w:p>
      <w:pPr>
        <w:spacing w:after="0" w:line="14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The audit committee is composed of three non-employee directors. Our Board of Directors has determined that each member of the audit committee is independent and that Messrs. Lavigne and Wehner each qualify as an “audit committee financial expert” under the SEC rules.</w:t>
      </w:r>
    </w:p>
    <w:p>
      <w:pPr>
        <w:spacing w:after="0" w:line="12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Concerning Independence</w:t>
      </w:r>
      <w:r>
        <w:rPr>
          <w:rFonts w:ascii="Arial" w:cs="Arial" w:eastAsia="Arial" w:hAnsi="Arial"/>
          <w:sz w:val="16"/>
          <w:szCs w:val="16"/>
          <w:color w:val="auto"/>
        </w:rPr>
        <w:t>, and considered the compatibility of any non-audit services with Ernst &amp; Young LLP’s independence.</w:t>
      </w:r>
    </w:p>
    <w:p>
      <w:pPr>
        <w:spacing w:after="0" w:line="16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Based on the review and discussions referred to above, the audit committee recommended to our Board of Directors that the Company’s audited consolidated financial statements be included in the Company’s Annual Report on Form 10-K for the fiscal year ended December 31, 2020 for filing with the Securities and Exchange Commission. The audit committee also has selected Ernst &amp; Young LLP as the independent registered public accounting firm for fiscal year 2021. Our Board of Directors recommends that stockholders ratify this selection at the Annual Meeting.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Louis J. Lavigne, Jr. (Chairperson)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Terry McGuire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David Wehner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identifies certain information about our executive officers as of March 1, 2021. Our executive officers are appointed by, and serve at the discretion of, our Board of Directors. There are no family relationships among any of our directors or executive officers.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5840" w:type="dxa"/>
            <w:vAlign w:val="bottom"/>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Arnon</w:t>
            </w:r>
          </w:p>
        </w:tc>
        <w:tc>
          <w:tcPr>
            <w:tcW w:w="4360" w:type="dxa"/>
            <w:vAlign w:val="bottom"/>
          </w:tcPr>
          <w:p>
            <w:pPr>
              <w:ind w:left="140"/>
              <w:spacing w:after="0" w:line="189" w:lineRule="exact"/>
              <w:rPr>
                <w:sz w:val="20"/>
                <w:szCs w:val="20"/>
                <w:color w:val="auto"/>
              </w:rPr>
            </w:pPr>
            <w:r>
              <w:rPr>
                <w:rFonts w:ascii="Arial" w:cs="Arial" w:eastAsia="Arial" w:hAnsi="Arial"/>
                <w:sz w:val="18"/>
                <w:szCs w:val="18"/>
                <w:color w:val="auto"/>
              </w:rPr>
              <w:t>Rosenthal, Ph.D.</w:t>
            </w: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6"/>
                <w:szCs w:val="16"/>
                <w:color w:val="auto"/>
              </w:rPr>
            </w:pPr>
          </w:p>
        </w:tc>
        <w:tc>
          <w:tcPr>
            <w:tcW w:w="5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Shehnaaz Suliman,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Robert Paul, M.D.,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Robert King,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Calvin Yu</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Arnon Rosenthal. For a biography of Dr. Rosenthal, please see the section titled “Board of Directors and Corporate Governance.”</w:t>
      </w:r>
    </w:p>
    <w:p>
      <w:pPr>
        <w:spacing w:after="0" w:line="225"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i w:val="1"/>
          <w:iCs w:val="1"/>
          <w:color w:val="auto"/>
        </w:rPr>
        <w:t>Shehnaaz Suliman, M.D., President and Chief Operating Officer</w:t>
      </w:r>
      <w:r>
        <w:rPr>
          <w:rFonts w:ascii="Arial" w:cs="Arial" w:eastAsia="Arial" w:hAnsi="Arial"/>
          <w:sz w:val="17"/>
          <w:szCs w:val="17"/>
          <w:color w:val="auto"/>
        </w:rPr>
        <w:t>. Dr. Suliman has served as our President and Chief Operating Officer since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2019. Dr. Suliman previously served as Senior Vice President, Corporate Development and Strategy of Theravance Biopharma, Inc., a position she held from July 2017 to March 2019. Prior to her position at Theravance, Dr. Suliman worked for Genentech, Inc. as Group Leader and Project Team Leader in the R&amp;D Portfolio Management and Operations Group from September 2010 to May 2015 and then as Vice President and Global Therapeutic Head, Roche Partnering from June 2015 to July 2017. Prior to Genentech, Dr. Suliman held various management roles of increasing responsibility at Gilead Sciences, Inc. between January 2005 and September 2010. Prior to Gilead, Dr. Suliman was an investment banker with Lehman Brothers and Petkevich &amp; Partners, advising public and private companies on buy- and sell-side transactions. She is a member of the board of directors of Ultragenyx Pharmaceutical Inc., a pharmaceutical company, and 10x Genomics, Inc., a life science technology company. Dr. Suliman received her M.D. at the University of Cape Town Medical School, South Africa, and holds an M.B.A., with distinction, and M.Phil. in Development Studies degrees from Oxford University, where she was a Rhodes Scholar.</w:t>
      </w:r>
    </w:p>
    <w:p>
      <w:pPr>
        <w:spacing w:after="0" w:line="18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i w:val="1"/>
          <w:iCs w:val="1"/>
          <w:color w:val="auto"/>
        </w:rPr>
        <w:t xml:space="preserve">Robert Paul, M.D., Ph.D., Chief Medical Officer. </w:t>
      </w:r>
      <w:r>
        <w:rPr>
          <w:rFonts w:ascii="Arial" w:cs="Arial" w:eastAsia="Arial" w:hAnsi="Arial"/>
          <w:sz w:val="17"/>
          <w:szCs w:val="17"/>
          <w:color w:val="auto"/>
        </w:rPr>
        <w:t>Dr. Paul has served as our Chief Medical Officer since October 2016. Dr. Paul joined Alector from</w:t>
      </w:r>
      <w:r>
        <w:rPr>
          <w:rFonts w:ascii="Arial" w:cs="Arial" w:eastAsia="Arial" w:hAnsi="Arial"/>
          <w:sz w:val="17"/>
          <w:szCs w:val="17"/>
          <w:i w:val="1"/>
          <w:iCs w:val="1"/>
          <w:color w:val="auto"/>
        </w:rPr>
        <w:t xml:space="preserve"> </w:t>
      </w:r>
      <w:r>
        <w:rPr>
          <w:rFonts w:ascii="Arial" w:cs="Arial" w:eastAsia="Arial" w:hAnsi="Arial"/>
          <w:sz w:val="17"/>
          <w:szCs w:val="17"/>
          <w:color w:val="auto"/>
        </w:rPr>
        <w:t>Genentech, Inc., where he held various roles of increasing responsibility between 2009 and 2016, including as Assistant Group Medical Director and TA Head Neuroscience Early Clinical Development gRED from October 2015 to October 2016, as Senior Medical Director from October 2013 to September 2015, as Medical Director from September 2011 to October 2013, and as Associate Medical Director from January 2009 to September 2011. From May 2002 to December 2008, Dr. Paul served as a Neurologist at the University of Munich. Dr. Paul is a board certified neurologist in Germany. He received a M.D. and a Ph.D. from Ludwig-Maximilians Universität München.</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 xml:space="preserve">Robert King, Ph.D., Chief Development Officer. </w:t>
      </w:r>
      <w:r>
        <w:rPr>
          <w:rFonts w:ascii="Arial" w:cs="Arial" w:eastAsia="Arial" w:hAnsi="Arial"/>
          <w:sz w:val="17"/>
          <w:szCs w:val="17"/>
          <w:color w:val="auto"/>
        </w:rPr>
        <w:t>Dr. King has served as our Chief Development Officer since January 2017. Dr. King joined Alector</w:t>
      </w:r>
      <w:r>
        <w:rPr>
          <w:rFonts w:ascii="Arial" w:cs="Arial" w:eastAsia="Arial" w:hAnsi="Arial"/>
          <w:sz w:val="17"/>
          <w:szCs w:val="17"/>
          <w:i w:val="1"/>
          <w:iCs w:val="1"/>
          <w:color w:val="auto"/>
        </w:rPr>
        <w:t xml:space="preserve"> </w:t>
      </w:r>
      <w:r>
        <w:rPr>
          <w:rFonts w:ascii="Arial" w:cs="Arial" w:eastAsia="Arial" w:hAnsi="Arial"/>
          <w:sz w:val="17"/>
          <w:szCs w:val="17"/>
          <w:color w:val="auto"/>
        </w:rPr>
        <w:t>from SciClone Pharmaceuticals, Inc. (acquired by a consortium led by GL Capital Partners, LLC), a biotechnology company, where he served as Senior Vice President of Product Development and Supply Chain from June 2011 to January 2017. Prior to SciClone Pharmaceuticals, Dr. King served as VP of Product Development and Manufacturing at Bayhill Therapeutics, Inc., a biotechnology company from 2006 to 2011. Dr. King served as VP Product Development and Manufacturing at Rinat Neuroscience Corp. (acquired by Pfizer), a biotechnology company, from 2003 to 2006. Dr. King served in positions of increasing responsibility at COR Therapeutics, Inc. (acquired by Millennium Pharmaceuticals, Inc. in 2002) from 1993 to 2003. From 1991 to 1993, Dr. King served as a Scientist in the Purification and Pharmaceutical Sciences groups at California Biotechnology/Scios. From 1988 to 1991, Dr. King was a Scientist at Molecular Devices Corporation. Dr. King received a Ph.D. in Chemical Engineering from the University of California, Berkeley, and a B.S. in Chemical Engineering from the University of Washington.</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 xml:space="preserve">Calvin Yu, Vice President, Finance. </w:t>
      </w:r>
      <w:r>
        <w:rPr>
          <w:rFonts w:ascii="Arial" w:cs="Arial" w:eastAsia="Arial" w:hAnsi="Arial"/>
          <w:sz w:val="17"/>
          <w:szCs w:val="17"/>
          <w:color w:val="auto"/>
        </w:rPr>
        <w:t>Mr. Yu has led our Finance team since June 2017. Mr. Yu joined Alector from Stemcentrx, Inc. (acquired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AbbVie), a biotechnology company, where he served as Corporate Controller from February 2016 to June 2017. Prior to Stemcentrx, Mr. Yu held several senior level finance roles at publicly traded biotechnology companies, including Senior Director of Finance and SEC Reporting at Adverum Biotechnologies, Inc. from September 2014 to February 2016, and Controller at Five Prime Therapeutics, Inc. from March 2010 to September 2014. Mr. Yu received his B.S. in Accounting from San Francisco State University, College of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This Compensation Discussion and Analysis (“CD&amp;A”) describes the principles underlying the material components of our executive compensation program for our executive officers, including the named executive officers in the “Summary Compensation Table.” We also provide an overview of the overall objectives of the program and the factors relevant to an analysis of these policies and decisions and how we use our executive compensation program to drive our performance.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the year ended December 31, 2020 are: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2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Arnon</w:t>
            </w:r>
          </w:p>
        </w:tc>
        <w:tc>
          <w:tcPr>
            <w:tcW w:w="5040" w:type="dxa"/>
            <w:vAlign w:val="bottom"/>
          </w:tcPr>
          <w:p>
            <w:pPr>
              <w:ind w:left="140"/>
              <w:spacing w:after="0" w:line="189" w:lineRule="exact"/>
              <w:rPr>
                <w:sz w:val="20"/>
                <w:szCs w:val="20"/>
                <w:color w:val="auto"/>
              </w:rPr>
            </w:pPr>
            <w:r>
              <w:rPr>
                <w:rFonts w:ascii="Arial" w:cs="Arial" w:eastAsia="Arial" w:hAnsi="Arial"/>
                <w:sz w:val="18"/>
                <w:szCs w:val="18"/>
                <w:color w:val="auto"/>
              </w:rPr>
              <w:t>Rosenthal, Ph.D.</w:t>
            </w:r>
          </w:p>
        </w:tc>
        <w:tc>
          <w:tcPr>
            <w:tcW w:w="5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Shehnaaz Suliman, M.D.</w:t>
            </w:r>
          </w:p>
        </w:tc>
        <w:tc>
          <w:tcPr>
            <w:tcW w:w="562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Robert King, Ph.D.</w:t>
            </w:r>
          </w:p>
        </w:tc>
        <w:tc>
          <w:tcPr>
            <w:tcW w:w="562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Robert Paul, M.D., Ph.D.</w:t>
            </w:r>
          </w:p>
        </w:tc>
        <w:tc>
          <w:tcPr>
            <w:tcW w:w="562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Calvin Yu</w:t>
            </w:r>
          </w:p>
        </w:tc>
        <w:tc>
          <w:tcPr>
            <w:tcW w:w="562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Background and 2020 Business Highlights</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mission is to develop therapies that empower the immune system to cure neurodegeneration. 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executive compensation program seeks to incentivize and reward strong corporate performance. Highlights of our 2020 corporate performance and executive compensation program are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and Regulatory</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dosed the first patient in a pivotal Phase 3 INFRONT-3 trial evaluating AL001 in patients with frontotemporal dementia.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initiated first-in-human dosing in the Phase 1 study of AL101 for the treatment of neurodegenerative diseases.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received a FDA Fast Track designation for AL101 for the treatment of patients with frontotemporal dementia.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initiated the Phase 1b study of AL003 in Alzheimer’s disease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entered into a licensing agreement with Innovent Biologics to develop and commercialize AL008 in oncology indications in China.</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Financings</w:t>
      </w:r>
    </w:p>
    <w:p>
      <w:pPr>
        <w:spacing w:after="0" w:line="131" w:lineRule="exact"/>
        <w:rPr>
          <w:sz w:val="20"/>
          <w:szCs w:val="20"/>
          <w:color w:val="auto"/>
        </w:rPr>
      </w:pPr>
    </w:p>
    <w:p>
      <w:pPr>
        <w:ind w:left="5540" w:right="1700" w:hanging="4884"/>
        <w:spacing w:after="0" w:line="449" w:lineRule="auto"/>
        <w:tabs>
          <w:tab w:leader="none" w:pos="10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February 2020, we completed a follow-on public offering for total gross proceeds of approximately $240 million. 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May 2020, we entered into an Equity Distribution Agreement with Morgan Stanley &amp; Co. LLC and Goldman Sachs &amp; Co. LLC, pursuant to which we may offer and sell, from time to time, up to $150 million in shares of our common stock.</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addition, we progressed multiple early-stage programs, including our AL009 development program, and made significant progress on other internal corporate goals.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Executive Compensation Program</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executive compensation program is designed to be competitive and appropriately balance our goals of attracting, engaging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is “at-risk,” meaning the amounts paid to each executive officer will vary based on our Company performance and their contributions to that performance.</w:t>
      </w:r>
    </w:p>
    <w:p>
      <w:pPr>
        <w:spacing w:after="0" w:line="15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Consistent with our philosophy of aligning executive pay with the short- and long-term performance of the Company, and to align the interests of management and stockholders, the Company’s compensation programs are designed to provide the majority of executive compensation in the form of variable, at-risk pay. Our Compensation Committee thoughtfully employs the primary compensation elements of base salary, short-term annual cash incentives, and long-term equity awards, to achieve these objectives.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target pay packages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619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8604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percentages above were calculated using base salary, target annual cash incentive compensation, and the grant date fair value of stock options. Similar to our industry based peers, we rely on stock option grants for our NEOs’ equity-based compensation because they do not provide realizable value to the holder unless shareholders also benefit from a stock price increase.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2020 Compensation Decisions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Aligned with our results and performance in 2020 as outlined above we took several actions related to our pay program.</w:t>
      </w:r>
    </w:p>
    <w:p>
      <w:pPr>
        <w:spacing w:after="0" w:line="127" w:lineRule="exact"/>
        <w:rPr>
          <w:sz w:val="20"/>
          <w:szCs w:val="20"/>
          <w:color w:val="auto"/>
        </w:rPr>
      </w:pPr>
    </w:p>
    <w:p>
      <w:pPr>
        <w:jc w:val="both"/>
        <w:ind w:left="1080" w:right="560" w:hanging="424"/>
        <w:spacing w:after="0" w:line="347"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Market Based Base Salary Increases. </w:t>
      </w:r>
      <w:r>
        <w:rPr>
          <w:rFonts w:ascii="Arial" w:cs="Arial" w:eastAsia="Arial" w:hAnsi="Arial"/>
          <w:sz w:val="16"/>
          <w:szCs w:val="16"/>
          <w:color w:val="auto"/>
        </w:rPr>
        <w:t>We adjusted base salaries of our executives based on our regular annual review of market</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data for similarly sized industry peers and individual NEO factors including roles, responsibilities, and performance;</w:t>
      </w:r>
    </w:p>
    <w:p>
      <w:pPr>
        <w:spacing w:after="0" w:line="21" w:lineRule="exact"/>
        <w:rPr>
          <w:rFonts w:ascii="Arial" w:cs="Arial" w:eastAsia="Arial" w:hAnsi="Arial"/>
          <w:sz w:val="16"/>
          <w:szCs w:val="16"/>
          <w:color w:val="auto"/>
        </w:rPr>
      </w:pPr>
    </w:p>
    <w:p>
      <w:pPr>
        <w:ind w:left="1080" w:hanging="424"/>
        <w:spacing w:after="0" w:line="282"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Payouts Tied to Performance. </w:t>
      </w:r>
      <w:r>
        <w:rPr>
          <w:rFonts w:ascii="Arial" w:cs="Arial" w:eastAsia="Arial" w:hAnsi="Arial"/>
          <w:sz w:val="18"/>
          <w:szCs w:val="18"/>
          <w:color w:val="auto"/>
        </w:rPr>
        <w:t>Our 2020 annual bonus paid out at 80.42% of target since we successfully met almost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our functional goals and a large number of our program-</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32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specific goals, including several that were considered key value drivers for the Company such as those relating to our AL001, AL101, and AL003 programs. Bonus payouts were lower than in 2019, since that was an exceptional year in terms of progress in the portfolio and achievement of program specific goals; and</w:t>
      </w:r>
    </w:p>
    <w:p>
      <w:pPr>
        <w:spacing w:after="0" w:line="85" w:lineRule="exact"/>
        <w:rPr>
          <w:sz w:val="20"/>
          <w:szCs w:val="20"/>
          <w:color w:val="auto"/>
        </w:rPr>
      </w:pPr>
    </w:p>
    <w:p>
      <w:pPr>
        <w:ind w:left="1080" w:right="480" w:hanging="424"/>
        <w:spacing w:after="0" w:line="282"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as Primary Long-Term Incentive Component: </w:t>
      </w:r>
      <w:r>
        <w:rPr>
          <w:rFonts w:ascii="Arial" w:cs="Arial" w:eastAsia="Arial" w:hAnsi="Arial"/>
          <w:sz w:val="18"/>
          <w:szCs w:val="18"/>
          <w:color w:val="auto"/>
        </w:rPr>
        <w:t>Consistent with the prior year, we granted options to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during 2020 to motivate and retain our executives, in line with our philosophy as detailed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Governance</w:t>
      </w:r>
    </w:p>
    <w:p>
      <w:pPr>
        <w:spacing w:after="0" w:line="117"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With guidance from an independent compensation consultant, we maintain sound compensation and governance standards, and we adopt best practices in establishing and administering policies in support of these standards. The Compensation Committee evaluates our executive compensation program regularly to ensure that it supports our short-term and long-term goals to compete for executive talent as well as protect our stockholders’ interests.</w:t>
      </w:r>
    </w:p>
    <w:p>
      <w:pPr>
        <w:spacing w:after="0" w:line="14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Our pay-for-performance philosophy and compensation governance practices provide an appropriate framework to our executives to achieve our strategic goals without encouraging them to take excessive risks in their business decisions. Some of our practices include:</w:t>
      </w:r>
    </w:p>
    <w:p>
      <w:pPr>
        <w:sectPr>
          <w:pgSz w:w="11900" w:h="16838" w:orient="portrait"/>
          <w:cols w:equalWidth="0" w:num="1">
            <w:col w:w="11060"/>
          </w:cols>
          <w:pgMar w:left="320" w:top="459" w:right="519" w:bottom="1440" w:gutter="0" w:footer="0" w:header="0"/>
        </w:sectPr>
      </w:pPr>
    </w:p>
    <w:p>
      <w:pPr>
        <w:spacing w:after="0" w:line="21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What We Do</w:t>
      </w:r>
    </w:p>
    <w:p>
      <w:pPr>
        <w:spacing w:after="0" w:line="212" w:lineRule="exact"/>
        <w:rPr>
          <w:sz w:val="20"/>
          <w:szCs w:val="20"/>
          <w:color w:val="auto"/>
        </w:rPr>
      </w:pPr>
    </w:p>
    <w:p>
      <w:pPr>
        <w:ind w:left="500" w:hanging="380"/>
        <w:spacing w:after="0"/>
        <w:tabs>
          <w:tab w:leader="none" w:pos="5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Pay for performance philosophy and culture</w:t>
      </w:r>
    </w:p>
    <w:p>
      <w:pPr>
        <w:spacing w:after="0" w:line="92" w:lineRule="exact"/>
        <w:rPr>
          <w:rFonts w:ascii="MS PGothic" w:cs="MS PGothic" w:eastAsia="MS PGothic" w:hAnsi="MS PGothic"/>
          <w:sz w:val="18"/>
          <w:szCs w:val="18"/>
          <w:color w:val="auto"/>
        </w:rPr>
      </w:pPr>
    </w:p>
    <w:p>
      <w:pPr>
        <w:ind w:left="500" w:hanging="380"/>
        <w:spacing w:after="0"/>
        <w:tabs>
          <w:tab w:leader="none" w:pos="500" w:val="left"/>
        </w:tabs>
        <w:numPr>
          <w:ilvl w:val="0"/>
          <w:numId w:val="29"/>
        </w:numPr>
        <w:rPr>
          <w:rFonts w:ascii="MS PGothic" w:cs="MS PGothic" w:eastAsia="MS PGothic" w:hAnsi="MS PGothic"/>
          <w:sz w:val="29"/>
          <w:szCs w:val="29"/>
          <w:color w:val="auto"/>
          <w:vertAlign w:val="subscript"/>
        </w:rPr>
      </w:pPr>
      <w:r>
        <w:rPr>
          <w:rFonts w:ascii="Arial" w:cs="Arial" w:eastAsia="Arial" w:hAnsi="Arial"/>
          <w:sz w:val="15"/>
          <w:szCs w:val="15"/>
          <w:color w:val="auto"/>
        </w:rPr>
        <w:t>Responsible</w:t>
      </w:r>
      <w:r>
        <w:rPr>
          <w:rFonts w:ascii="Arial" w:cs="Arial" w:eastAsia="Arial" w:hAnsi="Arial"/>
          <w:sz w:val="28"/>
          <w:szCs w:val="28"/>
          <w:color w:val="auto"/>
          <w:vertAlign w:val="subscript"/>
        </w:rPr>
        <w:t>program</w:t>
      </w:r>
      <w:r>
        <w:rPr>
          <w:rFonts w:ascii="Arial" w:cs="Arial" w:eastAsia="Arial" w:hAnsi="Arial"/>
          <w:sz w:val="15"/>
          <w:szCs w:val="15"/>
          <w:color w:val="auto"/>
        </w:rPr>
        <w:t xml:space="preserve"> use of shares under our long-term equity incentive</w:t>
      </w:r>
    </w:p>
    <w:p>
      <w:pPr>
        <w:spacing w:after="0" w:line="242" w:lineRule="exact"/>
        <w:rPr>
          <w:rFonts w:ascii="MS PGothic" w:cs="MS PGothic" w:eastAsia="MS PGothic" w:hAnsi="MS PGothic"/>
          <w:sz w:val="29"/>
          <w:szCs w:val="29"/>
          <w:color w:val="auto"/>
          <w:vertAlign w:val="subscript"/>
        </w:rPr>
      </w:pPr>
    </w:p>
    <w:p>
      <w:pPr>
        <w:ind w:left="500" w:hanging="380"/>
        <w:spacing w:after="0"/>
        <w:tabs>
          <w:tab w:leader="none" w:pos="5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Align pay outcomes with objective performance outcomes</w:t>
      </w:r>
    </w:p>
    <w:p>
      <w:pPr>
        <w:spacing w:after="0" w:line="117" w:lineRule="exact"/>
        <w:rPr>
          <w:rFonts w:ascii="MS PGothic" w:cs="MS PGothic" w:eastAsia="MS PGothic" w:hAnsi="MS PGothic"/>
          <w:sz w:val="18"/>
          <w:szCs w:val="18"/>
          <w:color w:val="auto"/>
        </w:rPr>
      </w:pPr>
    </w:p>
    <w:p>
      <w:pPr>
        <w:ind w:left="500" w:hanging="380"/>
        <w:spacing w:after="0" w:line="188" w:lineRule="auto"/>
        <w:tabs>
          <w:tab w:leader="none" w:pos="500" w:val="left"/>
        </w:tabs>
        <w:numPr>
          <w:ilvl w:val="0"/>
          <w:numId w:val="29"/>
        </w:numPr>
        <w:rPr>
          <w:rFonts w:ascii="MS PGothic" w:cs="MS PGothic" w:eastAsia="MS PGothic" w:hAnsi="MS PGothic"/>
          <w:sz w:val="36"/>
          <w:szCs w:val="36"/>
          <w:color w:val="auto"/>
          <w:vertAlign w:val="subscript"/>
        </w:rPr>
      </w:pPr>
      <w:r>
        <w:rPr>
          <w:rFonts w:ascii="Arial" w:cs="Arial" w:eastAsia="Arial" w:hAnsi="Arial"/>
          <w:sz w:val="18"/>
          <w:szCs w:val="18"/>
          <w:color w:val="auto"/>
        </w:rPr>
        <w:t>Use relevant peer group pay quantum and design data as a reference point</w:t>
      </w:r>
    </w:p>
    <w:p>
      <w:pPr>
        <w:spacing w:after="0" w:line="95" w:lineRule="exact"/>
        <w:rPr>
          <w:rFonts w:ascii="MS PGothic" w:cs="MS PGothic" w:eastAsia="MS PGothic" w:hAnsi="MS PGothic"/>
          <w:sz w:val="36"/>
          <w:szCs w:val="36"/>
          <w:color w:val="auto"/>
          <w:vertAlign w:val="subscript"/>
        </w:rPr>
      </w:pPr>
    </w:p>
    <w:p>
      <w:pPr>
        <w:ind w:left="500" w:hanging="380"/>
        <w:spacing w:after="0"/>
        <w:tabs>
          <w:tab w:leader="none" w:pos="5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Balanced mix of fixed and at-risk pay</w:t>
      </w:r>
    </w:p>
    <w:p>
      <w:pPr>
        <w:spacing w:after="0" w:line="117" w:lineRule="exact"/>
        <w:rPr>
          <w:rFonts w:ascii="MS PGothic" w:cs="MS PGothic" w:eastAsia="MS PGothic" w:hAnsi="MS PGothic"/>
          <w:sz w:val="18"/>
          <w:szCs w:val="18"/>
          <w:color w:val="auto"/>
        </w:rPr>
      </w:pPr>
    </w:p>
    <w:p>
      <w:pPr>
        <w:ind w:left="500" w:hanging="380"/>
        <w:spacing w:after="0"/>
        <w:tabs>
          <w:tab w:leader="none" w:pos="5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Robust anti-hedging and pledging policies</w:t>
      </w:r>
    </w:p>
    <w:p>
      <w:pPr>
        <w:spacing w:after="0" w:line="117" w:lineRule="exact"/>
        <w:rPr>
          <w:rFonts w:ascii="MS PGothic" w:cs="MS PGothic" w:eastAsia="MS PGothic" w:hAnsi="MS PGothic"/>
          <w:sz w:val="18"/>
          <w:szCs w:val="18"/>
          <w:color w:val="auto"/>
        </w:rPr>
      </w:pPr>
    </w:p>
    <w:p>
      <w:pPr>
        <w:ind w:left="500" w:hanging="380"/>
        <w:spacing w:after="0"/>
        <w:tabs>
          <w:tab w:leader="none" w:pos="5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Retain an independent consultant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341"/>
        <w:spacing w:after="0"/>
        <w:rPr>
          <w:sz w:val="20"/>
          <w:szCs w:val="20"/>
          <w:color w:val="auto"/>
        </w:rPr>
      </w:pPr>
      <w:r>
        <w:rPr>
          <w:rFonts w:ascii="Arial" w:cs="Arial" w:eastAsia="Arial" w:hAnsi="Arial"/>
          <w:sz w:val="14"/>
          <w:szCs w:val="14"/>
          <w:b w:val="1"/>
          <w:bCs w:val="1"/>
          <w:color w:val="auto"/>
        </w:rPr>
        <w:t>What We Don’t Do</w:t>
      </w:r>
    </w:p>
    <w:p>
      <w:pPr>
        <w:spacing w:after="0" w:line="212" w:lineRule="exact"/>
        <w:rPr>
          <w:sz w:val="20"/>
          <w:szCs w:val="20"/>
          <w:color w:val="auto"/>
        </w:rPr>
      </w:pPr>
    </w:p>
    <w:p>
      <w:pPr>
        <w:ind w:left="481" w:hanging="481"/>
        <w:spacing w:after="0"/>
        <w:tabs>
          <w:tab w:leader="none" w:pos="4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Guaranteed bonuses</w:t>
      </w:r>
    </w:p>
    <w:p>
      <w:pPr>
        <w:spacing w:after="0" w:line="117" w:lineRule="exact"/>
        <w:rPr>
          <w:rFonts w:ascii="Arial" w:cs="Arial" w:eastAsia="Arial" w:hAnsi="Arial"/>
          <w:sz w:val="18"/>
          <w:szCs w:val="18"/>
          <w:color w:val="auto"/>
        </w:rPr>
      </w:pPr>
    </w:p>
    <w:p>
      <w:pPr>
        <w:ind w:left="481" w:hanging="481"/>
        <w:spacing w:after="0"/>
        <w:tabs>
          <w:tab w:leader="none" w:pos="4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excessive severance payments</w:t>
      </w:r>
    </w:p>
    <w:p>
      <w:pPr>
        <w:spacing w:after="0" w:line="117" w:lineRule="exact"/>
        <w:rPr>
          <w:rFonts w:ascii="Arial" w:cs="Arial" w:eastAsia="Arial" w:hAnsi="Arial"/>
          <w:sz w:val="18"/>
          <w:szCs w:val="18"/>
          <w:color w:val="auto"/>
        </w:rPr>
      </w:pPr>
    </w:p>
    <w:p>
      <w:pPr>
        <w:ind w:left="481" w:hanging="481"/>
        <w:spacing w:after="0"/>
        <w:tabs>
          <w:tab w:leader="none" w:pos="4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Allow single-trigger change in control cash severance agreements</w:t>
      </w:r>
    </w:p>
    <w:p>
      <w:pPr>
        <w:spacing w:after="0" w:line="140" w:lineRule="exact"/>
        <w:rPr>
          <w:rFonts w:ascii="Arial" w:cs="Arial" w:eastAsia="Arial" w:hAnsi="Arial"/>
          <w:sz w:val="16"/>
          <w:szCs w:val="16"/>
          <w:color w:val="auto"/>
        </w:rPr>
      </w:pPr>
    </w:p>
    <w:p>
      <w:pPr>
        <w:ind w:left="481" w:hanging="481"/>
        <w:spacing w:after="0"/>
        <w:tabs>
          <w:tab w:leader="none" w:pos="4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excessive perquisites</w:t>
      </w:r>
    </w:p>
    <w:p>
      <w:pPr>
        <w:spacing w:after="0" w:line="117" w:lineRule="exact"/>
        <w:rPr>
          <w:rFonts w:ascii="Arial" w:cs="Arial" w:eastAsia="Arial" w:hAnsi="Arial"/>
          <w:sz w:val="18"/>
          <w:szCs w:val="18"/>
          <w:color w:val="auto"/>
        </w:rPr>
      </w:pPr>
    </w:p>
    <w:p>
      <w:pPr>
        <w:ind w:left="481" w:hanging="481"/>
        <w:spacing w:after="0"/>
        <w:tabs>
          <w:tab w:leader="none" w:pos="4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excise tax gross-ups</w:t>
      </w:r>
    </w:p>
    <w:p>
      <w:pPr>
        <w:spacing w:after="0" w:line="117" w:lineRule="exact"/>
        <w:rPr>
          <w:rFonts w:ascii="Arial" w:cs="Arial" w:eastAsia="Arial" w:hAnsi="Arial"/>
          <w:sz w:val="18"/>
          <w:szCs w:val="18"/>
          <w:color w:val="auto"/>
        </w:rPr>
      </w:pPr>
    </w:p>
    <w:p>
      <w:pPr>
        <w:ind w:left="481" w:hanging="481"/>
        <w:spacing w:after="0"/>
        <w:tabs>
          <w:tab w:leader="none" w:pos="4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special retirement plans for executive officers</w:t>
      </w:r>
    </w:p>
    <w:p>
      <w:pPr>
        <w:spacing w:after="0" w:line="956" w:lineRule="exact"/>
        <w:rPr>
          <w:sz w:val="20"/>
          <w:szCs w:val="20"/>
          <w:color w:val="auto"/>
        </w:rPr>
      </w:pPr>
    </w:p>
    <w:p>
      <w:pPr>
        <w:sectPr>
          <w:pgSz w:w="11900" w:h="16838" w:orient="portrait"/>
          <w:cols w:equalWidth="0" w:num="2">
            <w:col w:w="5400" w:space="339"/>
            <w:col w:w="5321"/>
          </w:cols>
          <w:pgMar w:left="320" w:top="459" w:right="519" w:bottom="1440" w:gutter="0" w:footer="0" w:header="0"/>
          <w:type w:val="continuous"/>
        </w:sect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Engagement</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Company is committed to engagement with stockholders. We review any feedback we receive from our stockholders about our executive compensation program to ensure that we understand key matters of interest to them, and to enable us to take that feedback into consideration for our compensation decisions.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goals of our executive compensation program are to attract, engage, and retain executive offers who share our vision and are deeply connected to our mission. Our overall compensation philosophy is market-based and enables our executive officers to share in Alector’s long-term success. We strive to incentivize these executive officers to achieve our short-term and long-term business objectives in order to increase long-term value and increase stockholder value. Our program combines competitive cash and equity award opportunities in the forms and proportions that we believe will motivate our executive officers to increase stockholder value over the long-term. We routinely review our policies and program design.</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Our executive compensation program delivers excellent rewards in line with individual and company performance using the following specific compensation methods:</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paying competitive base salaries;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rewarding our teams with a short-term incentive bonus plan opportunity;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awarding a higher percentage of target total direct compensation opportunity as long-term equity incentives to align employee and stockholder interests over the long-term.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“Say-on-Pay” Voting</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prior years, we were an “emerging growth company” as defined in the Jumpstart Our Business Startups Act of 2012, as amended. Therefore, we were not required to hold a non-binding, advisory vote on the compensation of our named executive officers (a “Say-on-Pay” vote). At this annual general meeting (“AGM”), we will hold our first Say-on-Pay vote. Our Board of Directors and Compensation Committee will consider the result of</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the Say-on-Pay vote, and the related “Say-on-Frequency” vote, as well as feedback received throughout the year, when making compensation decisions for our executive officers in the future because we value the opinions of our shareholders.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Determination Process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Committee and Board of Directors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Compensation Committee is responsible for overseeing the total compensation of our executive officers. In this capacity, our Compensation Committee designs, implements, reviews, and approves all compensation for our Chief Executive Officer (“CEO”) and our other executive officers. The Compensation Committee formally met seven times during fiscal year 2020 to review and discuss matters related to compensation of our employees and executive officers. Some of these meetings were held with members of management in attendance and some were held in closed session. Most of the meetings also included representatives from our compensation consultant (as described below). Typically, the Compensation Committee reports to the Board of Directors on its discussions and on occasion seeks input from the Board of Directors regarding, the decisions to be made and other actions to be taken with regard to our executive officers’ compensation. Our Compensation Committee’s recommendations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makes the final decisions regarding executive compensation.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7"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Our CEO, President and Chief Operating Officer (“COO”), and our VP, People typically make recommendations to our Compensation Committee, attend certain Compensation Committee meetings and are involved in the process for determining our executive officers’ compensation, provided that neither our CEO or COO makes recommendations as to their own compensation or participates in Compensation Committee discussion of their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makes as to each executive officer’s total compensation, as well as each individual pay component. At certain meetings in 2020, the Compensation Committee met in executive sessions and the Company’s CEO, COO and VP, People were not present when it deliberated and voted on the compensation of the executive officers.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Independent Compensation Consultant</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Compensation Committee is authorized to retain the services of one or more executive compensation advisors, as it sees fit, in connection with the establishment of our compensation programs and related policies.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2020, our Compensation Committee retained Radford, part of the Rewards Solutions practice at Aon plc, (“Radford”) as independent compensation consultant., to provide it with information, recommendations, and other advice relating to executive compensation on an ongoing basis. Accordingly, Radford serves at the discretion of our Compensation Committee. Our Compensation Committee engaged Radford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Peer Group</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Compensation Committee approves a peer group of companies as a reference group to provide a broad perspective on competitive pay levels and practices. The peers are reviewed on an annual basis in light of the fast-moving changes at Alector and our industry. We undertake this review with the assistance and recommendations of Radford, the Compensation Committee’s compensation consultant. Radford provides competitive market analysis of the base salary, annual cash incentive awards, and long-term incentive compensation of our executive officers compared against our compensation peer group and to review other market practices and trends.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Alector undertakes two compensation cycles per year, with cash compensation decisions (bonus payout and merit increase) the focus of the Q1 compensation cycle, and equity decisions the focus of the Q3 compensation cycle. This structure enables a tighter pay-for-performance link and two opportunities for a rewards conversation each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Peer Group</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August 2019, the Compensation Committee approved a peer group for use in making Q1 2020 base salary and annual target bonus decisions. The Compensation Committee used the following criteria in determining the appropriate peers:</w:t>
      </w:r>
    </w:p>
    <w:p>
      <w:pPr>
        <w:spacing w:after="0" w:line="72" w:lineRule="exact"/>
        <w:rPr>
          <w:sz w:val="20"/>
          <w:szCs w:val="20"/>
          <w:color w:val="auto"/>
        </w:rPr>
      </w:pPr>
    </w:p>
    <w:p>
      <w:pPr>
        <w:ind w:left="1080" w:right="120" w:hanging="424"/>
        <w:spacing w:after="0" w:line="282"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Industry Sector and Product Focus—</w:t>
      </w:r>
      <w:r>
        <w:rPr>
          <w:rFonts w:ascii="Arial" w:cs="Arial" w:eastAsia="Arial" w:hAnsi="Arial"/>
          <w:sz w:val="18"/>
          <w:szCs w:val="18"/>
          <w:color w:val="auto"/>
        </w:rPr>
        <w:t>Biotechnology and pharmaceutical companies, with an emphasis on companies that have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gone public and have an emphasis on immunotherapy and/or neuro-degeneration;</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Stage—Pre-commercial, developmental-stage companies with programs moving into the clinic;</w:t>
      </w:r>
    </w:p>
    <w:p>
      <w:pPr>
        <w:spacing w:after="0" w:line="126" w:lineRule="exact"/>
        <w:rPr>
          <w:rFonts w:ascii="Arial" w:cs="Arial" w:eastAsia="Arial" w:hAnsi="Arial"/>
          <w:sz w:val="18"/>
          <w:szCs w:val="18"/>
          <w:color w:val="auto"/>
        </w:rPr>
      </w:pPr>
    </w:p>
    <w:p>
      <w:pPr>
        <w:ind w:left="1080" w:right="160" w:hanging="424"/>
        <w:spacing w:after="0" w:line="282"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Market Capitalization</w:t>
      </w:r>
      <w:r>
        <w:rPr>
          <w:rFonts w:ascii="Arial" w:cs="Arial" w:eastAsia="Arial" w:hAnsi="Arial"/>
          <w:sz w:val="18"/>
          <w:szCs w:val="18"/>
          <w:color w:val="auto"/>
        </w:rPr>
        <w:t>—Range of $500 million to $4 billion (a range relative to Alector’s market value of approximately $1.3 billion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assessment, approximately 0.3x to 3.0x of Alector’s then-current market value);</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Employee Headcount</w:t>
      </w:r>
      <w:r>
        <w:rPr>
          <w:rFonts w:ascii="Arial" w:cs="Arial" w:eastAsia="Arial" w:hAnsi="Arial"/>
          <w:sz w:val="18"/>
          <w:szCs w:val="18"/>
          <w:color w:val="auto"/>
        </w:rPr>
        <w:t>—Under 250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Location—</w:t>
      </w:r>
      <w:r>
        <w:rPr>
          <w:rFonts w:ascii="Arial" w:cs="Arial" w:eastAsia="Arial" w:hAnsi="Arial"/>
          <w:sz w:val="18"/>
          <w:szCs w:val="18"/>
          <w:color w:val="auto"/>
        </w:rPr>
        <w:t>Biotechnology hub markets (San Francisco, Bay Area, San Diego, Boston, etc.)</w:t>
      </w:r>
    </w:p>
    <w:p>
      <w:pPr>
        <w:spacing w:after="0" w:line="2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Based on these criteria and considerations, our peer group for 2019, referred to as our 2019 peer group, as approved by our Compensation Committee, consisted of the following 25 companies: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Allakos</w:t>
            </w:r>
          </w:p>
        </w:tc>
        <w:tc>
          <w:tcPr>
            <w:tcW w:w="3860" w:type="dxa"/>
            <w:vAlign w:val="bottom"/>
          </w:tcPr>
          <w:p>
            <w:pPr>
              <w:ind w:left="1080"/>
              <w:spacing w:after="0"/>
              <w:rPr>
                <w:sz w:val="20"/>
                <w:szCs w:val="20"/>
                <w:color w:val="auto"/>
              </w:rPr>
            </w:pPr>
            <w:r>
              <w:rPr>
                <w:rFonts w:ascii="Arial" w:cs="Arial" w:eastAsia="Arial" w:hAnsi="Arial"/>
                <w:sz w:val="18"/>
                <w:szCs w:val="18"/>
                <w:color w:val="auto"/>
              </w:rPr>
              <w:t>CytomX Therapeutics</w:t>
            </w:r>
          </w:p>
        </w:tc>
        <w:tc>
          <w:tcPr>
            <w:tcW w:w="3020" w:type="dxa"/>
            <w:vAlign w:val="bottom"/>
          </w:tcPr>
          <w:p>
            <w:pPr>
              <w:ind w:left="960"/>
              <w:spacing w:after="0"/>
              <w:rPr>
                <w:sz w:val="20"/>
                <w:szCs w:val="20"/>
                <w:color w:val="auto"/>
              </w:rPr>
            </w:pPr>
            <w:r>
              <w:rPr>
                <w:rFonts w:ascii="Arial" w:cs="Arial" w:eastAsia="Arial" w:hAnsi="Arial"/>
                <w:sz w:val="18"/>
                <w:szCs w:val="18"/>
                <w:color w:val="auto"/>
              </w:rPr>
              <w:t>MyoKardia</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Allogene Therapeutics*</w:t>
            </w:r>
          </w:p>
        </w:tc>
        <w:tc>
          <w:tcPr>
            <w:tcW w:w="3860" w:type="dxa"/>
            <w:vAlign w:val="bottom"/>
          </w:tcPr>
          <w:p>
            <w:pPr>
              <w:ind w:left="1080"/>
              <w:spacing w:after="0"/>
              <w:rPr>
                <w:sz w:val="20"/>
                <w:szCs w:val="20"/>
                <w:color w:val="auto"/>
              </w:rPr>
            </w:pPr>
            <w:r>
              <w:rPr>
                <w:rFonts w:ascii="Arial" w:cs="Arial" w:eastAsia="Arial" w:hAnsi="Arial"/>
                <w:sz w:val="18"/>
                <w:szCs w:val="18"/>
                <w:color w:val="auto"/>
              </w:rPr>
              <w:t>Denali Therapeutics</w:t>
            </w:r>
          </w:p>
        </w:tc>
        <w:tc>
          <w:tcPr>
            <w:tcW w:w="3020" w:type="dxa"/>
            <w:vAlign w:val="bottom"/>
          </w:tcPr>
          <w:p>
            <w:pPr>
              <w:ind w:left="960"/>
              <w:spacing w:after="0"/>
              <w:rPr>
                <w:sz w:val="20"/>
                <w:szCs w:val="20"/>
                <w:color w:val="auto"/>
              </w:rPr>
            </w:pPr>
            <w:r>
              <w:rPr>
                <w:rFonts w:ascii="Arial" w:cs="Arial" w:eastAsia="Arial" w:hAnsi="Arial"/>
                <w:sz w:val="18"/>
                <w:szCs w:val="18"/>
                <w:color w:val="auto"/>
              </w:rPr>
              <w:t>REGENXBIO</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AnaptysBio</w:t>
            </w:r>
          </w:p>
        </w:tc>
        <w:tc>
          <w:tcPr>
            <w:tcW w:w="3860" w:type="dxa"/>
            <w:vAlign w:val="bottom"/>
          </w:tcPr>
          <w:p>
            <w:pPr>
              <w:ind w:left="1080"/>
              <w:spacing w:after="0"/>
              <w:rPr>
                <w:sz w:val="20"/>
                <w:szCs w:val="20"/>
                <w:color w:val="auto"/>
              </w:rPr>
            </w:pPr>
            <w:r>
              <w:rPr>
                <w:rFonts w:ascii="Arial" w:cs="Arial" w:eastAsia="Arial" w:hAnsi="Arial"/>
                <w:sz w:val="18"/>
                <w:szCs w:val="18"/>
                <w:color w:val="auto"/>
              </w:rPr>
              <w:t>Dicerna Pharmaceuticals</w:t>
            </w:r>
          </w:p>
        </w:tc>
        <w:tc>
          <w:tcPr>
            <w:tcW w:w="3020" w:type="dxa"/>
            <w:vAlign w:val="bottom"/>
          </w:tcPr>
          <w:p>
            <w:pPr>
              <w:ind w:left="960"/>
              <w:spacing w:after="0"/>
              <w:rPr>
                <w:sz w:val="20"/>
                <w:szCs w:val="20"/>
                <w:color w:val="auto"/>
              </w:rPr>
            </w:pPr>
            <w:r>
              <w:rPr>
                <w:rFonts w:ascii="Arial" w:cs="Arial" w:eastAsia="Arial" w:hAnsi="Arial"/>
                <w:sz w:val="18"/>
                <w:szCs w:val="18"/>
                <w:color w:val="auto"/>
              </w:rPr>
              <w:t>Rubius Therapeutics</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Arcus Biosciences</w:t>
            </w:r>
          </w:p>
        </w:tc>
        <w:tc>
          <w:tcPr>
            <w:tcW w:w="3860" w:type="dxa"/>
            <w:vAlign w:val="bottom"/>
          </w:tcPr>
          <w:p>
            <w:pPr>
              <w:ind w:left="1080"/>
              <w:spacing w:after="0"/>
              <w:rPr>
                <w:sz w:val="20"/>
                <w:szCs w:val="20"/>
                <w:color w:val="auto"/>
              </w:rPr>
            </w:pPr>
            <w:r>
              <w:rPr>
                <w:rFonts w:ascii="Arial" w:cs="Arial" w:eastAsia="Arial" w:hAnsi="Arial"/>
                <w:sz w:val="18"/>
                <w:szCs w:val="18"/>
                <w:color w:val="auto"/>
              </w:rPr>
              <w:t>Epizyme</w:t>
            </w:r>
          </w:p>
        </w:tc>
        <w:tc>
          <w:tcPr>
            <w:tcW w:w="3020" w:type="dxa"/>
            <w:vAlign w:val="bottom"/>
          </w:tcPr>
          <w:p>
            <w:pPr>
              <w:ind w:left="960"/>
              <w:spacing w:after="0"/>
              <w:rPr>
                <w:sz w:val="20"/>
                <w:szCs w:val="20"/>
                <w:color w:val="auto"/>
              </w:rPr>
            </w:pPr>
            <w:r>
              <w:rPr>
                <w:rFonts w:ascii="Arial" w:cs="Arial" w:eastAsia="Arial" w:hAnsi="Arial"/>
                <w:sz w:val="18"/>
                <w:szCs w:val="18"/>
                <w:color w:val="auto"/>
              </w:rPr>
              <w:t>Tricida</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Audentes Therapeutics</w:t>
            </w:r>
          </w:p>
        </w:tc>
        <w:tc>
          <w:tcPr>
            <w:tcW w:w="3860" w:type="dxa"/>
            <w:vAlign w:val="bottom"/>
          </w:tcPr>
          <w:p>
            <w:pPr>
              <w:ind w:left="1080"/>
              <w:spacing w:after="0"/>
              <w:rPr>
                <w:sz w:val="20"/>
                <w:szCs w:val="20"/>
                <w:color w:val="auto"/>
              </w:rPr>
            </w:pPr>
            <w:r>
              <w:rPr>
                <w:rFonts w:ascii="Arial" w:cs="Arial" w:eastAsia="Arial" w:hAnsi="Arial"/>
                <w:sz w:val="18"/>
                <w:szCs w:val="18"/>
                <w:color w:val="auto"/>
              </w:rPr>
              <w:t>Forty Seven</w:t>
            </w:r>
          </w:p>
        </w:tc>
        <w:tc>
          <w:tcPr>
            <w:tcW w:w="3020" w:type="dxa"/>
            <w:vAlign w:val="bottom"/>
          </w:tcPr>
          <w:p>
            <w:pPr>
              <w:ind w:left="960"/>
              <w:spacing w:after="0"/>
              <w:rPr>
                <w:sz w:val="20"/>
                <w:szCs w:val="20"/>
                <w:color w:val="auto"/>
              </w:rPr>
            </w:pPr>
            <w:r>
              <w:rPr>
                <w:rFonts w:ascii="Arial" w:cs="Arial" w:eastAsia="Arial" w:hAnsi="Arial"/>
                <w:sz w:val="18"/>
                <w:szCs w:val="18"/>
                <w:color w:val="auto"/>
                <w:w w:val="91"/>
              </w:rPr>
              <w:t>Turning Point Therapeutics*</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AVROBIO</w:t>
            </w:r>
          </w:p>
        </w:tc>
        <w:tc>
          <w:tcPr>
            <w:tcW w:w="3860" w:type="dxa"/>
            <w:vAlign w:val="bottom"/>
          </w:tcPr>
          <w:p>
            <w:pPr>
              <w:ind w:left="1080"/>
              <w:spacing w:after="0"/>
              <w:rPr>
                <w:sz w:val="20"/>
                <w:szCs w:val="20"/>
                <w:color w:val="auto"/>
              </w:rPr>
            </w:pPr>
            <w:r>
              <w:rPr>
                <w:rFonts w:ascii="Arial" w:cs="Arial" w:eastAsia="Arial" w:hAnsi="Arial"/>
                <w:sz w:val="18"/>
                <w:szCs w:val="18"/>
                <w:color w:val="auto"/>
              </w:rPr>
              <w:t>G1 Therapeutics</w:t>
            </w:r>
          </w:p>
        </w:tc>
        <w:tc>
          <w:tcPr>
            <w:tcW w:w="3020" w:type="dxa"/>
            <w:vAlign w:val="bottom"/>
          </w:tcPr>
          <w:p>
            <w:pPr>
              <w:ind w:left="960"/>
              <w:spacing w:after="0"/>
              <w:rPr>
                <w:sz w:val="20"/>
                <w:szCs w:val="20"/>
                <w:color w:val="auto"/>
              </w:rPr>
            </w:pPr>
            <w:r>
              <w:rPr>
                <w:rFonts w:ascii="Arial" w:cs="Arial" w:eastAsia="Arial" w:hAnsi="Arial"/>
                <w:sz w:val="18"/>
                <w:szCs w:val="18"/>
                <w:color w:val="auto"/>
              </w:rPr>
              <w:t>Unity Biotechnology</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Biohaven Pharmaceuticals</w:t>
            </w:r>
          </w:p>
        </w:tc>
        <w:tc>
          <w:tcPr>
            <w:tcW w:w="3860" w:type="dxa"/>
            <w:vAlign w:val="bottom"/>
          </w:tcPr>
          <w:p>
            <w:pPr>
              <w:ind w:left="1080"/>
              <w:spacing w:after="0"/>
              <w:rPr>
                <w:sz w:val="20"/>
                <w:szCs w:val="20"/>
                <w:color w:val="auto"/>
              </w:rPr>
            </w:pPr>
            <w:r>
              <w:rPr>
                <w:rFonts w:ascii="Arial" w:cs="Arial" w:eastAsia="Arial" w:hAnsi="Arial"/>
                <w:sz w:val="18"/>
                <w:szCs w:val="18"/>
                <w:color w:val="auto"/>
              </w:rPr>
              <w:t>Gossamer Bio*</w:t>
            </w:r>
          </w:p>
        </w:tc>
        <w:tc>
          <w:tcPr>
            <w:tcW w:w="3020" w:type="dxa"/>
            <w:vAlign w:val="bottom"/>
          </w:tcPr>
          <w:p>
            <w:pPr>
              <w:ind w:left="960"/>
              <w:spacing w:after="0"/>
              <w:rPr>
                <w:sz w:val="20"/>
                <w:szCs w:val="20"/>
                <w:color w:val="auto"/>
              </w:rPr>
            </w:pPr>
            <w:r>
              <w:rPr>
                <w:rFonts w:ascii="Arial" w:cs="Arial" w:eastAsia="Arial" w:hAnsi="Arial"/>
                <w:sz w:val="18"/>
                <w:szCs w:val="18"/>
                <w:color w:val="auto"/>
              </w:rPr>
              <w:t>Voyager Therapeutics</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Blueprint Medicines</w:t>
            </w:r>
          </w:p>
        </w:tc>
        <w:tc>
          <w:tcPr>
            <w:tcW w:w="3860" w:type="dxa"/>
            <w:vAlign w:val="bottom"/>
          </w:tcPr>
          <w:p>
            <w:pPr>
              <w:ind w:left="1080"/>
              <w:spacing w:after="0"/>
              <w:rPr>
                <w:sz w:val="20"/>
                <w:szCs w:val="20"/>
                <w:color w:val="auto"/>
              </w:rPr>
            </w:pPr>
            <w:r>
              <w:rPr>
                <w:rFonts w:ascii="Arial" w:cs="Arial" w:eastAsia="Arial" w:hAnsi="Arial"/>
                <w:sz w:val="18"/>
                <w:szCs w:val="18"/>
                <w:color w:val="auto"/>
              </w:rPr>
              <w:t>Intellia Therapeutics</w:t>
            </w:r>
          </w:p>
        </w:tc>
        <w:tc>
          <w:tcPr>
            <w:tcW w:w="3020" w:type="dxa"/>
            <w:vAlign w:val="bottom"/>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Crinetics Pharmaceuticals</w:t>
            </w:r>
          </w:p>
        </w:tc>
        <w:tc>
          <w:tcPr>
            <w:tcW w:w="3860" w:type="dxa"/>
            <w:vAlign w:val="bottom"/>
          </w:tcPr>
          <w:p>
            <w:pPr>
              <w:ind w:left="1080"/>
              <w:spacing w:after="0"/>
              <w:rPr>
                <w:sz w:val="20"/>
                <w:szCs w:val="20"/>
                <w:color w:val="auto"/>
              </w:rPr>
            </w:pPr>
            <w:r>
              <w:rPr>
                <w:rFonts w:ascii="Arial" w:cs="Arial" w:eastAsia="Arial" w:hAnsi="Arial"/>
                <w:sz w:val="18"/>
                <w:szCs w:val="18"/>
                <w:color w:val="auto"/>
              </w:rPr>
              <w:t>Magenta Therapeutics</w:t>
            </w:r>
          </w:p>
        </w:tc>
        <w:tc>
          <w:tcPr>
            <w:tcW w:w="3020" w:type="dxa"/>
            <w:vAlign w:val="bottom"/>
          </w:tcPr>
          <w:p>
            <w:pPr>
              <w:spacing w:after="0"/>
              <w:rPr>
                <w:sz w:val="20"/>
                <w:szCs w:val="20"/>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tcPr>
          <w:p>
            <w:pPr>
              <w:ind w:left="160"/>
              <w:spacing w:after="0"/>
              <w:rPr>
                <w:sz w:val="20"/>
                <w:szCs w:val="20"/>
                <w:color w:val="auto"/>
              </w:rPr>
            </w:pPr>
            <w:r>
              <w:rPr>
                <w:rFonts w:ascii="Arial" w:cs="Arial" w:eastAsia="Arial" w:hAnsi="Arial"/>
                <w:sz w:val="18"/>
                <w:szCs w:val="18"/>
                <w:i w:val="1"/>
                <w:iCs w:val="1"/>
                <w:color w:val="auto"/>
              </w:rPr>
              <w:t>New for 2019</w:t>
            </w:r>
          </w:p>
        </w:tc>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65"/>
        </w:trPr>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60" w:type="dxa"/>
            <w:vAlign w:val="bottom"/>
          </w:tcPr>
          <w:p>
            <w:pPr>
              <w:ind w:left="2420"/>
              <w:spacing w:after="0"/>
              <w:rPr>
                <w:sz w:val="20"/>
                <w:szCs w:val="20"/>
                <w:color w:val="auto"/>
              </w:rPr>
            </w:pPr>
            <w:r>
              <w:rPr>
                <w:rFonts w:ascii="Arial" w:cs="Arial" w:eastAsia="Arial" w:hAnsi="Arial"/>
                <w:sz w:val="18"/>
                <w:szCs w:val="18"/>
                <w:color w:val="auto"/>
              </w:rPr>
              <w:t>30</w:t>
            </w:r>
          </w:p>
        </w:tc>
        <w:tc>
          <w:tcPr>
            <w:tcW w:w="30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Peer Group</w:t>
      </w:r>
    </w:p>
    <w:p>
      <w:pPr>
        <w:spacing w:after="0" w:line="117"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In August 2020, the Compensation Committee approved the peer group for use in making Q3 2020 equity decisions (and for future use in making Q1 2021 base salary and annual target bonus decisions). Due to changes in the Company’s profile, the Compensation Committee made updates to the peer selection criteria. The Compensation Committee used the following updated criteria in determining the appropriate peers:</w:t>
      </w:r>
    </w:p>
    <w:p>
      <w:pPr>
        <w:spacing w:after="0" w:line="67" w:lineRule="exact"/>
        <w:rPr>
          <w:sz w:val="20"/>
          <w:szCs w:val="20"/>
          <w:color w:val="auto"/>
        </w:rPr>
      </w:pPr>
    </w:p>
    <w:p>
      <w:pPr>
        <w:ind w:left="1080" w:right="700" w:hanging="424"/>
        <w:spacing w:after="0" w:line="282"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Industry Sector and Product Focus—</w:t>
      </w:r>
      <w:r>
        <w:rPr>
          <w:rFonts w:ascii="Arial" w:cs="Arial" w:eastAsia="Arial" w:hAnsi="Arial"/>
          <w:sz w:val="18"/>
          <w:szCs w:val="18"/>
          <w:color w:val="auto"/>
        </w:rPr>
        <w:t>Maintain focus on the neurodegenerative space, with less of an emphasis on newly public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when identifying new peers;</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Stage—</w:t>
      </w:r>
      <w:r>
        <w:rPr>
          <w:rFonts w:ascii="Arial" w:cs="Arial" w:eastAsia="Arial" w:hAnsi="Arial"/>
          <w:sz w:val="18"/>
          <w:szCs w:val="18"/>
          <w:color w:val="auto"/>
        </w:rPr>
        <w:t>Shift focus to target Phase II and Phase III companies as Alector progresses lead candidate through the pipeline;</w:t>
      </w:r>
    </w:p>
    <w:p>
      <w:pPr>
        <w:spacing w:after="0" w:line="130" w:lineRule="exact"/>
        <w:rPr>
          <w:rFonts w:ascii="Arial" w:cs="Arial" w:eastAsia="Arial" w:hAnsi="Arial"/>
          <w:sz w:val="18"/>
          <w:szCs w:val="18"/>
          <w:color w:val="auto"/>
        </w:rPr>
      </w:pPr>
    </w:p>
    <w:p>
      <w:pPr>
        <w:ind w:left="1080" w:right="200" w:hanging="424"/>
        <w:spacing w:after="0" w:line="312"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Market Capitalization—</w:t>
      </w:r>
      <w:r>
        <w:rPr>
          <w:rFonts w:ascii="Arial" w:cs="Arial" w:eastAsia="Arial" w:hAnsi="Arial"/>
          <w:sz w:val="17"/>
          <w:szCs w:val="17"/>
          <w:color w:val="auto"/>
        </w:rPr>
        <w:t>Range of $500 million to $3.5 billion (a range relative to Alector’s market value of approximately $1.7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a 30-day average as of July 31, 2020, approximately 0.3x to 2.0x of Alector’s then-current market value);</w:t>
      </w:r>
    </w:p>
    <w:p>
      <w:pPr>
        <w:spacing w:after="0" w:line="45"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Employee Headcount</w:t>
      </w:r>
      <w:r>
        <w:rPr>
          <w:rFonts w:ascii="Arial" w:cs="Arial" w:eastAsia="Arial" w:hAnsi="Arial"/>
          <w:sz w:val="16"/>
          <w:szCs w:val="16"/>
          <w:color w:val="auto"/>
        </w:rPr>
        <w:t>—Companies with up to 400 employees based on anticipated continued growth rate over the next 1-2 years;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Location</w:t>
      </w:r>
      <w:r>
        <w:rPr>
          <w:rFonts w:ascii="Arial" w:cs="Arial" w:eastAsia="Arial" w:hAnsi="Arial"/>
          <w:sz w:val="18"/>
          <w:szCs w:val="18"/>
          <w:color w:val="auto"/>
        </w:rPr>
        <w:t>—Biotechnology hub markets (San Francisco, Bay Area, San Diego, Boston, etc.)</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Based on these criteria and considerations, five companies were added to the 2020 peer group, as noted below, and 15 companies were removed from the 2019 peer group as they no longer met the criteria listed above. Our peer group for 2020, as approved by our Compensation Committee, consisted of the following 15 companies: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Arcus Biosciences</w:t>
            </w:r>
          </w:p>
        </w:tc>
        <w:tc>
          <w:tcPr>
            <w:tcW w:w="3880" w:type="dxa"/>
            <w:vAlign w:val="bottom"/>
          </w:tcPr>
          <w:p>
            <w:pPr>
              <w:ind w:left="1020"/>
              <w:spacing w:after="0"/>
              <w:rPr>
                <w:sz w:val="20"/>
                <w:szCs w:val="20"/>
                <w:color w:val="auto"/>
              </w:rPr>
            </w:pPr>
            <w:r>
              <w:rPr>
                <w:rFonts w:ascii="Arial" w:cs="Arial" w:eastAsia="Arial" w:hAnsi="Arial"/>
                <w:sz w:val="18"/>
                <w:szCs w:val="18"/>
                <w:color w:val="auto"/>
              </w:rPr>
              <w:t>Dicerna Pharmaceuticals</w:t>
            </w:r>
          </w:p>
        </w:tc>
        <w:tc>
          <w:tcPr>
            <w:tcW w:w="2860" w:type="dxa"/>
            <w:vAlign w:val="bottom"/>
          </w:tcPr>
          <w:p>
            <w:pPr>
              <w:ind w:left="880"/>
              <w:spacing w:after="0"/>
              <w:rPr>
                <w:sz w:val="20"/>
                <w:szCs w:val="20"/>
                <w:color w:val="auto"/>
              </w:rPr>
            </w:pPr>
            <w:r>
              <w:rPr>
                <w:rFonts w:ascii="Arial" w:cs="Arial" w:eastAsia="Arial" w:hAnsi="Arial"/>
                <w:sz w:val="18"/>
                <w:szCs w:val="18"/>
                <w:color w:val="auto"/>
              </w:rPr>
              <w:t>REGENXBIO</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Cortexyme*</w:t>
            </w:r>
          </w:p>
        </w:tc>
        <w:tc>
          <w:tcPr>
            <w:tcW w:w="3880" w:type="dxa"/>
            <w:vAlign w:val="bottom"/>
          </w:tcPr>
          <w:p>
            <w:pPr>
              <w:ind w:left="1020"/>
              <w:spacing w:after="0"/>
              <w:rPr>
                <w:sz w:val="20"/>
                <w:szCs w:val="20"/>
                <w:color w:val="auto"/>
              </w:rPr>
            </w:pPr>
            <w:r>
              <w:rPr>
                <w:rFonts w:ascii="Arial" w:cs="Arial" w:eastAsia="Arial" w:hAnsi="Arial"/>
                <w:sz w:val="18"/>
                <w:szCs w:val="18"/>
                <w:color w:val="auto"/>
              </w:rPr>
              <w:t>Gossamer Bio</w:t>
            </w:r>
          </w:p>
        </w:tc>
        <w:tc>
          <w:tcPr>
            <w:tcW w:w="2860" w:type="dxa"/>
            <w:vAlign w:val="bottom"/>
          </w:tcPr>
          <w:p>
            <w:pPr>
              <w:ind w:left="880"/>
              <w:spacing w:after="0"/>
              <w:rPr>
                <w:sz w:val="20"/>
                <w:szCs w:val="20"/>
                <w:color w:val="auto"/>
              </w:rPr>
            </w:pPr>
            <w:r>
              <w:rPr>
                <w:rFonts w:ascii="Arial" w:cs="Arial" w:eastAsia="Arial" w:hAnsi="Arial"/>
                <w:sz w:val="18"/>
                <w:szCs w:val="18"/>
                <w:color w:val="auto"/>
              </w:rPr>
              <w:t>Rubius Therapeutics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CytomX Therapeutics</w:t>
            </w:r>
          </w:p>
        </w:tc>
        <w:tc>
          <w:tcPr>
            <w:tcW w:w="3880" w:type="dxa"/>
            <w:vAlign w:val="bottom"/>
          </w:tcPr>
          <w:p>
            <w:pPr>
              <w:ind w:left="1020"/>
              <w:spacing w:after="0"/>
              <w:rPr>
                <w:sz w:val="20"/>
                <w:szCs w:val="20"/>
                <w:color w:val="auto"/>
              </w:rPr>
            </w:pPr>
            <w:r>
              <w:rPr>
                <w:rFonts w:ascii="Arial" w:cs="Arial" w:eastAsia="Arial" w:hAnsi="Arial"/>
                <w:sz w:val="18"/>
                <w:szCs w:val="18"/>
                <w:color w:val="auto"/>
              </w:rPr>
              <w:t>Karuna Therapeutics*</w:t>
            </w:r>
          </w:p>
        </w:tc>
        <w:tc>
          <w:tcPr>
            <w:tcW w:w="2860" w:type="dxa"/>
            <w:vAlign w:val="bottom"/>
          </w:tcPr>
          <w:p>
            <w:pPr>
              <w:ind w:left="880"/>
              <w:spacing w:after="0"/>
              <w:rPr>
                <w:sz w:val="20"/>
                <w:szCs w:val="20"/>
                <w:color w:val="auto"/>
              </w:rPr>
            </w:pPr>
            <w:r>
              <w:rPr>
                <w:rFonts w:ascii="Arial" w:cs="Arial" w:eastAsia="Arial" w:hAnsi="Arial"/>
                <w:sz w:val="18"/>
                <w:szCs w:val="18"/>
                <w:color w:val="auto"/>
              </w:rPr>
              <w:t>Sangamo Therapeutics*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Deciphera Pharmaceuticals*</w:t>
            </w:r>
          </w:p>
        </w:tc>
        <w:tc>
          <w:tcPr>
            <w:tcW w:w="3880" w:type="dxa"/>
            <w:vAlign w:val="bottom"/>
          </w:tcPr>
          <w:p>
            <w:pPr>
              <w:ind w:left="1020"/>
              <w:spacing w:after="0"/>
              <w:rPr>
                <w:sz w:val="20"/>
                <w:szCs w:val="20"/>
                <w:color w:val="auto"/>
              </w:rPr>
            </w:pPr>
            <w:r>
              <w:rPr>
                <w:rFonts w:ascii="Arial" w:cs="Arial" w:eastAsia="Arial" w:hAnsi="Arial"/>
                <w:sz w:val="18"/>
                <w:szCs w:val="18"/>
                <w:color w:val="auto"/>
              </w:rPr>
              <w:t>Intellia Therapeutics</w:t>
            </w:r>
          </w:p>
        </w:tc>
        <w:tc>
          <w:tcPr>
            <w:tcW w:w="2860" w:type="dxa"/>
            <w:vAlign w:val="bottom"/>
          </w:tcPr>
          <w:p>
            <w:pPr>
              <w:ind w:left="880"/>
              <w:spacing w:after="0"/>
              <w:rPr>
                <w:sz w:val="20"/>
                <w:szCs w:val="20"/>
                <w:color w:val="auto"/>
              </w:rPr>
            </w:pPr>
            <w:r>
              <w:rPr>
                <w:rFonts w:ascii="Arial" w:cs="Arial" w:eastAsia="Arial" w:hAnsi="Arial"/>
                <w:sz w:val="18"/>
                <w:szCs w:val="18"/>
                <w:color w:val="auto"/>
              </w:rPr>
              <w:t>Tricida</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Denali Therapeutics</w:t>
            </w:r>
          </w:p>
        </w:tc>
        <w:tc>
          <w:tcPr>
            <w:tcW w:w="3880" w:type="dxa"/>
            <w:vAlign w:val="bottom"/>
          </w:tcPr>
          <w:p>
            <w:pPr>
              <w:ind w:left="1020"/>
              <w:spacing w:after="0"/>
              <w:rPr>
                <w:sz w:val="20"/>
                <w:szCs w:val="20"/>
                <w:color w:val="auto"/>
              </w:rPr>
            </w:pPr>
            <w:r>
              <w:rPr>
                <w:rFonts w:ascii="Arial" w:cs="Arial" w:eastAsia="Arial" w:hAnsi="Arial"/>
                <w:sz w:val="18"/>
                <w:szCs w:val="18"/>
                <w:color w:val="auto"/>
              </w:rPr>
              <w:t>NGM Biopharmaceuticals*</w:t>
            </w:r>
          </w:p>
        </w:tc>
        <w:tc>
          <w:tcPr>
            <w:tcW w:w="2860" w:type="dxa"/>
            <w:vAlign w:val="bottom"/>
          </w:tcPr>
          <w:p>
            <w:pPr>
              <w:ind w:left="880"/>
              <w:spacing w:after="0"/>
              <w:rPr>
                <w:sz w:val="20"/>
                <w:szCs w:val="20"/>
                <w:color w:val="auto"/>
              </w:rPr>
            </w:pPr>
            <w:r>
              <w:rPr>
                <w:rFonts w:ascii="Arial" w:cs="Arial" w:eastAsia="Arial" w:hAnsi="Arial"/>
                <w:sz w:val="18"/>
                <w:szCs w:val="18"/>
                <w:color w:val="auto"/>
                <w:w w:val="90"/>
              </w:rPr>
              <w:t>Turning Point Therapeutics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60"/>
              <w:spacing w:after="0"/>
              <w:rPr>
                <w:sz w:val="20"/>
                <w:szCs w:val="20"/>
                <w:color w:val="auto"/>
              </w:rPr>
            </w:pPr>
            <w:r>
              <w:rPr>
                <w:rFonts w:ascii="Arial" w:cs="Arial" w:eastAsia="Arial" w:hAnsi="Arial"/>
                <w:sz w:val="18"/>
                <w:szCs w:val="18"/>
                <w:i w:val="1"/>
                <w:iCs w:val="1"/>
                <w:color w:val="auto"/>
              </w:rPr>
              <w:t>New for 2020</w:t>
            </w:r>
          </w:p>
        </w:tc>
        <w:tc>
          <w:tcPr>
            <w:tcW w:w="38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20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setting compensation for our executive officers, including our named executive officers, the Compensation Committee uses competitive compensation data from an annual total compensation study of selected peer companies and relevant survey sources to inform its decisions about overall compensation opportunities and specific compensation elements. However, the Compensation Committee uses our compensation peer group as one data point when setting executive pay packages. The overall compensation philosophy focuses at or near a target percentile, particularly in respect to target cash compensation and equity grants. In addition, our compensation decisions are based on the consideration of many factors, including, but not limited to, individual and company performance, market data, internal equity, experience, and strategic needs. As a result of evaluating compensation based on the criteria described above, total target compensation for our named executive officers may in certain circumstances be above or below the target levels of the peer group.</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 Components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executive compensation program consists of three primary elements: base salaries, annual cash incentives, and long-term equity awards:</w:t>
      </w:r>
    </w:p>
    <w:p>
      <w:pPr>
        <w:sectPr>
          <w:pgSz w:w="11900" w:h="16838" w:orient="portrait"/>
          <w:cols w:equalWidth="0" w:num="1">
            <w:col w:w="11120"/>
          </w:cols>
          <w:pgMar w:left="320" w:top="459" w:right="459" w:bottom="1440" w:gutter="0" w:footer="0" w:header="0"/>
        </w:sectPr>
      </w:pP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34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Purpose</w:t>
            </w:r>
          </w:p>
        </w:tc>
      </w:tr>
      <w:tr>
        <w:trPr>
          <w:trHeight w:val="242"/>
        </w:trPr>
        <w:tc>
          <w:tcPr>
            <w:tcW w:w="416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3400" w:type="dxa"/>
            <w:vAlign w:val="bottom"/>
          </w:tcPr>
          <w:p>
            <w:pPr>
              <w:spacing w:after="0"/>
              <w:rPr>
                <w:sz w:val="20"/>
                <w:szCs w:val="20"/>
                <w:color w:val="auto"/>
              </w:rPr>
            </w:pPr>
            <w:r>
              <w:rPr>
                <w:rFonts w:ascii="Arial" w:cs="Arial" w:eastAsia="Arial" w:hAnsi="Arial"/>
                <w:sz w:val="18"/>
                <w:szCs w:val="18"/>
                <w:color w:val="auto"/>
              </w:rPr>
              <w:t>• To attract and retain highly skilled</w:t>
            </w:r>
          </w:p>
        </w:tc>
      </w:tr>
      <w:tr>
        <w:trPr>
          <w:trHeight w:val="230"/>
        </w:trPr>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executives</w:t>
            </w:r>
          </w:p>
        </w:tc>
      </w:tr>
      <w:tr>
        <w:trPr>
          <w:trHeight w:val="742"/>
        </w:trPr>
        <w:tc>
          <w:tcPr>
            <w:tcW w:w="4160" w:type="dxa"/>
            <w:vAlign w:val="bottom"/>
            <w:gridSpan w:val="2"/>
          </w:tcPr>
          <w:p>
            <w:pPr>
              <w:spacing w:after="0"/>
              <w:rPr>
                <w:sz w:val="20"/>
                <w:szCs w:val="20"/>
                <w:color w:val="auto"/>
              </w:rPr>
            </w:pPr>
            <w:r>
              <w:rPr>
                <w:rFonts w:ascii="Arial" w:cs="Arial" w:eastAsia="Arial" w:hAnsi="Arial"/>
                <w:sz w:val="18"/>
                <w:szCs w:val="18"/>
                <w:color w:val="auto"/>
              </w:rPr>
              <w:t>Annual Cash Incentive Program</w:t>
            </w:r>
          </w:p>
        </w:tc>
        <w:tc>
          <w:tcPr>
            <w:tcW w:w="3400" w:type="dxa"/>
            <w:vAlign w:val="bottom"/>
          </w:tcPr>
          <w:p>
            <w:pPr>
              <w:spacing w:after="0"/>
              <w:rPr>
                <w:sz w:val="20"/>
                <w:szCs w:val="20"/>
                <w:color w:val="auto"/>
              </w:rPr>
            </w:pPr>
            <w:r>
              <w:rPr>
                <w:rFonts w:ascii="Arial" w:cs="Arial" w:eastAsia="Arial" w:hAnsi="Arial"/>
                <w:sz w:val="18"/>
                <w:szCs w:val="18"/>
                <w:color w:val="auto"/>
                <w:w w:val="95"/>
              </w:rPr>
              <w:t>• To promote and reward the achievement of</w:t>
            </w: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2"/>
              </w:rPr>
              <w:t>key short-term strategic and business goals of</w:t>
            </w: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the Company as well as individual</w:t>
            </w: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performance; to motivate and attract</w:t>
            </w:r>
          </w:p>
        </w:tc>
      </w:tr>
      <w:tr>
        <w:trPr>
          <w:trHeight w:val="230"/>
        </w:trPr>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executives</w:t>
            </w: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Equity Incentive Compensation</w:t>
            </w:r>
          </w:p>
        </w:tc>
        <w:tc>
          <w:tcPr>
            <w:tcW w:w="3400" w:type="dxa"/>
            <w:vAlign w:val="bottom"/>
          </w:tcPr>
          <w:p>
            <w:pPr>
              <w:spacing w:after="0"/>
              <w:rPr>
                <w:sz w:val="20"/>
                <w:szCs w:val="20"/>
                <w:color w:val="auto"/>
              </w:rPr>
            </w:pPr>
            <w:r>
              <w:rPr>
                <w:rFonts w:ascii="Arial" w:cs="Arial" w:eastAsia="Arial" w:hAnsi="Arial"/>
                <w:sz w:val="18"/>
                <w:szCs w:val="18"/>
                <w:color w:val="auto"/>
              </w:rPr>
              <w:t>• To encourage executives and other</w:t>
            </w: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9"/>
              </w:rPr>
              <w:t>employees to focus on long-term company</w:t>
            </w: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performance; to promote retention; to reward</w:t>
            </w:r>
          </w:p>
        </w:tc>
      </w:tr>
      <w:tr>
        <w:trPr>
          <w:trHeight w:val="216"/>
        </w:trPr>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outstanding company and individual</w:t>
            </w:r>
          </w:p>
        </w:tc>
      </w:tr>
      <w:tr>
        <w:trPr>
          <w:trHeight w:val="230"/>
        </w:trPr>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performance</w:t>
            </w: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1078"/>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8859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3" w:lineRule="exact"/>
        <w:rPr>
          <w:sz w:val="20"/>
          <w:szCs w:val="20"/>
          <w:color w:val="auto"/>
        </w:rPr>
      </w:pPr>
    </w:p>
    <w:p>
      <w:pPr>
        <w:ind w:left="-2" w:right="180" w:firstLine="2"/>
        <w:spacing w:after="0" w:line="301" w:lineRule="auto"/>
        <w:tabs>
          <w:tab w:leader="none" w:pos="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Fixed component of pay to provide financial stability, based on responsibilities, experience, individual contributions, and peer company data</w:t>
      </w:r>
    </w:p>
    <w:p>
      <w:pPr>
        <w:spacing w:after="0" w:line="49" w:lineRule="exact"/>
        <w:rPr>
          <w:rFonts w:ascii="Arial" w:cs="Arial" w:eastAsia="Arial" w:hAnsi="Arial"/>
          <w:sz w:val="16"/>
          <w:szCs w:val="16"/>
          <w:color w:val="auto"/>
        </w:rPr>
      </w:pPr>
    </w:p>
    <w:p>
      <w:pPr>
        <w:ind w:left="-2" w:right="20" w:firstLine="2"/>
        <w:spacing w:after="0" w:line="275" w:lineRule="auto"/>
        <w:tabs>
          <w:tab w:leader="none" w:pos="159"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Variable component of pay based on annual quantitative and qualitative performance assessment against objectives related to corporate, program-specific, and functional goals</w:t>
      </w:r>
    </w:p>
    <w:p>
      <w:pPr>
        <w:spacing w:after="0" w:line="68" w:lineRule="exact"/>
        <w:rPr>
          <w:rFonts w:ascii="Arial" w:cs="Arial" w:eastAsia="Arial" w:hAnsi="Arial"/>
          <w:sz w:val="17"/>
          <w:szCs w:val="17"/>
          <w:color w:val="auto"/>
        </w:rPr>
      </w:pPr>
    </w:p>
    <w:p>
      <w:pPr>
        <w:ind w:left="-2" w:firstLine="2"/>
        <w:spacing w:after="0" w:line="271" w:lineRule="auto"/>
        <w:tabs>
          <w:tab w:leader="none" w:pos="162"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Delivered in the form of stock options, subject to multi-year vesting based on continued service. The value of these awards depends on the performance of our common stock price, in order to align employee and executive interests with those of our stockholders over the longer term</w:t>
      </w:r>
    </w:p>
    <w:p>
      <w:pPr>
        <w:spacing w:after="0" w:line="178" w:lineRule="exact"/>
        <w:rPr>
          <w:sz w:val="20"/>
          <w:szCs w:val="20"/>
          <w:color w:val="auto"/>
        </w:rPr>
      </w:pPr>
    </w:p>
    <w:p>
      <w:pPr>
        <w:sectPr>
          <w:pgSz w:w="11900" w:h="16838" w:orient="portrait"/>
          <w:cols w:equalWidth="0" w:num="2">
            <w:col w:w="7680" w:space="482"/>
            <w:col w:w="2958"/>
          </w:cols>
          <w:pgMar w:left="320" w:top="459" w:right="459" w:bottom="1440" w:gutter="0" w:footer="0" w:header="0"/>
          <w:type w:val="continuous"/>
        </w:sectPr>
      </w:pPr>
    </w:p>
    <w:p>
      <w:pPr>
        <w:ind w:left="120" w:right="220"/>
        <w:spacing w:after="0" w:line="277" w:lineRule="auto"/>
        <w:rPr>
          <w:sz w:val="20"/>
          <w:szCs w:val="20"/>
          <w:color w:val="auto"/>
        </w:rPr>
      </w:pPr>
      <w:r>
        <w:rPr>
          <w:rFonts w:ascii="Arial" w:cs="Arial" w:eastAsia="Arial" w:hAnsi="Arial"/>
          <w:sz w:val="18"/>
          <w:szCs w:val="18"/>
          <w:color w:val="auto"/>
        </w:rPr>
        <w:t>Alector is committed to a strong performance orientation in our compensation program and effective corporate governance practices for a company at our development stage and industry. Some of our best practices in governance that we observe include: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Base salary is the only fixed component of our executive officers’ total cash compensation and provides competitive pay to attract and retain our executives. Annual salary decisions are made in recognition of competitive data as well as the skills and experience that each individual brings to the Company and the performance contributions each makes.</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Base salary changes in 2020 varied by executive due either to merit increases or market adjustments. Other factors were considered such as tenure, experience, and the role of the individual.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2020 base salaries for our named executive officers were as follows and were effective on March 1, 2020 except as noted below:</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96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8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Base</w:t>
            </w:r>
          </w:p>
        </w:tc>
        <w:tc>
          <w:tcPr>
            <w:tcW w:w="14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3100" w:type="dxa"/>
            <w:vAlign w:val="bottom"/>
            <w:gridSpan w:val="4"/>
          </w:tcPr>
          <w:p>
            <w:pPr>
              <w:ind w:left="1760"/>
              <w:spacing w:after="0" w:line="15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2"/>
                <w:szCs w:val="12"/>
                <w:b w:val="1"/>
                <w:bCs w:val="1"/>
                <w:color w:val="auto"/>
              </w:rPr>
              <w:t>(1)</w:t>
            </w:r>
          </w:p>
        </w:tc>
        <w:tc>
          <w:tcPr>
            <w:tcW w:w="2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p>
        </w:tc>
        <w:tc>
          <w:tcPr>
            <w:tcW w:w="14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Arnon Rosenthal, Ph.D.</w:t>
            </w:r>
          </w:p>
        </w:tc>
        <w:tc>
          <w:tcPr>
            <w:tcW w:w="17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9"/>
              </w:rPr>
              <w:t>525,000</w:t>
            </w:r>
          </w:p>
        </w:tc>
        <w:tc>
          <w:tcPr>
            <w:tcW w:w="4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$560,000</w:t>
            </w:r>
          </w:p>
        </w:tc>
        <w:tc>
          <w:tcPr>
            <w:tcW w:w="5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Shehnaaz Suliman, M.D.</w:t>
            </w:r>
            <w:r>
              <w:rPr>
                <w:rFonts w:ascii="Arial" w:cs="Arial" w:eastAsia="Arial" w:hAnsi="Arial"/>
                <w:sz w:val="15"/>
                <w:szCs w:val="15"/>
                <w:color w:val="auto"/>
              </w:rPr>
              <w:t>(2)</w:t>
            </w:r>
          </w:p>
        </w:tc>
        <w:tc>
          <w:tcPr>
            <w:tcW w:w="196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450,000</w:t>
            </w:r>
          </w:p>
        </w:tc>
        <w:tc>
          <w:tcPr>
            <w:tcW w:w="4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362,500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Robert Paul, M.D., Ph.D.</w:t>
            </w:r>
          </w:p>
        </w:tc>
        <w:tc>
          <w:tcPr>
            <w:tcW w:w="196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392,100</w:t>
            </w:r>
          </w:p>
        </w:tc>
        <w:tc>
          <w:tcPr>
            <w:tcW w:w="4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$440,000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Calvin Yu</w:t>
            </w:r>
          </w:p>
        </w:tc>
        <w:tc>
          <w:tcPr>
            <w:tcW w:w="1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270,000</w:t>
            </w:r>
            <w:r>
              <w:rPr>
                <w:rFonts w:ascii="Arial" w:cs="Arial" w:eastAsia="Arial" w:hAnsi="Arial"/>
                <w:sz w:val="15"/>
                <w:szCs w:val="15"/>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40" w:right="2260" w:hanging="5424"/>
        <w:spacing w:after="0" w:line="449" w:lineRule="auto"/>
        <w:tabs>
          <w:tab w:leader="none" w:pos="5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highest annualized base salary established for the named executive officer during the year indicated. 32</w:t>
      </w:r>
    </w:p>
    <w:p>
      <w:pPr>
        <w:sectPr>
          <w:pgSz w:w="11900" w:h="16838" w:orient="portrait"/>
          <w:cols w:equalWidth="0" w:num="1">
            <w:col w:w="11120"/>
          </w:cols>
          <w:pgMar w:left="320" w:top="459"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87"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Dr. Suliman was hired on December 9, 2019, and was not eligible for a salary increase in Q1 2020 due to her hire date. Based on her strong performance and what the Compensation Committee identified as a base salary gap to market, the Compensation Committee approved an increase to Dr. Suliman’s salary from $450,000 to $500,000 effective on September 1, 2020 (and in lieu of a Q1 2021 cash compensation change).</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March 2020 Mr. Yu’s 2019 annual base salary was mistakenly disclosed as $260,600. His correct 2019 annual base salary was $270,000.</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Executive Incentive Compensation Plan</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Executive Incentive Compensation Plan (the “Bonus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 against targets, as measured by these pre-established corporate goals, funds the incentive payouts. The bonus pool can be funded between 0% to a maximum of 150% of target funding levels. The total bonus payout cannot exceed the total amount of funding in the pool. Annual target bonuses are set based on factors such as the executive’s past contributions, tenure, experience, and role and the annual target bonuses provided by companies in our compensation peer group to their similarly situated executives. Bonuses are typically paid in the quarter following the end of the performance period.</w:t>
      </w:r>
    </w:p>
    <w:p>
      <w:pPr>
        <w:spacing w:after="0" w:line="195"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For 2020, the Compensation Committee approved an increase to Dr. Rosenthal’s annual target bonus (from 50% in 2019 to 55% in 2020) to make his annual bonus opportunity more competitive with the market. The annual target bonus target for each of our other NEOs (except Dr. Suliman), as a percentage of the NEO’s base salary, remained unchanged from 2019. Dr. Suliman’s annual bonus opportunity was determined through arm’s-length negotiation in connection with her hire.</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Bonuses for all employees, including our named executive officers, for the fiscal year ended December 31, 2020 were allocated from a bonus pool funded based on performance against a number of high-impact, cross-functional goals. The project goals related to specific programs, trials, and corporate progress. The cross-functional goals included goals related to business development, positioning for future growth, and development and other functional goals. The combination of the project and cross-functional goals was intended to drive both specific technical achievement and continue to build the foundation for future company growth and advancements.</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2020, the Company established four key corporate objectives: (i) advance research pipeline, (ii) advance clinical pipeline, (iii) build a sustainable public company, and (iv) cultivate employee experience that drives business results, which are viewed as critical drivers of our long-term success and ability to generate sustained growth in shareholder value. Our corporate goals are intended to drive these key objectives, by establishing specific, measurable criteria that could be used to evaluate the performance of our Executive team and the Company in general. We believe that if these goals are achieved, it will have a direct impact on creating value for our stockholders.</w:t>
      </w:r>
    </w:p>
    <w:p>
      <w:pPr>
        <w:spacing w:after="0" w:line="188"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Each goal is measured individually, and the percent of goals achieved determines the 2020 bonus payout, subject to the Compensation Committee’s discretion to alter bonus funding and payouts. 2020 performance bonuses were earned based upon achievement of such performance goals, as follows:</w:t>
      </w:r>
    </w:p>
    <w:p>
      <w:pPr>
        <w:spacing w:after="0" w:line="14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Objective</w:t>
            </w:r>
          </w:p>
        </w:tc>
        <w:tc>
          <w:tcPr>
            <w:tcW w:w="58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 Weighting</w:t>
            </w:r>
          </w:p>
        </w:tc>
        <w:tc>
          <w:tcPr>
            <w:tcW w:w="0" w:type="dxa"/>
            <w:vAlign w:val="bottom"/>
          </w:tcPr>
          <w:p>
            <w:pPr>
              <w:spacing w:after="0"/>
              <w:rPr>
                <w:sz w:val="1"/>
                <w:szCs w:val="1"/>
                <w:color w:val="auto"/>
              </w:rPr>
            </w:pPr>
          </w:p>
        </w:tc>
      </w:tr>
      <w:tr>
        <w:trPr>
          <w:trHeight w:val="20"/>
        </w:trPr>
        <w:tc>
          <w:tcPr>
            <w:tcW w:w="6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Advance research pipeline</w:t>
            </w: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Advance clinical pipeline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 a sustainable public company</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Cultivate employee experience that drives business results</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6480" w:type="dxa"/>
            <w:vAlign w:val="bottom"/>
            <w:gridSpan w:val="2"/>
          </w:tcPr>
          <w:p>
            <w:pPr>
              <w:ind w:left="366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In January 2021, the Compensation Committee reviewed the progress against the applicable 2020 goals. Based on the Company’s achievement of 80.42% of these goals, the Compensation Committee funded the Company’s bonus pool at 80.42% of target levels. The resulting bonuses to named executive officers were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Annual Target Bonus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Executive</w:t>
            </w:r>
          </w:p>
        </w:tc>
        <w:tc>
          <w:tcPr>
            <w:tcW w:w="2360" w:type="dxa"/>
            <w:vAlign w:val="bottom"/>
            <w:vMerge w:val="restart"/>
          </w:tcPr>
          <w:p>
            <w:pPr>
              <w:spacing w:after="0"/>
              <w:rPr>
                <w:sz w:val="12"/>
                <w:szCs w:val="12"/>
                <w:color w:val="auto"/>
              </w:rPr>
            </w:pPr>
          </w:p>
        </w:tc>
        <w:tc>
          <w:tcPr>
            <w:tcW w:w="2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 Base Salary</w:t>
            </w:r>
          </w:p>
        </w:tc>
        <w:tc>
          <w:tcPr>
            <w:tcW w:w="27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Earned</w:t>
            </w:r>
          </w:p>
        </w:tc>
        <w:tc>
          <w:tcPr>
            <w:tcW w:w="0" w:type="dxa"/>
            <w:vAlign w:val="bottom"/>
          </w:tcPr>
          <w:p>
            <w:pPr>
              <w:spacing w:after="0"/>
              <w:rPr>
                <w:sz w:val="1"/>
                <w:szCs w:val="1"/>
                <w:color w:val="auto"/>
              </w:rPr>
            </w:pPr>
          </w:p>
        </w:tc>
      </w:tr>
      <w:tr>
        <w:trPr>
          <w:trHeight w:val="163"/>
        </w:trPr>
        <w:tc>
          <w:tcPr>
            <w:tcW w:w="620" w:type="dxa"/>
            <w:vAlign w:val="bottom"/>
            <w:tcBorders>
              <w:bottom w:val="single" w:sz="8" w:color="auto"/>
            </w:tcBorders>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rPr>
              <w:t>(% of base)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20"/>
        </w:trPr>
        <w:tc>
          <w:tcPr>
            <w:tcW w:w="2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Arnon Rosenthal, Ph.D.</w:t>
            </w:r>
          </w:p>
        </w:tc>
        <w:tc>
          <w:tcPr>
            <w:tcW w:w="1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560,000</w:t>
            </w:r>
          </w:p>
        </w:tc>
        <w:tc>
          <w:tcPr>
            <w:tcW w:w="860" w:type="dxa"/>
            <w:vAlign w:val="bottom"/>
            <w:vMerge w:val="continue"/>
            <w:shd w:val="clear" w:color="auto" w:fill="CCEEFF"/>
          </w:tcPr>
          <w:p>
            <w:pPr>
              <w:spacing w:after="0"/>
              <w:rPr>
                <w:sz w:val="17"/>
                <w:szCs w:val="17"/>
                <w:color w:val="auto"/>
              </w:rPr>
            </w:pPr>
          </w:p>
        </w:tc>
        <w:tc>
          <w:tcPr>
            <w:tcW w:w="18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55.0%</w:t>
            </w: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3"/>
              </w:rPr>
              <w:t>246,400**</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Shehnaaz Suliman, M.D.</w:t>
            </w:r>
          </w:p>
        </w:tc>
        <w:tc>
          <w:tcPr>
            <w:tcW w:w="1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2740" w:type="dxa"/>
            <w:vAlign w:val="bottom"/>
            <w:gridSpan w:val="3"/>
          </w:tcPr>
          <w:p>
            <w:pPr>
              <w:jc w:val="right"/>
              <w:ind w:right="400"/>
              <w:spacing w:after="0"/>
              <w:rPr>
                <w:sz w:val="20"/>
                <w:szCs w:val="20"/>
                <w:color w:val="auto"/>
              </w:rPr>
            </w:pPr>
            <w:r>
              <w:rPr>
                <w:rFonts w:ascii="Arial" w:cs="Arial" w:eastAsia="Arial" w:hAnsi="Arial"/>
                <w:sz w:val="18"/>
                <w:szCs w:val="18"/>
                <w:color w:val="auto"/>
              </w:rPr>
              <w:t>45.0%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200,250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134,300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Robert Paul, M.D., Ph.D.</w:t>
            </w:r>
          </w:p>
        </w:tc>
        <w:tc>
          <w:tcPr>
            <w:tcW w:w="1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440,000</w:t>
            </w:r>
          </w:p>
        </w:tc>
        <w:tc>
          <w:tcPr>
            <w:tcW w:w="2740" w:type="dxa"/>
            <w:vAlign w:val="bottom"/>
            <w:gridSpan w:val="3"/>
          </w:tcPr>
          <w:p>
            <w:pPr>
              <w:jc w:val="right"/>
              <w:ind w:right="400"/>
              <w:spacing w:after="0"/>
              <w:rPr>
                <w:sz w:val="20"/>
                <w:szCs w:val="20"/>
                <w:color w:val="auto"/>
              </w:rPr>
            </w:pPr>
            <w:r>
              <w:rPr>
                <w:rFonts w:ascii="Arial" w:cs="Arial" w:eastAsia="Arial" w:hAnsi="Arial"/>
                <w:sz w:val="18"/>
                <w:szCs w:val="18"/>
                <w:color w:val="auto"/>
              </w:rPr>
              <w:t>40.0%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130,240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Calvin Yu</w:t>
            </w:r>
          </w:p>
        </w:tc>
        <w:tc>
          <w:tcPr>
            <w:tcW w:w="1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2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 Rosenthal volunteered to reallocate his individual performance bonus funds to the employee pool, in recognition of the exceptional work and resilience the team displayed throughout 2020.</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Annual bonus target percentages for each of our named executive officers remained flat throughout 2020, which was deemed appropriate according to peer and market data. The bonuses paid to each of our named executive officers in 2020 under our Bonus Plan are set forth in the “Non-Equity Incentive Plan Compensation” column of the Summary Compensation Table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Long-Term Incentive Compensation—Refresh Awards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believe long-term incentive compensation is an effective means for focusing our executive officers, including the named executive officers, on driving strong performance and increased stockholder value over a multi-year period, provides a meaningful reward for long-term value creation, and motivates them to remain employed with us.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approach aligns the contributions of our executive officers with the long-term interests of our stockholders and allows them to participate in any future appreciation in our common stock.</w:t>
      </w:r>
    </w:p>
    <w:p>
      <w:pPr>
        <w:spacing w:after="0" w:line="170"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determine long-term incentive compensation for our executive officers as part of our biannual compensation review (with cash compensation reviewed in Q1 and equity compensation reviewed in Q3) taking into account competitive market analysis, the recommendations of our CEO (except regarding his own long-term incentive compensation), the outstanding equity holdings of each executive officer, the projected impact of the proposed awards on our earnings, and our Company performance in 2020.</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2020, the long-term incentive equity compensation awarded to our named executive officers was granted in the form of stock options vesting over a four-year time-based schedule. This approach is consistent with market practice among our peers and industry comparables, and reinforces a strong pay-for-performance culture as each stock option award only has value for the recipient if the value of our common stock appreciates from the grant date. Each stock option award was granted on the following material terms: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 Options</w:t>
            </w:r>
          </w:p>
        </w:tc>
      </w:tr>
      <w:tr>
        <w:trPr>
          <w:trHeight w:val="171"/>
        </w:trPr>
        <w:tc>
          <w:tcPr>
            <w:tcW w:w="598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Number of Shares</w:t>
            </w:r>
            <w:r>
              <w:rPr>
                <w:rFonts w:ascii="Arial" w:cs="Arial" w:eastAsia="Arial" w:hAnsi="Arial"/>
                <w:sz w:val="12"/>
                <w:szCs w:val="12"/>
                <w:b w:val="1"/>
                <w:bCs w:val="1"/>
                <w:color w:val="auto"/>
                <w:w w:val="91"/>
              </w:rPr>
              <w:t>(1)</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Arnon Rosenthal, Ph.D.</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457,038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Shehnaaz Suliman, M.D.</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189,213</w:t>
            </w:r>
            <w:r>
              <w:rPr>
                <w:rFonts w:ascii="Arial" w:cs="Arial" w:eastAsia="Arial" w:hAnsi="Arial"/>
                <w:sz w:val="15"/>
                <w:szCs w:val="15"/>
                <w:color w:val="auto"/>
              </w:rPr>
              <w:t>(2)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Robert Paul, M.D., Ph.D.</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109,689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Calvin Yu</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67,526</w:t>
            </w:r>
          </w:p>
        </w:tc>
      </w:tr>
    </w:tbl>
    <w:p>
      <w:pPr>
        <w:spacing w:after="0" w:line="107" w:lineRule="exact"/>
        <w:rPr>
          <w:sz w:val="20"/>
          <w:szCs w:val="20"/>
          <w:color w:val="auto"/>
        </w:rPr>
      </w:pPr>
    </w:p>
    <w:p>
      <w:pPr>
        <w:ind w:left="540" w:right="320" w:hanging="424"/>
        <w:spacing w:after="0" w:line="255"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option has an exercise price equal to $10.24 per share, which was the closing price of our common stock on the date of grant (October 1, 2020). 1/48th of the shares subject to each option vest each month after the date of grant, subject to the applicable named executive officer’s continued service.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include Dr. Suliman’s new hire equity grant of 550,000 shares, granted on January 1,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in Control Protections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November 2018, we adopted a Change in Control and Severance Agreement (the “Severance Agreement”) in which our named executive officers participate. The Severance Agreement provides participants with severance in the event of certain qualifying terminations, including following a change in control of our Company, and certain change in control benefits. We believe that these protections are necessary to provide our valuable executives with incentives to forego other employment opportunities and remain employed with us and to maintain continued focus and dedication to their responsibilities to maximize stockholder value, including if there is a potential transaction that could involve a change in control. In addition, these protections are available only if a named executive officer executes and does not revoke a general release of claims in favor of us. The terms and levels of benefits provided to our named executive officers under the Severance Agreement were determined by our Compensation Committee, with input from our management team, and approved by our Board of Directors following a review of analysis prepared by Radford of relevant market data for other companies with whom we compete for executive talent.</w:t>
      </w:r>
    </w:p>
    <w:p>
      <w:pPr>
        <w:spacing w:after="0" w:line="18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For a summary of the material terms of the benefits provided to our named executive officers under the Severance Agreement and an estimate of the payments and benefits that may be received by our named executive officers under the Severance Agreements, see “Potential Payments on Termination or Change in Control”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Welfare, and Health Benefits</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 advantaged basis. All participants’ interests in their deferrals are 100% vested when contributed. Pre-tax contributions are allocated to each participant’s individual account and are then invested in selected investment alternatives according to the participants’ directions. The 401(k) plan is intended to qualify under Sections 401(a) and 501(a) of the Internal Revenue Code (the “Code”). As a tax-qualified retirement plan, contributions to the 401(k) plan and earnings on those contributions are not taxable to the employees until distributed from the 401(k) plan. Subject to limits under the Code, we match an amount equal to 50% of the first 6% of the eligible employee’s contributions with a maximum annual employer contribution of $5,000 per employee. Our executive officers are eligible to participate in our 401(k) plan.</w:t>
      </w:r>
    </w:p>
    <w:p>
      <w:pPr>
        <w:spacing w:after="0" w:line="17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health and welfare benefits include medical, dental and vision benefits, long-term disability insurance, basic life insurance coverage, health savings accounts, and accidental death and dismemberment insurance. Our named executive officers also are eligible to participate in our Employee Stock Purchase Plan on the same terms as our other eligible employees. We design our employee benefits programs to be affordable and competitive in relation to the market, and compliant with applicable laws and practices. We adjust our employee benefits programs as needed based upon changes in applicable laws and market practices.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do not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In the future, we may provide perquisites or other personal benefits in limited circumstances. All future practices with respect to perquisites or other personal benefits for executive officers will be approved and subject to periodic review by the Compensation Committee.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entered into employment letters with each of our named executive officers. Each of these agreements was approved by our Board of Directors or our Compensation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In filling each of our executive positions, our Board of Directors and the Compensation Committee recognized the need to develop competitive compensation packages to attract qualified candidates in a dynamic labor market. Our Board of Directors and our Compensation Committee were sensitive to the need to integrate new executive officers into the executive compensation structure that we were seeking to develop, balancing both competitive and internal equity considerations.</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For information on the specific terms and conditions of the employment letters of the named executive officers, see the discussion of “Executive Employee Arrangements”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Policies and Practices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Hedging and Pledging Prohibitions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addition, our employees (including our executive officers and the non-employee members of our Board of Directors) are prohibited from holding our common stock in a margin account or pledging our securities as collateral for a loan.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Generally, Section 162(m) of the Code (“Section 162(m)”) disallows a U.S. federal income tax deduction for public corporations of remuneration in excess of $1 million paid in any fiscal year to certain specified executive officers. The Company generally expects that all remuneration in excess of $1 million paid to a specified executive will not be deductible by us as a corporate entity unless it qualifies for the transition relief applicable to certain newly public companies. To maintain flexibility to compensate our executive officers in a manner designed to promote our short-term and long-term corporate goals, the Compensation Committee has not adopted a policy that all compensation must be deductible. The Compensation Committee believes that our shareholders’ interests are best served if its discretion and flexibility in awarding compensation is not restricted in order to allow such compensation to be consistent with the goals of our executive compensation program, even though some compensation awards may result in non-deductible compensation expense.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Parachute Payments and Deferred Compensation</w:t>
      </w:r>
    </w:p>
    <w:p>
      <w:pPr>
        <w:spacing w:after="0" w:line="117"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or other reimbursement payment for any tax liability he or she might owe because of the application of Sections 280G, 4999, or 409A of the Code. If any of the payments or benefits provided for under the Severance Agreement or otherwise payable to a named executive officer would constitute “parachute payments” within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During 2020, our Compensation Committee consisted of David Wehner, Louis J. Lavigne, Jr., and Paula Hammond, Ph.D. None of the members of our Compensation Committee is or has been an officer or employee of us. None of our executive officers currently serves, or in the past year has served, as a member of the board or compensation committee (or other board committee performing equivalent functions or, in the absence of any such committee, the entire board) of any entity that has one or more executive officers serving on our Board of Directors or Compensation Committee.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Compensation Committee has reviewed and discussed with management the CD&amp;A provided above. Based on its review and discussions, the Compensation Committee recommended to the Board of Directors that the CD&amp;A be included in this proxy statement and our Annual Report on Form 10-K for our fiscal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Wehner (Chairman)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Louis J. Lavigne, Jr.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Paula Hammond, Ph.D.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Years 2020, 2019, and 2018</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provides information regarding the compensation awarded to, or earned by, our named executive officers during 2020, 2019, and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Bonus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564"/>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Awards</w:t>
            </w:r>
          </w:p>
        </w:tc>
        <w:tc>
          <w:tcPr>
            <w:tcW w:w="11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404"/>
              <w:spacing w:after="0"/>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5"/>
                <w:szCs w:val="15"/>
                <w:color w:val="auto"/>
              </w:rPr>
            </w:pPr>
          </w:p>
        </w:tc>
        <w:tc>
          <w:tcPr>
            <w:tcW w:w="74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Arnon Rosenthal, Ph.D.</w:t>
            </w: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$554,167</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ind w:left="153"/>
              <w:spacing w:after="0" w:line="189"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$ 3,096,204</w:t>
            </w: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87"/>
              </w:rPr>
              <w:t>(3)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11,858</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3,662,229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Co-founder, Chief</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$525,000</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2"/>
              </w:rPr>
              <w:t>$ 5,984,524</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341,250</w:t>
            </w:r>
            <w:r>
              <w:rPr>
                <w:rFonts w:ascii="Arial" w:cs="Arial" w:eastAsia="Arial" w:hAnsi="Arial"/>
                <w:sz w:val="15"/>
                <w:szCs w:val="15"/>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3,564</w:t>
            </w:r>
            <w:r>
              <w:rPr>
                <w:rFonts w:ascii="Arial" w:cs="Arial" w:eastAsia="Arial" w:hAnsi="Arial"/>
                <w:sz w:val="15"/>
                <w:szCs w:val="15"/>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6,854,338</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Executive Officer, and Director</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$396,764</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2"/>
              </w:rPr>
              <w:t>$ 4,816,115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237,540</w:t>
            </w:r>
            <w:r>
              <w:rPr>
                <w:rFonts w:ascii="Arial" w:cs="Arial" w:eastAsia="Arial" w:hAnsi="Arial"/>
                <w:sz w:val="15"/>
                <w:szCs w:val="15"/>
                <w:color w:val="auto"/>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3,564</w:t>
            </w:r>
            <w:r>
              <w:rPr>
                <w:rFonts w:ascii="Arial" w:cs="Arial" w:eastAsia="Arial" w:hAnsi="Arial"/>
                <w:sz w:val="15"/>
                <w:szCs w:val="15"/>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5,453,983</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Shehnaaz Suliman(8), M.D.</w:t>
            </w:r>
          </w:p>
        </w:tc>
        <w:tc>
          <w:tcPr>
            <w:tcW w:w="160" w:type="dxa"/>
            <w:vAlign w:val="bottom"/>
          </w:tcPr>
          <w:p>
            <w:pPr>
              <w:spacing w:after="0"/>
              <w:rPr>
                <w:sz w:val="17"/>
                <w:szCs w:val="17"/>
                <w:color w:val="auto"/>
              </w:rPr>
            </w:pPr>
          </w:p>
        </w:tc>
        <w:tc>
          <w:tcPr>
            <w:tcW w:w="5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2020</w:t>
            </w:r>
          </w:p>
        </w:tc>
        <w:tc>
          <w:tcPr>
            <w:tcW w:w="9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$471,667</w:t>
            </w:r>
          </w:p>
        </w:tc>
        <w:tc>
          <w:tcPr>
            <w:tcW w:w="10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line="201" w:lineRule="exact"/>
              <w:rPr>
                <w:sz w:val="20"/>
                <w:szCs w:val="20"/>
                <w:color w:val="auto"/>
              </w:rPr>
            </w:pPr>
            <w:r>
              <w:rPr>
                <w:rFonts w:ascii="Arial" w:cs="Arial" w:eastAsia="Arial" w:hAnsi="Arial"/>
                <w:sz w:val="18"/>
                <w:szCs w:val="18"/>
                <w:color w:val="auto"/>
                <w:w w:val="92"/>
              </w:rPr>
              <w:t>$ 7,667,378</w:t>
            </w:r>
          </w:p>
        </w:tc>
        <w:tc>
          <w:tcPr>
            <w:tcW w:w="6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
              <w:spacing w:after="0" w:line="201" w:lineRule="exact"/>
              <w:rPr>
                <w:sz w:val="20"/>
                <w:szCs w:val="20"/>
                <w:color w:val="auto"/>
              </w:rPr>
            </w:pPr>
            <w:r>
              <w:rPr>
                <w:rFonts w:ascii="Arial" w:cs="Arial" w:eastAsia="Arial" w:hAnsi="Arial"/>
                <w:sz w:val="18"/>
                <w:szCs w:val="18"/>
                <w:color w:val="auto"/>
              </w:rPr>
              <w:t>200,250</w:t>
            </w:r>
            <w:r>
              <w:rPr>
                <w:rFonts w:ascii="Arial" w:cs="Arial" w:eastAsia="Arial" w:hAnsi="Arial"/>
                <w:sz w:val="15"/>
                <w:szCs w:val="15"/>
                <w:color w:val="auto"/>
              </w:rPr>
              <w:t>(9)</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4"/>
              <w:spacing w:after="0" w:line="201" w:lineRule="exact"/>
              <w:rPr>
                <w:sz w:val="20"/>
                <w:szCs w:val="20"/>
                <w:color w:val="auto"/>
              </w:rPr>
            </w:pPr>
            <w:r>
              <w:rPr>
                <w:rFonts w:ascii="Arial" w:cs="Arial" w:eastAsia="Arial" w:hAnsi="Arial"/>
                <w:sz w:val="18"/>
                <w:szCs w:val="18"/>
                <w:color w:val="auto"/>
              </w:rPr>
              <w:t>5,841</w:t>
            </w:r>
            <w:r>
              <w:rPr>
                <w:rFonts w:ascii="Arial" w:cs="Arial" w:eastAsia="Arial" w:hAnsi="Arial"/>
                <w:sz w:val="15"/>
                <w:szCs w:val="15"/>
                <w:color w:val="auto"/>
              </w:rPr>
              <w:t>(10)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89"/>
              </w:rPr>
              <w:t>8,345,136</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Operating</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540"/>
              <w:spacing w:after="0"/>
              <w:rPr>
                <w:sz w:val="20"/>
                <w:szCs w:val="20"/>
                <w:color w:val="auto"/>
              </w:rPr>
            </w:pPr>
            <w:r>
              <w:rPr>
                <w:rFonts w:ascii="Arial" w:cs="Arial" w:eastAsia="Arial" w:hAnsi="Arial"/>
                <w:sz w:val="18"/>
                <w:szCs w:val="18"/>
                <w:i w:val="1"/>
                <w:iCs w:val="1"/>
                <w:color w:val="auto"/>
              </w:rPr>
              <w:t>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King, Ph.D.</w:t>
            </w:r>
          </w:p>
        </w:tc>
        <w:tc>
          <w:tcPr>
            <w:tcW w:w="6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2020</w:t>
            </w:r>
          </w:p>
        </w:tc>
        <w:tc>
          <w:tcPr>
            <w:tcW w:w="9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$414,583</w:t>
            </w:r>
          </w:p>
        </w:tc>
        <w:tc>
          <w:tcPr>
            <w:tcW w:w="102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835,973</w:t>
            </w:r>
          </w:p>
        </w:tc>
        <w:tc>
          <w:tcPr>
            <w:tcW w:w="6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
              <w:spacing w:after="0" w:line="201" w:lineRule="exact"/>
              <w:rPr>
                <w:sz w:val="20"/>
                <w:szCs w:val="20"/>
                <w:color w:val="auto"/>
              </w:rPr>
            </w:pPr>
            <w:r>
              <w:rPr>
                <w:rFonts w:ascii="Arial" w:cs="Arial" w:eastAsia="Arial" w:hAnsi="Arial"/>
                <w:sz w:val="18"/>
                <w:szCs w:val="18"/>
                <w:color w:val="auto"/>
              </w:rPr>
              <w:t>134,300</w:t>
            </w:r>
            <w:r>
              <w:rPr>
                <w:rFonts w:ascii="Arial" w:cs="Arial" w:eastAsia="Arial" w:hAnsi="Arial"/>
                <w:sz w:val="15"/>
                <w:szCs w:val="15"/>
                <w:color w:val="auto"/>
              </w:rPr>
              <w:t>(9)</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4"/>
              <w:spacing w:after="0" w:line="201" w:lineRule="exact"/>
              <w:rPr>
                <w:sz w:val="20"/>
                <w:szCs w:val="20"/>
                <w:color w:val="auto"/>
              </w:rPr>
            </w:pPr>
            <w:r>
              <w:rPr>
                <w:rFonts w:ascii="Arial" w:cs="Arial" w:eastAsia="Arial" w:hAnsi="Arial"/>
                <w:sz w:val="18"/>
                <w:szCs w:val="18"/>
                <w:color w:val="auto"/>
              </w:rPr>
              <w:t>7,322</w:t>
            </w:r>
            <w:r>
              <w:rPr>
                <w:rFonts w:ascii="Arial" w:cs="Arial" w:eastAsia="Arial" w:hAnsi="Arial"/>
                <w:sz w:val="15"/>
                <w:szCs w:val="15"/>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89"/>
              </w:rPr>
              <w:t>1,392,178</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Chief Development Officer</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$362,500</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2"/>
              </w:rPr>
              <w:t>$ 1,726,305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166,750</w:t>
            </w:r>
            <w:r>
              <w:rPr>
                <w:rFonts w:ascii="Arial" w:cs="Arial" w:eastAsia="Arial" w:hAnsi="Arial"/>
                <w:sz w:val="15"/>
                <w:szCs w:val="15"/>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2,322</w:t>
            </w:r>
            <w:r>
              <w:rPr>
                <w:rFonts w:ascii="Arial" w:cs="Arial" w:eastAsia="Arial" w:hAnsi="Arial"/>
                <w:sz w:val="15"/>
                <w:szCs w:val="15"/>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2,257,877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$352,297</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2"/>
              </w:rPr>
              <w:t>$ 1,570,355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147,800</w:t>
            </w:r>
            <w:r>
              <w:rPr>
                <w:rFonts w:ascii="Arial" w:cs="Arial" w:eastAsia="Arial" w:hAnsi="Arial"/>
                <w:sz w:val="15"/>
                <w:szCs w:val="15"/>
                <w:color w:val="auto"/>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2,323</w:t>
            </w:r>
            <w:r>
              <w:rPr>
                <w:rFonts w:ascii="Arial" w:cs="Arial" w:eastAsia="Arial" w:hAnsi="Arial"/>
                <w:sz w:val="15"/>
                <w:szCs w:val="15"/>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2,072,775</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Robert Paul, M.D., Ph.D.</w:t>
            </w:r>
          </w:p>
        </w:tc>
        <w:tc>
          <w:tcPr>
            <w:tcW w:w="160" w:type="dxa"/>
            <w:vAlign w:val="bottom"/>
          </w:tcPr>
          <w:p>
            <w:pPr>
              <w:spacing w:after="0"/>
              <w:rPr>
                <w:sz w:val="17"/>
                <w:szCs w:val="17"/>
                <w:color w:val="auto"/>
              </w:rPr>
            </w:pPr>
          </w:p>
        </w:tc>
        <w:tc>
          <w:tcPr>
            <w:tcW w:w="5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2020</w:t>
            </w:r>
          </w:p>
        </w:tc>
        <w:tc>
          <w:tcPr>
            <w:tcW w:w="9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$432,017</w:t>
            </w:r>
          </w:p>
        </w:tc>
        <w:tc>
          <w:tcPr>
            <w:tcW w:w="10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743,088</w:t>
            </w:r>
          </w:p>
        </w:tc>
        <w:tc>
          <w:tcPr>
            <w:tcW w:w="6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
              <w:spacing w:after="0" w:line="201" w:lineRule="exact"/>
              <w:rPr>
                <w:sz w:val="20"/>
                <w:szCs w:val="20"/>
                <w:color w:val="auto"/>
              </w:rPr>
            </w:pPr>
            <w:r>
              <w:rPr>
                <w:rFonts w:ascii="Arial" w:cs="Arial" w:eastAsia="Arial" w:hAnsi="Arial"/>
                <w:sz w:val="18"/>
                <w:szCs w:val="18"/>
                <w:color w:val="auto"/>
              </w:rPr>
              <w:t>130,240</w:t>
            </w:r>
            <w:r>
              <w:rPr>
                <w:rFonts w:ascii="Arial" w:cs="Arial" w:eastAsia="Arial" w:hAnsi="Arial"/>
                <w:sz w:val="15"/>
                <w:szCs w:val="15"/>
                <w:color w:val="auto"/>
              </w:rPr>
              <w:t>(9)</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4"/>
              <w:spacing w:after="0" w:line="201" w:lineRule="exact"/>
              <w:rPr>
                <w:sz w:val="20"/>
                <w:szCs w:val="20"/>
                <w:color w:val="auto"/>
              </w:rPr>
            </w:pPr>
            <w:r>
              <w:rPr>
                <w:rFonts w:ascii="Arial" w:cs="Arial" w:eastAsia="Arial" w:hAnsi="Arial"/>
                <w:sz w:val="18"/>
                <w:szCs w:val="18"/>
                <w:color w:val="auto"/>
              </w:rPr>
              <w:t>6,242</w:t>
            </w:r>
            <w:r>
              <w:rPr>
                <w:rFonts w:ascii="Arial" w:cs="Arial" w:eastAsia="Arial" w:hAnsi="Arial"/>
                <w:sz w:val="15"/>
                <w:szCs w:val="15"/>
                <w:color w:val="auto"/>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89"/>
              </w:rPr>
              <w:t>1,311,587</w:t>
            </w:r>
          </w:p>
        </w:tc>
        <w:tc>
          <w:tcPr>
            <w:tcW w:w="0" w:type="dxa"/>
            <w:vAlign w:val="bottom"/>
          </w:tcPr>
          <w:p>
            <w:pPr>
              <w:spacing w:after="0"/>
              <w:rPr>
                <w:sz w:val="1"/>
                <w:szCs w:val="1"/>
                <w:color w:val="auto"/>
              </w:rPr>
            </w:pPr>
          </w:p>
        </w:tc>
      </w:tr>
      <w:tr>
        <w:trPr>
          <w:trHeight w:val="216"/>
        </w:trPr>
        <w:tc>
          <w:tcPr>
            <w:tcW w:w="302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680" w:type="dxa"/>
            <w:vAlign w:val="bottom"/>
            <w:gridSpan w:val="3"/>
          </w:tcPr>
          <w:p>
            <w:pPr>
              <w:ind w:left="220"/>
              <w:spacing w:after="0"/>
              <w:rPr>
                <w:sz w:val="20"/>
                <w:szCs w:val="20"/>
                <w:color w:val="auto"/>
              </w:rPr>
            </w:pPr>
            <w:r>
              <w:rPr>
                <w:rFonts w:ascii="Arial" w:cs="Arial" w:eastAsia="Arial" w:hAnsi="Arial"/>
                <w:sz w:val="18"/>
                <w:szCs w:val="18"/>
                <w:color w:val="auto"/>
              </w:rPr>
              <w:t>2019</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0"/>
              </w:rPr>
              <w:t>$392,100</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w w:val="92"/>
              </w:rPr>
              <w:t>$ 1,726,305</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188,208</w:t>
            </w:r>
            <w:r>
              <w:rPr>
                <w:rFonts w:ascii="Arial" w:cs="Arial" w:eastAsia="Arial" w:hAnsi="Arial"/>
                <w:sz w:val="15"/>
                <w:szCs w:val="15"/>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4"/>
              <w:spacing w:after="0"/>
              <w:rPr>
                <w:sz w:val="20"/>
                <w:szCs w:val="20"/>
                <w:color w:val="auto"/>
              </w:rPr>
            </w:pPr>
            <w:r>
              <w:rPr>
                <w:rFonts w:ascii="Arial" w:cs="Arial" w:eastAsia="Arial" w:hAnsi="Arial"/>
                <w:sz w:val="18"/>
                <w:szCs w:val="18"/>
                <w:color w:val="auto"/>
              </w:rPr>
              <w:t>1,242</w:t>
            </w:r>
            <w:r>
              <w:rPr>
                <w:rFonts w:ascii="Arial" w:cs="Arial" w:eastAsia="Arial" w:hAnsi="Arial"/>
                <w:sz w:val="15"/>
                <w:szCs w:val="15"/>
                <w:color w:val="auto"/>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2,307,855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80" w:type="dxa"/>
            <w:vAlign w:val="bottom"/>
            <w:gridSpan w:val="3"/>
          </w:tcPr>
          <w:p>
            <w:pPr>
              <w:ind w:left="220"/>
              <w:spacing w:after="0"/>
              <w:rPr>
                <w:sz w:val="20"/>
                <w:szCs w:val="20"/>
                <w:color w:val="auto"/>
              </w:rPr>
            </w:pPr>
            <w:r>
              <w:rPr>
                <w:rFonts w:ascii="Arial" w:cs="Arial" w:eastAsia="Arial" w:hAnsi="Arial"/>
                <w:sz w:val="18"/>
                <w:szCs w:val="18"/>
                <w:color w:val="auto"/>
              </w:rPr>
              <w:t>2018</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0"/>
              </w:rPr>
              <w:t>$326,367</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$43,750</w:t>
            </w:r>
            <w:r>
              <w:rPr>
                <w:rFonts w:ascii="Arial" w:cs="Arial" w:eastAsia="Arial" w:hAnsi="Arial"/>
                <w:sz w:val="15"/>
                <w:szCs w:val="15"/>
                <w:color w:val="auto"/>
                <w:w w:val="91"/>
              </w:rPr>
              <w:t>(13)</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w w:val="92"/>
              </w:rPr>
              <w:t>$ 2,707,815</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136,920</w:t>
            </w:r>
            <w:r>
              <w:rPr>
                <w:rFonts w:ascii="Arial" w:cs="Arial" w:eastAsia="Arial" w:hAnsi="Arial"/>
                <w:sz w:val="15"/>
                <w:szCs w:val="15"/>
                <w:color w:val="auto"/>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4"/>
              <w:spacing w:after="0"/>
              <w:rPr>
                <w:sz w:val="20"/>
                <w:szCs w:val="20"/>
                <w:color w:val="auto"/>
              </w:rPr>
            </w:pPr>
            <w:r>
              <w:rPr>
                <w:rFonts w:ascii="Arial" w:cs="Arial" w:eastAsia="Arial" w:hAnsi="Arial"/>
                <w:sz w:val="18"/>
                <w:szCs w:val="18"/>
                <w:color w:val="auto"/>
              </w:rPr>
              <w:t>1,243</w:t>
            </w:r>
            <w:r>
              <w:rPr>
                <w:rFonts w:ascii="Arial" w:cs="Arial" w:eastAsia="Arial" w:hAnsi="Arial"/>
                <w:sz w:val="15"/>
                <w:szCs w:val="15"/>
                <w:color w:val="auto"/>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3,216,095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Calvin Yu</w:t>
            </w:r>
            <w:r>
              <w:rPr>
                <w:rFonts w:ascii="Arial" w:cs="Arial" w:eastAsia="Arial" w:hAnsi="Arial"/>
                <w:sz w:val="15"/>
                <w:szCs w:val="15"/>
                <w:color w:val="auto"/>
              </w:rPr>
              <w:t>(14)</w:t>
            </w:r>
          </w:p>
        </w:tc>
        <w:tc>
          <w:tcPr>
            <w:tcW w:w="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$295,000</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457,455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71,100</w:t>
            </w:r>
            <w:r>
              <w:rPr>
                <w:rFonts w:ascii="Arial" w:cs="Arial" w:eastAsia="Arial" w:hAnsi="Arial"/>
                <w:sz w:val="15"/>
                <w:szCs w:val="15"/>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4,771</w:t>
            </w:r>
            <w:r>
              <w:rPr>
                <w:rFonts w:ascii="Arial" w:cs="Arial" w:eastAsia="Arial" w:hAnsi="Arial"/>
                <w:sz w:val="15"/>
                <w:szCs w:val="15"/>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828,326</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Vice President, Finance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hanging="424"/>
        <w:spacing w:after="0" w:line="25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Salary, bonus, and incentive plan figures represent amounts earned during each respective fiscal year, regardless of whether part or all of such amounts were paid in subsequent fiscal year(s).</w:t>
      </w:r>
    </w:p>
    <w:p>
      <w:pPr>
        <w:spacing w:after="0" w:line="1" w:lineRule="exact"/>
        <w:rPr>
          <w:rFonts w:ascii="Arial" w:cs="Arial" w:eastAsia="Arial" w:hAnsi="Arial"/>
          <w:sz w:val="18"/>
          <w:szCs w:val="18"/>
          <w:color w:val="auto"/>
        </w:rPr>
      </w:pPr>
    </w:p>
    <w:p>
      <w:pPr>
        <w:ind w:left="540" w:right="300" w:hanging="424"/>
        <w:spacing w:after="0" w:line="26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the award as calculated in accordance with FASB ASC Topic 718. The assumptions used in calculating the grant date fair value of the award disclosed in this column are set forth in the notes to our audited financial statements included in our Annual Report on Form 10-K filed on February 25, 2021. These amounts do not correspond to the actual value that may be recognized by the named executive officers upon vesting of the applicable awards.</w:t>
      </w: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 Rosenthal agreed to forego his annual bonus for the fiscal year ended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consisted of (i) life insurance premiums of $6,858 and a 401(k) match of $5,000, paid by us on behalf of Dr. Rosenthal.</w:t>
      </w:r>
    </w:p>
    <w:p>
      <w:pPr>
        <w:spacing w:after="0" w:line="3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represent bonuses based on the achievement of company objectives for the fiscal year ended December 31, 2019, which was paid in March 2020.</w:t>
      </w: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consisted of life insurance premiums paid by us on behalf of our named executive officers.</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represent bonuses based on the achievement of company objectives for the fiscal year ended December 31, 2018, which was paid in March 2019.</w:t>
      </w: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 Suliman was an executive officer but not a named executive officer for fiscal 2019.</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represent bonuses based on the achievement of company objectives for the fiscal year ended December 31, 2020, which was paid in March 2021.</w:t>
      </w:r>
    </w:p>
    <w:p>
      <w:pPr>
        <w:ind w:left="540" w:hanging="424"/>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reported consisted of (i) life insurance premiums of $841 and a 401(k) match of $5,000, paid by us on behalf of Dr. Suliman.</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reported consisted of (i) life insurance premiums of $2,322 and a 401(k) match of $5,000, paid by us on behalf of Dr. King.</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reported consisted of (i) life insurance premiums of $1,242 and a 401(k) match of $5,000, paid by us on behalf of Dr. Paul.</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included in the “Bonus” column includes a portion of a signing bonus earned and paid in 2018 to Dr. Paul.</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Yu was an executive officer but not a named executive officer for fiscal 2018 and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consisted of (i) life insurance premiums of $540 and a 401(k) match of $4,230, paid by us on behalf of Mr. Yu.</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 provides information regarding grants of plan-based awards to each of our named executive officers during the fiscal year ended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Estimated Future</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8"/>
              </w:rPr>
              <w:t>Payouts</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7"/>
              </w:rPr>
              <w:t>All Other Option</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Under Non-Equity</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 Number</w:t>
            </w:r>
          </w:p>
        </w:tc>
        <w:tc>
          <w:tcPr>
            <w:tcW w:w="160" w:type="dxa"/>
            <w:vAlign w:val="bottom"/>
          </w:tcPr>
          <w:p>
            <w:pPr>
              <w:spacing w:after="0"/>
              <w:rPr>
                <w:sz w:val="12"/>
                <w:szCs w:val="12"/>
                <w:color w:val="auto"/>
              </w:rPr>
            </w:pPr>
          </w:p>
        </w:tc>
        <w:tc>
          <w:tcPr>
            <w:tcW w:w="14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Exercise or Base</w:t>
            </w: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1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of Stock and</w:t>
            </w: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6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12"/>
                <w:szCs w:val="12"/>
                <w:b w:val="1"/>
                <w:bCs w:val="1"/>
                <w:color w:val="auto"/>
                <w:w w:val="95"/>
              </w:rPr>
              <w:t>(1)</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4"/>
                <w:szCs w:val="14"/>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Price of Option</w:t>
            </w:r>
          </w:p>
        </w:tc>
        <w:tc>
          <w:tcPr>
            <w:tcW w:w="1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Grant Date</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Target</w:t>
            </w:r>
          </w:p>
        </w:tc>
        <w:tc>
          <w:tcPr>
            <w:tcW w:w="340" w:type="dxa"/>
            <w:vAlign w:val="bottom"/>
          </w:tcPr>
          <w:p>
            <w:pPr>
              <w:spacing w:after="0"/>
              <w:rPr>
                <w:sz w:val="12"/>
                <w:szCs w:val="12"/>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Maximum</w:t>
            </w:r>
          </w:p>
        </w:tc>
        <w:tc>
          <w:tcPr>
            <w:tcW w:w="340" w:type="dxa"/>
            <w:vAlign w:val="bottom"/>
          </w:tcPr>
          <w:p>
            <w:pPr>
              <w:spacing w:after="0"/>
              <w:rPr>
                <w:sz w:val="12"/>
                <w:szCs w:val="12"/>
                <w:color w:val="auto"/>
              </w:rPr>
            </w:pPr>
          </w:p>
        </w:tc>
        <w:tc>
          <w:tcPr>
            <w:tcW w:w="12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(3)</w:t>
            </w:r>
          </w:p>
        </w:tc>
        <w:tc>
          <w:tcPr>
            <w:tcW w:w="160" w:type="dxa"/>
            <w:vAlign w:val="bottom"/>
          </w:tcPr>
          <w:p>
            <w:pPr>
              <w:spacing w:after="0"/>
              <w:rPr>
                <w:sz w:val="12"/>
                <w:szCs w:val="12"/>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06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Arnon Rosenthal, Ph.D.</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10/1/2020</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308,000</w:t>
            </w: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$ 462,000</w:t>
            </w:r>
          </w:p>
        </w:tc>
        <w:tc>
          <w:tcPr>
            <w:tcW w:w="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457,038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3,096,204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Shehnaaz Suliman, M.D.</w:t>
            </w:r>
          </w:p>
        </w:tc>
        <w:tc>
          <w:tcPr>
            <w:tcW w:w="11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1/1/2020</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225,000</w:t>
            </w:r>
          </w:p>
        </w:tc>
        <w:tc>
          <w:tcPr>
            <w:tcW w:w="106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$ 337,500</w:t>
            </w:r>
          </w:p>
        </w:tc>
        <w:tc>
          <w:tcPr>
            <w:tcW w:w="12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550,000</w:t>
            </w:r>
          </w:p>
        </w:tc>
        <w:tc>
          <w:tcPr>
            <w:tcW w:w="5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17.23</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6,385,555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10/1/2020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189,213</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1,281,823</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10/1/2020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170,000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$ 255,000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123,400</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835,973</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Robert Paul, M.D., Ph.D.</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10/1/2020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176,000</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$ 264,000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109,689</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743,088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Calvin Yu</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10/1/2020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90,000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$ 135,000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67,526</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457,455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0" w:hanging="424"/>
        <w:spacing w:after="0" w:line="25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reported in these columns represent the target and maximum amount of annual performance-based incentive bonus compensation that might have been paid to each named executive officer for 2020 performance. The actual payouts approved for 2020 performance are shown in the “Non-Equity Incentive Plan Compensation” column of the “Summary Compensation Table.” These awards are described in further detail in the CD&amp;A in the section entitled “2020 Executive Incentive Compensation Plan.” The bonus payouts approved pursuant to the 2020 Executive Incentive Compensation Plan were paid in March 2021.</w:t>
      </w:r>
    </w:p>
    <w:p>
      <w:pPr>
        <w:spacing w:after="0" w:line="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shown are full grant date fair value in accordance with FASB ASC Topic 718. The assumptions used to calculate the grant date fair value of option awards are set forth under Note 2 of the Notes to the Consolidated Financial Statements included in the Company’s Annual Report on Form 10-K for the year ended December 31, 2020 filed with the SEC on February 25, 2021.</w:t>
      </w:r>
    </w:p>
    <w:p>
      <w:pPr>
        <w:spacing w:after="0" w:line="1" w:lineRule="exact"/>
        <w:rPr>
          <w:rFonts w:ascii="Arial" w:cs="Arial" w:eastAsia="Arial" w:hAnsi="Arial"/>
          <w:sz w:val="18"/>
          <w:szCs w:val="18"/>
          <w:color w:val="auto"/>
        </w:rPr>
      </w:pPr>
    </w:p>
    <w:p>
      <w:pPr>
        <w:ind w:left="540" w:right="100" w:hanging="424"/>
        <w:spacing w:after="0" w:line="26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represent the stock option awards granted in 2020 pursuant to our 2019 Equity Incentive Plan. The per share exercise price of the stock options is equal to the closing price of a share of our common stock on the date of grant.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certain information concerning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7"/>
              </w:rPr>
              <w:t>Number of</w:t>
            </w:r>
          </w:p>
        </w:tc>
        <w:tc>
          <w:tcPr>
            <w:tcW w:w="154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Underlying</w:t>
            </w:r>
          </w:p>
        </w:tc>
        <w:tc>
          <w:tcPr>
            <w:tcW w:w="940" w:type="dxa"/>
            <w:vAlign w:val="bottom"/>
            <w:gridSpan w:val="3"/>
            <w:vMerge w:val="continue"/>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Stock That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Grant Date</w:t>
            </w:r>
          </w:p>
        </w:tc>
        <w:tc>
          <w:tcPr>
            <w:tcW w:w="32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Options(#)</w:t>
            </w:r>
          </w:p>
        </w:tc>
        <w:tc>
          <w:tcPr>
            <w:tcW w:w="15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153"/>
        </w:trPr>
        <w:tc>
          <w:tcPr>
            <w:tcW w:w="36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2"/>
                <w:szCs w:val="12"/>
                <w:color w:val="auto"/>
              </w:rPr>
            </w:pPr>
          </w:p>
        </w:tc>
        <w:tc>
          <w:tcPr>
            <w:tcW w:w="4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Vested(#)</w:t>
            </w:r>
          </w:p>
        </w:tc>
        <w:tc>
          <w:tcPr>
            <w:tcW w:w="1000" w:type="dxa"/>
            <w:vAlign w:val="bottom"/>
            <w:gridSpan w:val="2"/>
          </w:tcPr>
          <w:p>
            <w:pPr>
              <w:jc w:val="center"/>
              <w:ind w:left="56"/>
              <w:spacing w:after="0"/>
              <w:rPr>
                <w:sz w:val="20"/>
                <w:szCs w:val="20"/>
                <w:color w:val="auto"/>
              </w:rPr>
            </w:pP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20"/>
        </w:trPr>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Arnon Rosenthal,Ph.D.</w:t>
            </w: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8/9/2017(3)</w:t>
            </w:r>
          </w:p>
        </w:tc>
        <w:tc>
          <w:tcPr>
            <w:tcW w:w="36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5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48,977(4)</w:t>
            </w:r>
          </w:p>
        </w:tc>
        <w:tc>
          <w:tcPr>
            <w:tcW w:w="200" w:type="dxa"/>
            <w:vAlign w:val="bottom"/>
            <w:vMerge w:val="continue"/>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$ 741,022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8/9/2017(5)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30,407(6)</w:t>
            </w:r>
          </w:p>
        </w:tc>
        <w:tc>
          <w:tcPr>
            <w:tcW w:w="1000" w:type="dxa"/>
            <w:vAlign w:val="bottom"/>
            <w:tcBorders>
              <w:right w:val="single" w:sz="8" w:color="CCEEFF"/>
            </w:tcBorders>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2"/>
              </w:rPr>
              <w:t>$ 460,058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7/2/2018(7)</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302,083(8)</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197,917(8)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7/2/2028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6"/>
              </w:rPr>
              <w:t>11/6/2018(7)</w:t>
            </w:r>
          </w:p>
        </w:tc>
        <w:tc>
          <w:tcPr>
            <w:tcW w:w="3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143,229(9)</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131,771(9)</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$ 10.14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11/6/2028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6"/>
              </w:rPr>
              <w:t>11/6/2019(10)</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140,833(11)</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379,167(11)</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$ 17.15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11/6/2029</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6"/>
              </w:rPr>
              <w:t>10/1/2020(10)</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19,043(12)</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437,995(12)</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$ 10.24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10/1/2030</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Shehnaaz</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Suliman, M.D.</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1/1/2020(10)</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137,500(16)</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412,500(16)</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$ 17.23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1/1/2030</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10/1/2020(10)</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7,883(12)</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181,330(12)</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$ 10.24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10/1/2030</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1/26/2017(3)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11,195(14)</w:t>
            </w:r>
          </w:p>
        </w:tc>
        <w:tc>
          <w:tcPr>
            <w:tcW w:w="1000" w:type="dxa"/>
            <w:vAlign w:val="bottom"/>
            <w:tcBorders>
              <w:right w:val="single" w:sz="8" w:color="CCEEFF"/>
            </w:tcBorders>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2"/>
              </w:rPr>
              <w:t>$ 169,380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7/2/2018(7)</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90,625(8)</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59,375(8)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7/2/2028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11/6/2018(7)</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52,083(9)</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47,917(9)</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$ 10.14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11/6/2028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11/6/2019(10)</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40,625(11)</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109,375(11)</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$ 17.15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11/6/2029</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6"/>
              </w:rPr>
              <w:t>10/1/2020(10)</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5,141(12)</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118,259(12)</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$ 10.24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10/1/2030</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Robert Paul, M.D., Ph.D.</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8/9/2017(3)</w:t>
            </w:r>
          </w:p>
        </w:tc>
        <w:tc>
          <w:tcPr>
            <w:tcW w:w="320" w:type="dxa"/>
            <w:vAlign w:val="bottom"/>
          </w:tcPr>
          <w:p>
            <w:pPr>
              <w:spacing w:after="0"/>
              <w:rPr>
                <w:sz w:val="17"/>
                <w:szCs w:val="17"/>
                <w:color w:val="auto"/>
              </w:rPr>
            </w:pPr>
          </w:p>
        </w:tc>
        <w:tc>
          <w:tcPr>
            <w:tcW w:w="128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7,953(15)</w:t>
            </w:r>
          </w:p>
        </w:tc>
        <w:tc>
          <w:tcPr>
            <w:tcW w:w="1000" w:type="dxa"/>
            <w:vAlign w:val="bottom"/>
            <w:gridSpan w:val="2"/>
          </w:tcPr>
          <w:p>
            <w:pPr>
              <w:jc w:val="center"/>
              <w:ind w:left="56"/>
              <w:spacing w:after="0" w:line="201" w:lineRule="exact"/>
              <w:rPr>
                <w:sz w:val="20"/>
                <w:szCs w:val="20"/>
                <w:color w:val="auto"/>
              </w:rPr>
            </w:pPr>
            <w:r>
              <w:rPr>
                <w:rFonts w:ascii="Arial" w:cs="Arial" w:eastAsia="Arial" w:hAnsi="Arial"/>
                <w:sz w:val="18"/>
                <w:szCs w:val="18"/>
                <w:color w:val="auto"/>
                <w:w w:val="92"/>
              </w:rPr>
              <w:t>$ 120,329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7/2/2018(7)</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181,458(8)</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138,542(8)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8.16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7/2/2028</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11/6/2018(7)</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52,083(9)</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47,917(9)</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$ 10.14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11/6/2028</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11/6/2019(10)</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40,625(11)</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109,375(11)</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$ 17.15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11/6/2029</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10/1/2020(10)</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4,570(12)</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105,119(12)</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$ 10.24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10/1/2030</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Calvin Yu</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8/3/2017(3)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18,260(13)</w:t>
            </w:r>
          </w:p>
        </w:tc>
        <w:tc>
          <w:tcPr>
            <w:tcW w:w="1000" w:type="dxa"/>
            <w:vAlign w:val="bottom"/>
            <w:tcBorders>
              <w:right w:val="single" w:sz="8" w:color="CCEEFF"/>
            </w:tcBorders>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2"/>
              </w:rPr>
              <w:t>$ 276,274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7/2/2018(7)</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12,746(8)</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19,792(8)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7/2/2028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11/6/2018(7)</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7,500(9)</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14,375(9)</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$ 10.14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11/6/2028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11/6/2019(10)</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21,666(11)</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58,334(11)</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$ 17.15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11/6/2029</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6"/>
              </w:rPr>
              <w:t>10/1/2020(10)</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2,813(12)</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64,713(12)</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$ 10.24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10/1/2030</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-2887980</wp:posOffset>
            </wp:positionV>
            <wp:extent cx="531495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14950" cy="41148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-1645285</wp:posOffset>
            </wp:positionV>
            <wp:extent cx="531495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0" cy="27432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-273685</wp:posOffset>
            </wp:positionV>
            <wp:extent cx="531495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660" w:right="100" w:hanging="544"/>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column represents the fair market value of a share of our common stock on the date of grant, as determined by our Board of Directors or its authorized committee.</w:t>
      </w:r>
    </w:p>
    <w:p>
      <w:pPr>
        <w:spacing w:after="0" w:line="1" w:lineRule="exact"/>
        <w:rPr>
          <w:rFonts w:ascii="Arial" w:cs="Arial" w:eastAsia="Arial" w:hAnsi="Arial"/>
          <w:sz w:val="18"/>
          <w:szCs w:val="18"/>
          <w:color w:val="auto"/>
        </w:rPr>
      </w:pPr>
    </w:p>
    <w:p>
      <w:pPr>
        <w:ind w:left="660" w:right="80" w:hanging="544"/>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column represents the fair market value of the shares listed in the “Number of Shares of Stock That Have Not Vested” column, as of December 31, 2020, based on the closing price of our common stock, as reported on the NASDAQ Global Select Market, of $15.13 per share on December 31, 2020.</w:t>
      </w:r>
    </w:p>
    <w:p>
      <w:pPr>
        <w:spacing w:after="0" w:line="1" w:lineRule="exact"/>
        <w:rPr>
          <w:rFonts w:ascii="Arial" w:cs="Arial" w:eastAsia="Arial" w:hAnsi="Arial"/>
          <w:sz w:val="18"/>
          <w:szCs w:val="18"/>
          <w:color w:val="auto"/>
        </w:rPr>
      </w:pPr>
    </w:p>
    <w:p>
      <w:pPr>
        <w:ind w:left="660" w:hanging="54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restricted stock grant of our common stock was granted pursuant to our 2017 Plan.</w:t>
      </w:r>
    </w:p>
    <w:p>
      <w:pPr>
        <w:spacing w:after="0" w:line="9" w:lineRule="exact"/>
        <w:rPr>
          <w:rFonts w:ascii="Arial" w:cs="Arial" w:eastAsia="Arial" w:hAnsi="Arial"/>
          <w:sz w:val="18"/>
          <w:szCs w:val="18"/>
          <w:color w:val="auto"/>
        </w:rPr>
      </w:pPr>
    </w:p>
    <w:p>
      <w:pPr>
        <w:ind w:left="660" w:right="620" w:hanging="544"/>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subject to the restricted stock grant vested, and continue to vest, 1/48th per month beginning on the one-month anniversary of August 1, 2017, subject to Dr. Rosenthal’s continued status as a service provider on each such vesting date.</w:t>
      </w:r>
    </w:p>
    <w:p>
      <w:pPr>
        <w:ind w:left="660" w:right="140" w:hanging="544"/>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restricted stock grant of our common stock was granted outside of the 2017 Plan, but is subject to the terms of the 2017 Plan as if the grant was made under the 2017 Plan (except with respect to the forfeiture of unvested shares).</w:t>
      </w:r>
    </w:p>
    <w:p>
      <w:pPr>
        <w:ind w:left="660" w:right="620" w:hanging="544"/>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subject to the restricted stock grant vested, and continue to vest, 1/48th per month beginning on the one-month anniversary of August 1, 2017, subject to Dr. Rosenthal’s continued status as a service provider on each such vesting date.</w:t>
      </w:r>
    </w:p>
    <w:p>
      <w:pPr>
        <w:ind w:left="660" w:hanging="54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option to purchase shares of our common stock was granted pursuant to our 2017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00" w:hanging="544"/>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subject to this option vested, and continue to vest, 1/48th per month beginning on the one-month anniversary of July 2, 2018, subject to the executive’s continued status as a service provider on each such vesting date.</w:t>
      </w:r>
    </w:p>
    <w:p>
      <w:pPr>
        <w:spacing w:after="0" w:line="1" w:lineRule="exact"/>
        <w:rPr>
          <w:rFonts w:ascii="Arial" w:cs="Arial" w:eastAsia="Arial" w:hAnsi="Arial"/>
          <w:sz w:val="18"/>
          <w:szCs w:val="18"/>
          <w:color w:val="auto"/>
        </w:rPr>
      </w:pPr>
    </w:p>
    <w:p>
      <w:pPr>
        <w:ind w:left="660" w:right="380" w:hanging="544"/>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the executive’s continued status as a service provider through each such vesting date.</w:t>
      </w:r>
    </w:p>
    <w:p>
      <w:pPr>
        <w:spacing w:after="0" w:line="1" w:lineRule="exact"/>
        <w:rPr>
          <w:rFonts w:ascii="Arial" w:cs="Arial" w:eastAsia="Arial" w:hAnsi="Arial"/>
          <w:sz w:val="18"/>
          <w:szCs w:val="18"/>
          <w:color w:val="auto"/>
        </w:rPr>
      </w:pPr>
    </w:p>
    <w:p>
      <w:pPr>
        <w:ind w:left="660" w:hanging="54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option to purchase shares of our common stock was granted pursuant to our 2019 Plan.</w:t>
      </w:r>
    </w:p>
    <w:p>
      <w:pPr>
        <w:spacing w:after="0" w:line="9" w:lineRule="exact"/>
        <w:rPr>
          <w:rFonts w:ascii="Arial" w:cs="Arial" w:eastAsia="Arial" w:hAnsi="Arial"/>
          <w:sz w:val="18"/>
          <w:szCs w:val="18"/>
          <w:color w:val="auto"/>
        </w:rPr>
      </w:pPr>
    </w:p>
    <w:p>
      <w:pPr>
        <w:ind w:left="660" w:right="200" w:hanging="544"/>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subject to this option vested, and continue to vest, 1/48th per month beginning on the one-month anniversary of November 6, 2019, subject to the executive’s continued status as a service provider on each such vesting date.</w:t>
      </w:r>
    </w:p>
    <w:p>
      <w:pPr>
        <w:ind w:left="660" w:right="400" w:hanging="544"/>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subject to this option vested, and continue to vest, 1/48th per month beginning on the one month anniversary of October 1, 2020, subject to the executive’s continued status as a service provider on each such vesting date.</w:t>
      </w:r>
    </w:p>
    <w:p>
      <w:pPr>
        <w:ind w:left="660" w:right="80" w:hanging="544"/>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One-fourth of the total number of shares subject to the restricted stock grant vested on June 1, 2018, and an additional 1/48th of the total number of shares subject to the restricted stock grant vested, and continued to vest, on the same day of each month thereafter, subject to Mr. Yu’s continued status as a service provider through each such vesting date.</w:t>
      </w:r>
    </w:p>
    <w:p>
      <w:pPr>
        <w:spacing w:after="0" w:line="1" w:lineRule="exact"/>
        <w:rPr>
          <w:rFonts w:ascii="Arial" w:cs="Arial" w:eastAsia="Arial" w:hAnsi="Arial"/>
          <w:sz w:val="18"/>
          <w:szCs w:val="18"/>
          <w:color w:val="auto"/>
        </w:rPr>
      </w:pPr>
    </w:p>
    <w:p>
      <w:pPr>
        <w:ind w:left="660" w:right="360" w:hanging="544"/>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One-fourth of the total number of shares subject to the restricted stock grant vested on January 26, 2018, and an additional 1/48th of the total number of shares subject to the restricted stock grant vested, and continued to vest, on the same day of each month thereafter, subject to Dr. King’s continued status as a service provider through each such vesting date.</w:t>
      </w:r>
    </w:p>
    <w:p>
      <w:pPr>
        <w:spacing w:after="0" w:line="1" w:lineRule="exact"/>
        <w:rPr>
          <w:rFonts w:ascii="Arial" w:cs="Arial" w:eastAsia="Arial" w:hAnsi="Arial"/>
          <w:sz w:val="18"/>
          <w:szCs w:val="18"/>
          <w:color w:val="auto"/>
        </w:rPr>
      </w:pPr>
    </w:p>
    <w:p>
      <w:pPr>
        <w:ind w:left="660" w:right="640" w:hanging="544"/>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subject to the restricted stock grant vested, and continue to vest, 1/48th per month beginning on the one month anniversary of August 1, 2017, subject to Dr. Paul’s continued status as a service provider on each such vesting date.</w:t>
      </w:r>
    </w:p>
    <w:p>
      <w:pPr>
        <w:ind w:left="660" w:right="400" w:hanging="544"/>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One-fourth of the total number of shares subject to the option grant vest on the one year anniversary of December 9, 2020, and an additional 1/48th of the total number of shares subject to the option grant continue to vest, on the same day of each month thereafter, subject to the executive’s continued status as a service provider through each such vesting date.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Awards Vesting During Fiscal 2020</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shows certain information concerning option exercises and value realized upon the exercise of stock options by our named executive officers during the fiscal year ended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4"/>
                <w:szCs w:val="14"/>
                <w:color w:val="auto"/>
              </w:rPr>
            </w:pPr>
          </w:p>
        </w:tc>
        <w:tc>
          <w:tcPr>
            <w:tcW w:w="16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0"/>
              </w:rPr>
              <w:t>Stock Awards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5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Value Realized</w:t>
            </w:r>
          </w:p>
        </w:tc>
        <w:tc>
          <w:tcPr>
            <w:tcW w:w="15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Value Realized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460" w:type="dxa"/>
            <w:vAlign w:val="bottom"/>
            <w:gridSpan w:val="3"/>
            <w:vMerge w:val="continue"/>
          </w:tcPr>
          <w:p>
            <w:pPr>
              <w:spacing w:after="0"/>
              <w:rPr>
                <w:sz w:val="12"/>
                <w:szCs w:val="12"/>
                <w:color w:val="auto"/>
              </w:rPr>
            </w:pPr>
          </w:p>
        </w:tc>
        <w:tc>
          <w:tcPr>
            <w:tcW w:w="15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00" w:type="dxa"/>
            <w:vAlign w:val="bottom"/>
            <w:vMerge w:val="restart"/>
          </w:tcPr>
          <w:p>
            <w:pPr>
              <w:spacing w:after="0"/>
              <w:rPr>
                <w:sz w:val="12"/>
                <w:szCs w:val="12"/>
                <w:color w:val="auto"/>
              </w:rPr>
            </w:pPr>
          </w:p>
        </w:tc>
        <w:tc>
          <w:tcPr>
            <w:tcW w:w="15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Arnon Rosenthal, Ph.D.</w:t>
            </w:r>
          </w:p>
        </w:tc>
        <w:tc>
          <w:tcPr>
            <w:tcW w:w="100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119,088</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2,362,507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Shehnaaz Suliman, M.D.</w:t>
            </w:r>
          </w:p>
        </w:tc>
        <w:tc>
          <w:tcPr>
            <w:tcW w:w="15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5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134,329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2,713,787</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Robert Paul, M.D., Ph.D.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495,091</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71,506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1,495,828</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Calvin Yu</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25,587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603,645</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43,824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869,395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Arnon Rosenthal</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entered into a confirmatory employment letter with Arnon Rosenthal, our Co-founder and Chief Executive Officer. The confirmatory employment letter has no specific term and provides that Dr. Rosenthal is an at-will employee.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Shehnaaz Suliman</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entered into an employment offer letter with Shehnaaz Suliman, our President and Chief Operating Officer. The employment offer letter has no specific term and provides that Dr. Suliman is an at-will employee.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Robert King</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entered into a confirmatory employment letter with Robert King, our Chief Development Officer. The confirmatory employment letter has no specific term and provides that Dr. King is an at-will employee.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Robert Paul</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entered into a confirmatory employment letter with Robert Paul, our Chief Medical Officer. The confirmatory employment letter has specific term and provides that Dr. Paul is an at-will employee.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Calvin Yu</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entered into a confirmatory employment letter with Calvin Yu, our Vice President, Finance. The confirmatory employment letter has no specific term and provides that Mr. Yu is an at-will employee.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on Termination or Change in Control</w:t>
      </w:r>
    </w:p>
    <w:p>
      <w:pPr>
        <w:spacing w:after="0" w:line="117"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We entered into a change in control and severance agreement with each of our named executive officers, which provides for certain severance and change in control benefits as described below. Each change in control and severance agreement superseded any prior agreement or arrangement the named executive officer may have had with us that provided for severance and/or change in control payments or benefits.</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 named executive officer’s employment is terminated outside the period beginning on the date of a change in control and ending 12 months following that change in control (the “Change in Control Period”) either (1) by the Company or any of its subsidiaries (the “Company Group”) without “cause” (excluding by reason of death or disability) or (2) by the named executive officer for “good reason” (as such terms are defined in the named executive officer’s change in control and severance agreement), the named executive officer will receive the following benefits if he or she timely signs and does not revoke a release of claims in our favor:</w:t>
      </w:r>
    </w:p>
    <w:p>
      <w:pPr>
        <w:spacing w:after="0" w:line="93" w:lineRule="exact"/>
        <w:rPr>
          <w:sz w:val="20"/>
          <w:szCs w:val="20"/>
          <w:color w:val="auto"/>
        </w:rPr>
      </w:pPr>
    </w:p>
    <w:p>
      <w:pPr>
        <w:ind w:left="1080" w:right="20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lump-sum payment equal to six months in the case of Mr. Yu, 9 months in the case of Drs. King, Paul and Suliman or 12 months in the case of Dr. Rosenthal,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92" w:lineRule="exact"/>
        <w:rPr>
          <w:rFonts w:ascii="Arial" w:cs="Arial" w:eastAsia="Arial" w:hAnsi="Arial"/>
          <w:sz w:val="18"/>
          <w:szCs w:val="18"/>
          <w:color w:val="auto"/>
        </w:rPr>
      </w:pPr>
    </w:p>
    <w:p>
      <w:pPr>
        <w:ind w:left="1080" w:right="240" w:hanging="424"/>
        <w:spacing w:after="0" w:line="30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payment of premiums for coverage under the Consolidated Omnibus Budget Reconciliation Act of 1985, as amended (COBRA), for the named executive officer and the named executive officer’s eligible dependents, if any, for up to six months in the case of Mr. Yu, nine months in the case of Drs. King, Paul and Suliman or 12 months in the case of Dr. Rosenthal, or taxable monthly payments for the equivalent period in the event payment of the COBRA premiums would violate or be subject to an excise tax under applicable law.</w:t>
      </w:r>
    </w:p>
    <w:p>
      <w:pPr>
        <w:spacing w:after="0" w:line="15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If, within the Change in Control Period, the named executive officer’s employment is terminated either (1) by the Company (or any of its subsidiaries) without cause (excluding by reason of death or disability) or (2) by the named executive officer for good reason, the named executive officer will receive the following benefits if the named executive officer timely signs and does not revoke a release of claims in our favor:</w:t>
      </w:r>
    </w:p>
    <w:p>
      <w:pPr>
        <w:spacing w:after="0" w:line="54" w:lineRule="exact"/>
        <w:rPr>
          <w:sz w:val="20"/>
          <w:szCs w:val="20"/>
          <w:color w:val="auto"/>
        </w:rPr>
      </w:pPr>
    </w:p>
    <w:p>
      <w:pPr>
        <w:ind w:left="1080" w:right="2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lump-sum payment equal to nine months in the case of Mr. Yu, 12 months in the case of Drs. King, Paul and Suliman or 18 months in the case of Dr. Rosenthal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lump-sum payment equal to 100% (or 150% in the case of Dr. Rosenthal) of the named executive officer’s target annual bonus as in effect for the fiscal year in which such termination occurs;</w:t>
      </w:r>
    </w:p>
    <w:p>
      <w:pPr>
        <w:spacing w:after="0" w:line="75" w:lineRule="exact"/>
        <w:rPr>
          <w:rFonts w:ascii="Arial" w:cs="Arial" w:eastAsia="Arial" w:hAnsi="Arial"/>
          <w:sz w:val="18"/>
          <w:szCs w:val="18"/>
          <w:color w:val="auto"/>
        </w:rPr>
      </w:pPr>
    </w:p>
    <w:p>
      <w:pPr>
        <w:ind w:left="1080" w:right="120" w:hanging="424"/>
        <w:spacing w:after="0" w:line="29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payment of premiums for coverage under COBRA for the named executive officer and the named executive officer’s eligible dependents, if any, for up to 9 months in the case of Mr. Yu, 12 months in the case of Drs. King, Paul and Suliman or 18 months in the case of</w:t>
      </w:r>
    </w:p>
    <w:p>
      <w:pPr>
        <w:ind w:left="1080" w:right="160"/>
        <w:spacing w:after="0" w:line="260" w:lineRule="auto"/>
        <w:rPr>
          <w:rFonts w:ascii="Arial" w:cs="Arial" w:eastAsia="Arial" w:hAnsi="Arial"/>
          <w:sz w:val="16"/>
          <w:szCs w:val="16"/>
          <w:color w:val="auto"/>
        </w:rPr>
      </w:pPr>
      <w:r>
        <w:rPr>
          <w:rFonts w:ascii="Arial" w:cs="Arial" w:eastAsia="Arial" w:hAnsi="Arial"/>
          <w:sz w:val="18"/>
          <w:szCs w:val="18"/>
          <w:color w:val="auto"/>
        </w:rPr>
        <w:t>Dr. Rosenthal, or taxable monthly payments for the equivalent period in the event payment of the COBRA premiums would violate or be subject to an excise tax under applicable law; and</w:t>
      </w:r>
    </w:p>
    <w:p>
      <w:pPr>
        <w:spacing w:after="0" w:line="90" w:lineRule="exact"/>
        <w:rPr>
          <w:rFonts w:ascii="Arial" w:cs="Arial" w:eastAsia="Arial" w:hAnsi="Arial"/>
          <w:sz w:val="16"/>
          <w:szCs w:val="16"/>
          <w:color w:val="auto"/>
        </w:rPr>
      </w:pPr>
    </w:p>
    <w:p>
      <w:pPr>
        <w:jc w:val="both"/>
        <w:ind w:left="1080" w:right="14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accelerated vesting and exercisability of all outstanding equity awards and, in the case of an equity award with performance-based vesting, unless otherwise specified in the applicable equity award agreement governing the equity award, all performance goals and other vesting criteria generally will be deemed achieved at 100% of target levels.</w:t>
      </w:r>
    </w:p>
    <w:p>
      <w:pPr>
        <w:spacing w:after="0" w:line="18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If any of the amounts provided for under these change in control and severance agreements or otherwise payable to our named executive officers would constitute “parachute payments” within the meaning of Section 280G of the Code and could be subject to the related excise tax, the named executive officer would be entitled to receive either full payment of benefits under his change in control or severance agreement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each named executive officer’s change in control and severance agreement, the following definitions are used: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“Cause” means:</w:t>
      </w:r>
    </w:p>
    <w:p>
      <w:pPr>
        <w:spacing w:after="0" w:line="131" w:lineRule="exact"/>
        <w:rPr>
          <w:sz w:val="20"/>
          <w:szCs w:val="20"/>
          <w:color w:val="auto"/>
        </w:rPr>
      </w:pPr>
    </w:p>
    <w:p>
      <w:pPr>
        <w:ind w:left="1080" w:right="4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named executive officer’s dishonest statements or acts with respect to any Company Group member, or any current or prospective customers, suppliers, vendors, or other third parties with which such entity does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named executive officer’s commission of (1) a felony or (2) any misdemeanor involving moral turpitude, deceit, dishonesty, or fraud;</w:t>
      </w:r>
    </w:p>
    <w:p>
      <w:pPr>
        <w:spacing w:after="0" w:line="153"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named executive officer’s failure to perform his assigned duties and responsibilities to the reasonable satisfaction of the applicable Company Group member, which failure continues, in the reasonable judgment of the Company Group member, after written notice given to him by the Company Group member;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named executive officer’s gross negligence, willful misconduct or insubordination with respect to any Company Group member; or</w:t>
      </w:r>
    </w:p>
    <w:p>
      <w:pPr>
        <w:spacing w:after="0" w:line="142"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named executive officer’s material violation of any provision of any agreement(s) between him and any Company Group member relating to non-competition, non-solicitation, non-disclosure, and/or assignment of inventions (such as the at-will employment, confidential information, invention assignment, and arbitration agreement with the named executive officer or any written Company Group policy or procedure to which the named executive officer is subject).</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Any termination for “Cause” will require the approval of our Board of Directors, and the named executive officer will be given the opportunity to appear in person before the entire Board of Directors in order to explain the named executive officer’s position on the allegations or claims that constitute “Cause.”</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“Good Reason” means that the named executive officer resigns from a Company Group member if one of the following events occurs without his consent:</w:t>
      </w:r>
    </w:p>
    <w:p>
      <w:pPr>
        <w:spacing w:after="0" w:line="76" w:lineRule="exact"/>
        <w:rPr>
          <w:sz w:val="20"/>
          <w:szCs w:val="20"/>
          <w:color w:val="auto"/>
        </w:rPr>
      </w:pPr>
    </w:p>
    <w:p>
      <w:pPr>
        <w:jc w:val="both"/>
        <w:ind w:left="1080" w:right="14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material reduction of his duties, authorities, or responsibilities relative to his duties, authorities, or responsibilities in effect immediately prior to the reduction, provided that (1) any change that results in Dr. Rosenthal not serving as the chief executive officer of, or reporting directly to the Board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89" w:lineRule="auto"/>
        <w:rPr>
          <w:sz w:val="20"/>
          <w:szCs w:val="20"/>
          <w:color w:val="auto"/>
        </w:rPr>
      </w:pPr>
      <w:r>
        <w:rPr>
          <w:rFonts w:ascii="Arial" w:cs="Arial" w:eastAsia="Arial" w:hAnsi="Arial"/>
          <w:sz w:val="16"/>
          <w:szCs w:val="16"/>
          <w:color w:val="auto"/>
        </w:rPr>
        <w:t>Directors of, the parent corporation in a group of controlled corporations including the Company or its assets (the “Parent”) following a change in control (other than as the result of his voluntary resignation not at the request of the successor or the Parent) will be deemed to constitute a material reduction in his duties, authorities, and responsibilities constituting “Good Reason” and (2) that continued employment of a named executive officer (other than Dr. Rosenthal) following a change in control with substantially the same duties, authorities, or responsibilities with respect to the Company Group’s business and operations will not constitute “Good Reason” (for example, “Good Reason” will not exist if the named executive officer is employed by the Company or a successor with substantially the same duties, authorities, or responsibilities with respect to the Company’s business that the named executive officer had immediately before the change in control regardless of whether the named executive officer’s title is revised to reflect his placement within the overall corporate hierarchy or whether the named executive officer provides services to a subsidiary, affiliate, business unit or otherwise);</w:t>
      </w:r>
    </w:p>
    <w:p>
      <w:pPr>
        <w:spacing w:after="0" w:line="72" w:lineRule="exact"/>
        <w:rPr>
          <w:sz w:val="20"/>
          <w:szCs w:val="20"/>
          <w:color w:val="auto"/>
        </w:rPr>
      </w:pPr>
    </w:p>
    <w:p>
      <w:pPr>
        <w:ind w:left="1080" w:right="3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material diminution in his base salary except for across-the-board salary reductions similarly affecting all or substantially all similarly situated employees of the applicable Company Group member,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change of more than 50 miles in the geographic location at which he provides services to the applicable Company Group member.</w:t>
      </w:r>
    </w:p>
    <w:p>
      <w:pPr>
        <w:spacing w:after="0" w:line="23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For “Good Reason” to be established, the named executive officer must provide written notice to our CEO (or our Board of Directors in the case of Dr. Rosenthal) and the applicable Company Group member within 90 days immediately following such alleged events, the applicable Company Group member must fail to materially remedy such event within 30 days after receipt of such notice, and the named executive officer’s resignation must be effective not later than 90 days from the occurrence of the alleged triggering event, and must not be effective until after the expiration of the notice and cure periods described above.</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provides information concerning the estimated payments and benefits that would be provided in the circumstances described below, assuming that the triggering event took place on December 31, 2020, the last day of our fiscal year.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4"/>
              </w:rPr>
              <w:t>Termination Without Cause or</w:t>
            </w:r>
          </w:p>
        </w:tc>
        <w:tc>
          <w:tcPr>
            <w:tcW w:w="160" w:type="dxa"/>
            <w:vAlign w:val="bottom"/>
          </w:tcPr>
          <w:p>
            <w:pPr>
              <w:spacing w:after="0"/>
              <w:rPr>
                <w:sz w:val="14"/>
                <w:szCs w:val="14"/>
                <w:color w:val="auto"/>
              </w:rPr>
            </w:pPr>
          </w:p>
        </w:tc>
        <w:tc>
          <w:tcPr>
            <w:tcW w:w="3460" w:type="dxa"/>
            <w:vAlign w:val="bottom"/>
            <w:gridSpan w:val="10"/>
            <w:vMerge w:val="restart"/>
          </w:tcPr>
          <w:p>
            <w:pPr>
              <w:jc w:val="center"/>
              <w:ind w:right="220"/>
              <w:spacing w:after="0"/>
              <w:rPr>
                <w:sz w:val="20"/>
                <w:szCs w:val="20"/>
                <w:color w:val="auto"/>
              </w:rPr>
            </w:pPr>
            <w:r>
              <w:rPr>
                <w:rFonts w:ascii="Arial" w:cs="Arial" w:eastAsia="Arial" w:hAnsi="Arial"/>
                <w:sz w:val="14"/>
                <w:szCs w:val="14"/>
                <w:b w:val="1"/>
                <w:bCs w:val="1"/>
                <w:color w:val="auto"/>
                <w:w w:val="93"/>
              </w:rPr>
              <w:t>Termination Without Cause or Resignation for</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Resignation for Good Reason Not</w:t>
            </w:r>
          </w:p>
        </w:tc>
        <w:tc>
          <w:tcPr>
            <w:tcW w:w="16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in Connection with a Change in</w:t>
            </w:r>
          </w:p>
        </w:tc>
        <w:tc>
          <w:tcPr>
            <w:tcW w:w="160" w:type="dxa"/>
            <w:vAlign w:val="bottom"/>
          </w:tcPr>
          <w:p>
            <w:pPr>
              <w:spacing w:after="0"/>
              <w:rPr>
                <w:sz w:val="12"/>
                <w:szCs w:val="12"/>
                <w:color w:val="auto"/>
              </w:rPr>
            </w:pPr>
          </w:p>
        </w:tc>
        <w:tc>
          <w:tcPr>
            <w:tcW w:w="3460" w:type="dxa"/>
            <w:vAlign w:val="bottom"/>
            <w:gridSpan w:val="1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Good Reason in connection with a Change in</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Control</w:t>
            </w:r>
          </w:p>
        </w:tc>
        <w:tc>
          <w:tcPr>
            <w:tcW w:w="9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Control</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Severance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Health Care</w:t>
            </w:r>
          </w:p>
        </w:tc>
        <w:tc>
          <w:tcPr>
            <w:tcW w:w="160" w:type="dxa"/>
            <w:vAlign w:val="bottom"/>
          </w:tcPr>
          <w:p>
            <w:pPr>
              <w:spacing w:after="0"/>
              <w:rPr>
                <w:sz w:val="10"/>
                <w:szCs w:val="10"/>
                <w:color w:val="auto"/>
              </w:rPr>
            </w:pPr>
          </w:p>
        </w:tc>
        <w:tc>
          <w:tcPr>
            <w:tcW w:w="9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220" w:type="dxa"/>
            <w:vAlign w:val="bottom"/>
          </w:tcPr>
          <w:p>
            <w:pPr>
              <w:spacing w:after="0"/>
              <w:rPr>
                <w:sz w:val="10"/>
                <w:szCs w:val="10"/>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Health Care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Payments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Benefits ($)</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70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Payments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 xml:space="preserve">Benefits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2"/>
                <w:szCs w:val="12"/>
                <w:b w:val="1"/>
                <w:bCs w:val="1"/>
                <w:color w:val="auto"/>
                <w:w w:val="96"/>
              </w:rPr>
              <w:t>(5)</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Arnon Rosenthal, Ph.D.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560,000</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3"/>
              </w:rPr>
              <w:t>21,225</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$ 4,178,814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1,302,000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Shehnaaz Suliman, M.D.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w w:val="92"/>
              </w:rPr>
              <w:t>375,000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11,833</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886,704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725,000</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Robert King, Ph.D.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318,750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13,679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$ 1,231,236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595,000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Robert Paul, M.D., Ph.D.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w w:val="92"/>
              </w:rPr>
              <w:t>330,000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11,507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$ 1,718,775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616,000</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Calvin Yu</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150,000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12,574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526,128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292,500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300" w:hanging="424"/>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shown in this column for each named executive officer represents a lump-sum payment equal to six months in the case of Mr. Yu, nine months in the case of Drs. King, Paul and Suliman or 12 months in the case of Dr. Rosenthal of the named executive officer’s annual base salary as of December 31, 2020.</w:t>
      </w:r>
    </w:p>
    <w:p>
      <w:pPr>
        <w:spacing w:after="0" w:line="2"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shown in this column for each named executive officer represents the value of payment of premiums for coverage under COBRA for the named executive officer and the named executive officer’s eligible dependents for up to six months in the case of Mr. Yu, nine months in the case of Drs. King, Paul and Suliman or 12 months in the case of Dr. Rosenthal based on the assumptions used for financial reporting purposes under generally accepted accounting principles.</w:t>
      </w:r>
    </w:p>
    <w:p>
      <w:pPr>
        <w:spacing w:after="0" w:line="1" w:lineRule="exact"/>
        <w:rPr>
          <w:rFonts w:ascii="Arial" w:cs="Arial" w:eastAsia="Arial" w:hAnsi="Arial"/>
          <w:sz w:val="18"/>
          <w:szCs w:val="18"/>
          <w:color w:val="auto"/>
        </w:rPr>
      </w:pPr>
    </w:p>
    <w:p>
      <w:pPr>
        <w:jc w:val="both"/>
        <w:ind w:left="540" w:right="40" w:hanging="424"/>
        <w:spacing w:after="0" w:line="302"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 shown in this column for each named executive officer consists of the value of the portions of the unvested in-the-money options held by the named executive officer for which vesting is accelerated upon the triggering event. The value of each such portion of such equity awards is calculated by multiplying (x) the closing stock price of our common stock of $15.13 per share on December 31, 2020, as reported on</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00"/>
        <w:spacing w:after="0" w:line="258" w:lineRule="auto"/>
        <w:rPr>
          <w:sz w:val="20"/>
          <w:szCs w:val="20"/>
          <w:color w:val="auto"/>
        </w:rPr>
      </w:pPr>
      <w:r>
        <w:rPr>
          <w:rFonts w:ascii="Arial" w:cs="Arial" w:eastAsia="Arial" w:hAnsi="Arial"/>
          <w:sz w:val="18"/>
          <w:szCs w:val="18"/>
          <w:color w:val="auto"/>
        </w:rPr>
        <w:t>the NASDAQ Global Select Market (less the exercise price per share of the option) by (y) the number of shares covered by such portion of the equity award.</w:t>
      </w:r>
    </w:p>
    <w:p>
      <w:pPr>
        <w:spacing w:after="0" w:line="1" w:lineRule="exact"/>
        <w:rPr>
          <w:sz w:val="20"/>
          <w:szCs w:val="20"/>
          <w:color w:val="auto"/>
        </w:rPr>
      </w:pPr>
    </w:p>
    <w:p>
      <w:pPr>
        <w:ind w:left="540" w:hanging="424"/>
        <w:spacing w:after="0" w:line="28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shown in this column for each named executive officer represents a lump-sum payment equal to nine months in the case of Mr. Yu, 12 months in the case of Drs. King, Paul and Suliman or 18 months in the case of Dr. Rosenthal of the named executive officer’s annual base salary as of December 31, 2020, plus 100% (or 150% in the case of Dr. Rosenthal) of the named executive officer’s target annual bonus for 2020.</w:t>
      </w:r>
    </w:p>
    <w:p>
      <w:pPr>
        <w:spacing w:after="0" w:line="1" w:lineRule="exact"/>
        <w:rPr>
          <w:rFonts w:ascii="Arial" w:cs="Arial" w:eastAsia="Arial" w:hAnsi="Arial"/>
          <w:sz w:val="16"/>
          <w:szCs w:val="16"/>
          <w:color w:val="auto"/>
        </w:rPr>
      </w:pPr>
    </w:p>
    <w:p>
      <w:pPr>
        <w:ind w:left="540" w:right="100" w:hanging="424"/>
        <w:spacing w:after="0" w:line="25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shown in this column for each named executive officer represents the value of payment of premiums for coverage under COBRA for the named executive officer and the named executive officer’s eligible dependents for up to nine months in the case of Mr. Yu, 12 months in the case of Drs. King, Paul and Suliman or 18 months in the case of Dr. Rosenthal based on the assumptions used for financial reporting purposes under generally accepted accounting principles.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shares of our common stock that may be issued under our existing equity compensation plans.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9"/>
              <w:spacing w:after="0"/>
              <w:rPr>
                <w:sz w:val="20"/>
                <w:szCs w:val="20"/>
                <w:color w:val="auto"/>
              </w:rPr>
            </w:pPr>
            <w:r>
              <w:rPr>
                <w:rFonts w:ascii="Arial" w:cs="Arial" w:eastAsia="Arial" w:hAnsi="Arial"/>
                <w:sz w:val="14"/>
                <w:szCs w:val="14"/>
                <w:b w:val="1"/>
                <w:bCs w:val="1"/>
                <w:color w:val="auto"/>
              </w:rPr>
              <w:t>(b)</w:t>
            </w:r>
          </w:p>
        </w:tc>
        <w:tc>
          <w:tcPr>
            <w:tcW w:w="94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Weighted Average</w:t>
            </w:r>
          </w:p>
        </w:tc>
        <w:tc>
          <w:tcPr>
            <w:tcW w:w="9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80" w:type="dxa"/>
            <w:vAlign w:val="bottom"/>
            <w:gridSpan w:val="2"/>
          </w:tcPr>
          <w:p>
            <w:pPr>
              <w:jc w:val="center"/>
              <w:ind w:left="455"/>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Unvested Restricted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00" w:type="dxa"/>
            <w:vAlign w:val="bottom"/>
            <w:gridSpan w:val="3"/>
          </w:tcPr>
          <w:p>
            <w:pPr>
              <w:jc w:val="center"/>
              <w:ind w:left="776"/>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192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Awards and</w:t>
            </w:r>
          </w:p>
        </w:tc>
        <w:tc>
          <w:tcPr>
            <w:tcW w:w="2260" w:type="dxa"/>
            <w:vAlign w:val="bottom"/>
            <w:gridSpan w:val="3"/>
          </w:tcPr>
          <w:p>
            <w:pPr>
              <w:ind w:left="9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9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Rights</w:t>
            </w:r>
          </w:p>
        </w:tc>
        <w:tc>
          <w:tcPr>
            <w:tcW w:w="920" w:type="dxa"/>
            <w:vAlign w:val="bottom"/>
          </w:tcPr>
          <w:p>
            <w:pPr>
              <w:spacing w:after="0"/>
              <w:rPr>
                <w:sz w:val="15"/>
                <w:szCs w:val="15"/>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Warrants and Rights</w:t>
            </w:r>
          </w:p>
        </w:tc>
        <w:tc>
          <w:tcPr>
            <w:tcW w:w="940" w:type="dxa"/>
            <w:vAlign w:val="bottom"/>
          </w:tcPr>
          <w:p>
            <w:pPr>
              <w:spacing w:after="0"/>
              <w:rPr>
                <w:sz w:val="15"/>
                <w:szCs w:val="15"/>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75"/>
        </w:trPr>
        <w:tc>
          <w:tcPr>
            <w:tcW w:w="28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w:t>
            </w:r>
          </w:p>
        </w:tc>
        <w:tc>
          <w:tcPr>
            <w:tcW w:w="5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stockholders</w:t>
            </w:r>
            <w:r>
              <w:rPr>
                <w:rFonts w:ascii="Arial" w:cs="Arial" w:eastAsia="Arial" w:hAnsi="Arial"/>
                <w:sz w:val="15"/>
                <w:szCs w:val="15"/>
                <w:color w:val="auto"/>
              </w:rPr>
              <w:t>(1)</w:t>
            </w: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2017 Stock Option and Grant</w:t>
            </w: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4,096,462</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8.98</w:t>
            </w:r>
          </w:p>
        </w:tc>
        <w:tc>
          <w:tcPr>
            <w:tcW w:w="9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Equity Incentive Plan</w:t>
            </w:r>
            <w:r>
              <w:rPr>
                <w:rFonts w:ascii="Arial" w:cs="Arial" w:eastAsia="Arial" w:hAnsi="Arial"/>
                <w:sz w:val="15"/>
                <w:szCs w:val="15"/>
                <w:color w:val="auto"/>
              </w:rPr>
              <w:t>(3)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8,744,961</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2019 Employee Stock Purchase</w:t>
            </w: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86,677</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11.53</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1,932,666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Restricted stock units and warrants have been excluded for purposes of computing weighted average exercise prices in column (b).</w:t>
      </w:r>
    </w:p>
    <w:p>
      <w:pPr>
        <w:spacing w:after="0" w:line="23"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Board of Directors adopted, and our stockholders approved, the 2017 Stock Option and Grant Plan (2017 Plan) and the 2019 Equity Incentive Plan (2019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2019 Plan.</w:t>
      </w:r>
    </w:p>
    <w:p>
      <w:pPr>
        <w:ind w:left="540" w:right="140" w:hanging="424"/>
        <w:spacing w:after="0" w:line="28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2019 Plan provides that the number of shares available for issuance under the 2019 Plan will be increased on the first day of each fiscal year beginning with the 2020 fiscal year, in an amount equal to the least of (i) 7,096,760 shares, (ii) five percent (5%) of the outstanding shares of common stock on the last day of the immediately preceding fiscal year or (iii) such other amount as our Board of Directors may determine.</w:t>
      </w:r>
    </w:p>
    <w:p>
      <w:pPr>
        <w:spacing w:after="0" w:line="1" w:lineRule="exact"/>
        <w:rPr>
          <w:rFonts w:ascii="Arial" w:cs="Arial" w:eastAsia="Arial" w:hAnsi="Arial"/>
          <w:sz w:val="16"/>
          <w:szCs w:val="16"/>
          <w:color w:val="auto"/>
        </w:rPr>
      </w:pPr>
    </w:p>
    <w:p>
      <w:pPr>
        <w:ind w:left="540" w:right="40" w:hanging="424"/>
        <w:spacing w:after="0" w:line="273"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2019 Employee Stock Purchase Plan (2019 ESPP) provides that the number of shares available for issuance under the 2019 ESPP will be increased on the first day of each fiscal year beginning with the 2020 fiscal year, in an amount equal to the least of (i) 591,397 shares, (ii) one percent (1%) of the outstanding shares of common stock on the last day of the immediately preceding fiscal year or (iii) such other amount as may be determined by our Board of Directors or any committee designated by the Board may determine.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Analysis of our Compensation Plans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Compensation Committee reviews and discusses with management the risks arising from our executive compensation philosophy and practices applicable to all employees to determine whether they encourage excessive risk-taking and to evaluate compensation policies and practices that could mitigate such risks. In addition, our Compensation Committee engaged Radford in 2019 and 2020 to independently review our executive compensation program. Based on those reviews, the Compensation Committee structures our executive compensation program to encourage our named executive officers to focus on both short-term and long-term success. We do not believe that our executive compensation program creates risks that are reasonably likely to have a material adverse effect on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Conclusion</w:t>
      </w:r>
    </w:p>
    <w:p>
      <w:pPr>
        <w:spacing w:after="0" w:line="121"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It is the opinion of the Compensation Committee that the compensation policies and elements described above provide the necessary incentives to properly align our executive officers’ performance with the interests of our stockholders while maintaining equitable and competitive executive compensation practices that enable us to attract, engage and retain the highest caliber of executive officers.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9"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1, 2021 for:</w:t>
      </w:r>
    </w:p>
    <w:p>
      <w:pPr>
        <w:spacing w:after="0" w:line="13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6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have based our calculation of the percentage of beneficial ownership on 79,589,651 shares of our common stock outstanding as of March 1, 2021. We have deemed shares of our common stock subject to stock options that are currently exercisable or exercisable within 60 days of March 1,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Alector, Inc., 131 Oyster Point Boulevard, Suite 600, South San Francisco, California 94080.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600" w:type="dxa"/>
            <w:vAlign w:val="bottom"/>
            <w:vMerge w:val="restart"/>
          </w:tcPr>
          <w:p>
            <w:pPr>
              <w:spacing w:after="0"/>
              <w:rPr>
                <w:sz w:val="12"/>
                <w:szCs w:val="12"/>
                <w:color w:val="auto"/>
              </w:rPr>
            </w:pPr>
          </w:p>
        </w:tc>
        <w:tc>
          <w:tcPr>
            <w:tcW w:w="19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98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89"/>
        </w:trPr>
        <w:tc>
          <w:tcPr>
            <w:tcW w:w="7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5,162,196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Entities affiliated with Federated Hermes</w:t>
            </w:r>
            <w:r>
              <w:rPr>
                <w:rFonts w:ascii="Arial" w:cs="Arial" w:eastAsia="Arial" w:hAnsi="Arial"/>
                <w:sz w:val="15"/>
                <w:szCs w:val="15"/>
                <w:color w:val="auto"/>
              </w:rPr>
              <w:t>(2)</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4,282,563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Entities affiliated with Polaris Venture Partners</w:t>
            </w:r>
            <w:r>
              <w:rPr>
                <w:rFonts w:ascii="Arial" w:cs="Arial" w:eastAsia="Arial" w:hAnsi="Arial"/>
                <w:sz w:val="15"/>
                <w:szCs w:val="15"/>
                <w:color w:val="auto"/>
              </w:rPr>
              <w:t>(1)(2)(3)</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12,853,817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The Vanguard Group – 23-1945930</w:t>
            </w:r>
            <w:r>
              <w:rPr>
                <w:rFonts w:ascii="Arial" w:cs="Arial" w:eastAsia="Arial" w:hAnsi="Arial"/>
                <w:sz w:val="15"/>
                <w:szCs w:val="15"/>
                <w:color w:val="auto"/>
              </w:rPr>
              <w:t>(4)</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5,002,859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Arnon Rosenthal, Ph.D.</w:t>
            </w:r>
            <w:r>
              <w:rPr>
                <w:rFonts w:ascii="Arial" w:cs="Arial" w:eastAsia="Arial" w:hAnsi="Arial"/>
                <w:sz w:val="15"/>
                <w:szCs w:val="15"/>
                <w:color w:val="auto"/>
              </w:rPr>
              <w:t>(5)</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6,806,416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Robert King, Ph.D.</w:t>
            </w:r>
            <w:r>
              <w:rPr>
                <w:rFonts w:ascii="Arial" w:cs="Arial" w:eastAsia="Arial" w:hAnsi="Arial"/>
                <w:sz w:val="15"/>
                <w:szCs w:val="15"/>
                <w:color w:val="auto"/>
              </w:rPr>
              <w:t>(6)</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709,408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Paul, M.D., Ph.D.</w:t>
            </w:r>
            <w:r>
              <w:rPr>
                <w:rFonts w:ascii="Arial" w:cs="Arial" w:eastAsia="Arial" w:hAnsi="Arial"/>
                <w:sz w:val="15"/>
                <w:szCs w:val="15"/>
                <w:color w:val="auto"/>
              </w:rPr>
              <w:t>(7)</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436,546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Shehnaaz Suliman, M.D.</w:t>
            </w:r>
            <w:r>
              <w:rPr>
                <w:rFonts w:ascii="Arial" w:cs="Arial" w:eastAsia="Arial" w:hAnsi="Arial"/>
                <w:sz w:val="15"/>
                <w:szCs w:val="15"/>
                <w:color w:val="auto"/>
              </w:rPr>
              <w:t>(8)</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206,984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Calvin Yu</w:t>
            </w:r>
            <w:r>
              <w:rPr>
                <w:rFonts w:ascii="Arial" w:cs="Arial" w:eastAsia="Arial" w:hAnsi="Arial"/>
                <w:sz w:val="15"/>
                <w:szCs w:val="15"/>
                <w:color w:val="auto"/>
              </w:rPr>
              <w:t>(9)</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174,372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Tillman Gerngross, Ph.D.</w:t>
            </w:r>
            <w:r>
              <w:rPr>
                <w:rFonts w:ascii="Arial" w:cs="Arial" w:eastAsia="Arial" w:hAnsi="Arial"/>
                <w:sz w:val="15"/>
                <w:szCs w:val="15"/>
                <w:color w:val="auto"/>
              </w:rPr>
              <w:t>(10)</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2,646,277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Paula Hammond, Ph.D.</w:t>
            </w:r>
            <w:r>
              <w:rPr>
                <w:rFonts w:ascii="Arial" w:cs="Arial" w:eastAsia="Arial" w:hAnsi="Arial"/>
                <w:sz w:val="15"/>
                <w:szCs w:val="15"/>
                <w:color w:val="auto"/>
              </w:rPr>
              <w:t>(11)</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7,974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Louis J. Lavigne, Jr.</w:t>
            </w:r>
            <w:r>
              <w:rPr>
                <w:rFonts w:ascii="Arial" w:cs="Arial" w:eastAsia="Arial" w:hAnsi="Arial"/>
                <w:sz w:val="15"/>
                <w:szCs w:val="15"/>
                <w:color w:val="auto"/>
              </w:rPr>
              <w:t>(12)</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91,969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Terry McGuire</w:t>
            </w:r>
            <w:r>
              <w:rPr>
                <w:rFonts w:ascii="Arial" w:cs="Arial" w:eastAsia="Arial" w:hAnsi="Arial"/>
                <w:sz w:val="15"/>
                <w:szCs w:val="15"/>
                <w:color w:val="auto"/>
              </w:rPr>
              <w:t>(13)</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37,667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Richard Scheller, Ph.D.</w:t>
            </w:r>
            <w:r>
              <w:rPr>
                <w:rFonts w:ascii="Arial" w:cs="Arial" w:eastAsia="Arial" w:hAnsi="Arial"/>
                <w:sz w:val="15"/>
                <w:szCs w:val="15"/>
                <w:color w:val="auto"/>
              </w:rPr>
              <w:t>(14)</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150,458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Wehner</w:t>
            </w:r>
            <w:r>
              <w:rPr>
                <w:rFonts w:ascii="Arial" w:cs="Arial" w:eastAsia="Arial" w:hAnsi="Arial"/>
                <w:sz w:val="15"/>
                <w:szCs w:val="15"/>
                <w:color w:val="auto"/>
              </w:rPr>
              <w:t>(15)</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108,371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Kristine Yaffe, M.D.</w:t>
            </w:r>
            <w:r>
              <w:rPr>
                <w:rFonts w:ascii="Arial" w:cs="Arial" w:eastAsia="Arial" w:hAnsi="Arial"/>
                <w:sz w:val="15"/>
                <w:szCs w:val="15"/>
                <w:color w:val="auto"/>
              </w:rPr>
              <w:t>(16)</w:t>
            </w: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16,666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(12 persons)</w:t>
            </w:r>
            <w:r>
              <w:rPr>
                <w:rFonts w:ascii="Arial" w:cs="Arial" w:eastAsia="Arial" w:hAnsi="Arial"/>
                <w:sz w:val="15"/>
                <w:szCs w:val="15"/>
                <w:color w:val="auto"/>
              </w:rPr>
              <w:t>(17)</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11,393,108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540" w:right="2380" w:hanging="5424"/>
        <w:spacing w:after="0" w:line="449" w:lineRule="auto"/>
        <w:tabs>
          <w:tab w:leader="none" w:pos="6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our common stock. 47</w:t>
      </w:r>
    </w:p>
    <w:p>
      <w:pPr>
        <w:sectPr>
          <w:pgSz w:w="11900" w:h="16838" w:orient="portrait"/>
          <w:cols w:equalWidth="0" w:num="1">
            <w:col w:w="10980"/>
          </w:cols>
          <w:pgMar w:left="320" w:top="459" w:right="5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on February 2, 2021. Consists of 5,162,196 shares held of record by BlackRock, Inc.</w:t>
      </w:r>
    </w:p>
    <w:p>
      <w:pPr>
        <w:spacing w:after="0" w:line="46" w:lineRule="exact"/>
        <w:rPr>
          <w:rFonts w:ascii="Arial" w:cs="Arial" w:eastAsia="Arial" w:hAnsi="Arial"/>
          <w:sz w:val="16"/>
          <w:szCs w:val="16"/>
          <w:color w:val="auto"/>
        </w:rPr>
      </w:pPr>
    </w:p>
    <w:p>
      <w:pPr>
        <w:ind w:left="660" w:hanging="544"/>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on February 12, 2021. Consists of 4,282,563 shares held of record by Federated Hermes, Inc. (the “Parent”). The Parent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us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Parent, the Trust, and each of the Trustees expressly disclaim beneficial ownership of the Reported Securities.</w:t>
      </w:r>
    </w:p>
    <w:p>
      <w:pPr>
        <w:spacing w:after="0" w:line="3" w:lineRule="exact"/>
        <w:rPr>
          <w:rFonts w:ascii="Arial" w:cs="Arial" w:eastAsia="Arial" w:hAnsi="Arial"/>
          <w:sz w:val="18"/>
          <w:szCs w:val="18"/>
          <w:color w:val="auto"/>
        </w:rPr>
      </w:pPr>
    </w:p>
    <w:p>
      <w:pPr>
        <w:ind w:left="660" w:hanging="544"/>
        <w:spacing w:after="0" w:line="28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information contained in a Schedule 13G filed on February 12, 2021. Consists of (a) 9,347,724 shares held of record by Polaris Venture Partners VI (AIV), L.P. (PVP VI AIV), (b) 709,675 shares held of record by Polaris Venture Partners Founders’ Fund VI, L.P. (PVPFF VI),</w:t>
      </w:r>
    </w:p>
    <w:p>
      <w:pPr>
        <w:spacing w:after="0" w:line="1" w:lineRule="exact"/>
        <w:rPr>
          <w:rFonts w:ascii="Arial" w:cs="Arial" w:eastAsia="Arial" w:hAnsi="Arial"/>
          <w:sz w:val="16"/>
          <w:szCs w:val="16"/>
          <w:color w:val="auto"/>
        </w:rPr>
      </w:pPr>
    </w:p>
    <w:p>
      <w:pPr>
        <w:ind w:left="660" w:right="100" w:hanging="4"/>
        <w:spacing w:after="0" w:line="265" w:lineRule="auto"/>
        <w:tabs>
          <w:tab w:leader="none" w:pos="905" w:val="left"/>
        </w:tabs>
        <w:numPr>
          <w:ilvl w:val="1"/>
          <w:numId w:val="54"/>
        </w:numPr>
        <w:rPr>
          <w:rFonts w:ascii="Arial" w:cs="Arial" w:eastAsia="Arial" w:hAnsi="Arial"/>
          <w:sz w:val="17"/>
          <w:szCs w:val="17"/>
          <w:color w:val="auto"/>
        </w:rPr>
      </w:pPr>
      <w:r>
        <w:rPr>
          <w:rFonts w:ascii="Arial" w:cs="Arial" w:eastAsia="Arial" w:hAnsi="Arial"/>
          <w:sz w:val="17"/>
          <w:szCs w:val="17"/>
          <w:color w:val="auto"/>
        </w:rPr>
        <w:t>498,468 shares held of record by Polaris Venture Partners VI, L.P. (PVP VI), and (d) 2,297,950 shares held of record by PVP VI (AIV) Feeder Corp. Holding Partnership, L.P. (PVP VI Feeder, and together with PVP VI AIV, PVPFF VI, and PVP VI, the Funds). Polaris Venture Management Co. VI, L.L.C. (PVM) is the general partner of the Funds and may be deemed to have sole power to vote and dispose of the shares held by the Funds. Amir Nashat, Brian Chee, David Barrett, Bryce Youngren, Jon Flint, and Terry McGuire are the managing members of PVM who collectively make voting and investment decisions with respect to the shares held by the Funds.</w:t>
      </w:r>
    </w:p>
    <w:p>
      <w:pPr>
        <w:ind w:left="660" w:right="340" w:hanging="544"/>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on February 10, 2021. Consists of 5,002,859 shares held of record by The Vanguard Group—23-1945930.</w:t>
      </w:r>
    </w:p>
    <w:p>
      <w:pPr>
        <w:jc w:val="both"/>
        <w:ind w:left="660" w:right="80" w:hanging="544"/>
        <w:spacing w:after="0" w:line="28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(a) 1,305,226 shares held of record by Dr. Rosenthal, of which 49,612 shares are subject to repurchase by us at the original purchase price as of March 1, 2020, (b) 712,500 shares held of record by Adi Rosenthal 2007 Trust dated March 27, 2007, for which Dr. Rosenthal serves as trustee, (c) 712,500 shares held of record by Noam Rosenthal 2007 Trust dated March 27, 2007, for which Dr. Rosenthal serves as trustee,</w:t>
      </w:r>
    </w:p>
    <w:p>
      <w:pPr>
        <w:spacing w:after="0" w:line="1" w:lineRule="exact"/>
        <w:rPr>
          <w:rFonts w:ascii="Arial" w:cs="Arial" w:eastAsia="Arial" w:hAnsi="Arial"/>
          <w:sz w:val="16"/>
          <w:szCs w:val="16"/>
          <w:color w:val="auto"/>
        </w:rPr>
      </w:pPr>
    </w:p>
    <w:p>
      <w:pPr>
        <w:jc w:val="both"/>
        <w:ind w:left="660" w:right="100" w:hanging="4"/>
        <w:spacing w:after="0" w:line="250" w:lineRule="auto"/>
        <w:tabs>
          <w:tab w:leader="none" w:pos="9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712,500 shares held of record by Shani Rosenthal 2007 Trust dated March 27, 2007, for which Dr. Rosenthal serves as trustee, (e) 2,612,500 shares held of record by The Rosenthal Family Revocable Trust Dated November 4, 1994, as restated on June 9, 1999, for which Dr. Rosenthal serves as trustee, and (f) 1,752,038 shares subject to options held by Dr. Rosenthal, of which 751,190 shares are vested and exercisable within 60 days of March 1, 2021.</w:t>
      </w:r>
    </w:p>
    <w:p>
      <w:pPr>
        <w:spacing w:after="0" w:line="1" w:lineRule="exact"/>
        <w:rPr>
          <w:rFonts w:ascii="Arial" w:cs="Arial" w:eastAsia="Arial" w:hAnsi="Arial"/>
          <w:sz w:val="18"/>
          <w:szCs w:val="18"/>
          <w:color w:val="auto"/>
        </w:rPr>
      </w:pPr>
    </w:p>
    <w:p>
      <w:pPr>
        <w:ind w:left="660" w:right="240" w:hanging="544"/>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477,317 shares held of record by Dr. King and (b) 564,639 shares subject to options held by Dr. King, of which 232,091 shares are vested and exercisable within 60 days of March 1, 2021.</w:t>
      </w:r>
    </w:p>
    <w:p>
      <w:pPr>
        <w:jc w:val="both"/>
        <w:ind w:left="660" w:right="120" w:hanging="544"/>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213,719 shares held of record by Dr. Paul, of which 4,977 shares are subject to repurchase by us at the original purchase price as of March 1, 2021 and (b) 564,639 shares subject to options held by Dr. Paul, of which 222,827 shares are vested and exercisable within 60 days of March 1, 2021.</w:t>
      </w:r>
    </w:p>
    <w:p>
      <w:pPr>
        <w:spacing w:after="0" w:line="1" w:lineRule="exact"/>
        <w:rPr>
          <w:rFonts w:ascii="Arial" w:cs="Arial" w:eastAsia="Arial" w:hAnsi="Arial"/>
          <w:sz w:val="18"/>
          <w:szCs w:val="18"/>
          <w:color w:val="auto"/>
        </w:rPr>
      </w:pPr>
    </w:p>
    <w:p>
      <w:pPr>
        <w:ind w:left="660" w:right="640" w:hanging="544"/>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739,213 shares subject to options held by Dr. Suliman, of which 195,520 shares are vested and exercisable within 60 days of March 1, 2021.</w:t>
      </w:r>
    </w:p>
    <w:p>
      <w:pPr>
        <w:ind w:left="660" w:right="20" w:hanging="544"/>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109,343 shares held of record by Mr. Yu, of which 7,304 shares are subject to repurchase by us at the original purchase price as of March 1, 2021 and (b) 201,939 shares subject to options held by Mr. Yu, of which 63,686 shares are vested and exercisable within 60 days of March 1, 2021.</w:t>
      </w:r>
    </w:p>
    <w:p>
      <w:pPr>
        <w:spacing w:after="0" w:line="1" w:lineRule="exact"/>
        <w:rPr>
          <w:rFonts w:ascii="Arial" w:cs="Arial" w:eastAsia="Arial" w:hAnsi="Arial"/>
          <w:sz w:val="18"/>
          <w:szCs w:val="18"/>
          <w:color w:val="auto"/>
        </w:rPr>
      </w:pPr>
    </w:p>
    <w:p>
      <w:pPr>
        <w:ind w:left="660" w:right="700" w:hanging="544"/>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2,608,610 shares held of record by Dr. Gerngross as of March 1, 2021 and (b) 39,274 shares subject to an option held by Dr. Gerngross, 37,667 of which shares are vested and exercisable within 60 days of March 1, 2021.</w:t>
      </w:r>
    </w:p>
    <w:p>
      <w:pPr>
        <w:ind w:left="660" w:right="620" w:hanging="544"/>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29,443 shares subject to an option held by Dr. Hammond, 7,973 of which shares are vested and exercisable within 60 days of March 1, 2021.</w:t>
      </w:r>
    </w:p>
    <w:p>
      <w:pPr>
        <w:ind w:left="660" w:right="60" w:hanging="544"/>
        <w:spacing w:after="0" w:line="290"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Consists of (a) 10,552 shares held of record by Lavrite, LLC, for which Mr. Lavigne serves as managing director, and (b) 109,274 shares subject to options held by Mr. Lavigne, of which 81,417 shares are vested and exercisable within 60 days of March 1, 2021.</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line="25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39,274 shares subject to an option held by Mr. McGuire, of which 37,667 shares are vested and exercisable within 60 days of March 1, 2021. Mr. McGuire, who is one of our directors, is a managing member of PVM. Mr. McGuire has no voting or investment power over the shares held by the Funds described in Footnote 3 above. The address for Mr. McGuire is c/o PVM, One Marina Park Drive, 10th Floor, Boston, Massachusetts 02210.</w:t>
      </w:r>
    </w:p>
    <w:p>
      <w:pPr>
        <w:spacing w:after="0" w:line="2" w:lineRule="exact"/>
        <w:rPr>
          <w:rFonts w:ascii="Arial" w:cs="Arial" w:eastAsia="Arial" w:hAnsi="Arial"/>
          <w:sz w:val="18"/>
          <w:szCs w:val="18"/>
          <w:color w:val="auto"/>
        </w:rPr>
      </w:pPr>
    </w:p>
    <w:p>
      <w:pPr>
        <w:ind w:left="660" w:right="20" w:hanging="544"/>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(a) 9,981 shares held of record by Dr. Scheller, of which no shares are subject to repurchase by us at the original purchase price as of December 31, 2018 and (b) 221,108 shares subject to options held by Dr. Scheller, of which 122,146 shares are vested and exercisable within 60 days of March 1, 2021.</w:t>
      </w:r>
    </w:p>
    <w:p>
      <w:pPr>
        <w:spacing w:after="0" w:line="1" w:lineRule="exact"/>
        <w:rPr>
          <w:rFonts w:ascii="Arial" w:cs="Arial" w:eastAsia="Arial" w:hAnsi="Arial"/>
          <w:sz w:val="18"/>
          <w:szCs w:val="18"/>
          <w:color w:val="auto"/>
        </w:rPr>
      </w:pPr>
    </w:p>
    <w:p>
      <w:pPr>
        <w:jc w:val="both"/>
        <w:ind w:left="660" w:hanging="544"/>
        <w:spacing w:after="0" w:line="281"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(a) 24,621 shares held of record by Mr. Wehner, (b) 10,687 shares held of record by The David Michael Wehner 2020 Annuity Trust, for which Mr. Wehner serves as trustee, (c) 9,313 shares held of record by The Havenwood Trust, for which Mr. Wehner serves as trustee and (d) 109,274 shares subject to options held by Mr. Wehner, 81,417 of which shares are vested and exercisable within 60 days of March 1, 2021.</w:t>
      </w:r>
    </w:p>
    <w:p>
      <w:pPr>
        <w:spacing w:after="0" w:line="1" w:lineRule="exact"/>
        <w:rPr>
          <w:rFonts w:ascii="Arial" w:cs="Arial" w:eastAsia="Arial" w:hAnsi="Arial"/>
          <w:sz w:val="16"/>
          <w:szCs w:val="16"/>
          <w:color w:val="auto"/>
        </w:rPr>
      </w:pPr>
    </w:p>
    <w:p>
      <w:pPr>
        <w:ind w:left="660" w:right="160" w:hanging="544"/>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59,274 shares subject to an option held by Dr. Yaffe, 34,333 of which shares are vested and exercisable within 60 days of March 1, 2021.</w:t>
      </w:r>
    </w:p>
    <w:p>
      <w:pPr>
        <w:ind w:left="660" w:right="20" w:hanging="544"/>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(a) 9,530,712 shares beneficially owned by our current executive officers and directors as of March 1, 2021, of which 61,893 shares may be repurchased by us at the original purchase price as of such date and (b) 1,501,668 shares subject to options vested and exercisable within 60 days of March 1, 2021.</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“Board of Directors and Corporate Governance” and “Executive Compensation,” the following is a description of certain relationships and transactions since January 1, 2020 involving our directors, executive officers, beneficial holders of more than 5% of our common stock, or entities affiliated with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Agreement with Adimab</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Company has a collaboration agreement with Adimab, LLC (Adimab) under which the Company is developing antibodies discovered by Adimab in its AL001 and AL101 product candidates, and the Company is developing antibodies optimized by Adimab in its AL002 and AL003 product candidates (2014 Adimab Agreement). In August 2019, the Company signed a new collaboration agreement with Adimab for research and development of additional antibodies (2019 Adimab Agreement). The Chief Executive Officer of Adimab is a Co-founder and Chairperson of the board of directors of Alector. For the years ended December 31, 2020, 2019, and 2018, Alector incurred expenses of zero, $2.8 million, and $2.3 million for services provided by Adimab, respectively. The Company had no accrued liabilities due to Adimab as of December 31, 2020 and 2019. Under the 2014 Adimab Agreement, the Company will owe up to $3.5 million in milestone payments per program to Adimab for its product candidates. The Company will also owe low- to mid- single-digit royalty payments for commercial sales of such product candidates. Under the 2019 Adimab Agreement, the Company will owe certain milestone payments per program for its product candidates and low single-digit royalty payments for commercial sales of such product candidates.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 with Dr. Richard Scheller</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December 2019, we entered into a consulting agreement with Dr. Richard Scheller, a member of our Board of Directors and a member of our Scientific Advisory Board. Pursuant to this consulting agreement, Dr. Scheller serves on SPARC and generally provides scientific advice regarding our products or services and research program. Pursuant to this agreement, Dr. Scheller receives an annualized payment of $200,000 and a stock option to purchase 100,000 shares of our common stock, vesting in equal monthly installments over a four-year period for so long as Dr. Scheller serves as a consultant under this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Follow On Offering</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David Wehner, a member of our Board of Directors, purchased 20,000 shares of common stock at a purchase price per share of $25.00 for an aggregate purchase price of $500,000 in the Company’s recent public offering of common stock pursuant to a final prospectus filed with the SEC on January 30, 2020 pursuant to Rule 424(b)(4).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We have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 2020 Annual Report and SEC Filings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financial statements for the fiscal year ended December 31, 2020 are included in our Annual Report on Form 10-K, which we will make available to stockholders at the same time as this proxy statement. This proxy statement and our annual report are posted on our website at https://investors.alector.com and are available from the SEC at its website at www.sec.gov. You may also obtain a copy of our annual report without charge by sending a written request to Alector, Inc., Attention: Investor Relations, 131 Oyster Point Boulevard, Suite 600, South San Francisco, California 94080.</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2)"/>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2"/>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x"/>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2"/>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8"/>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4"/>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3"/>
    </w:lvl>
  </w:abstractNum>
  <w:abstractNum w:abstractNumId="54">
    <w:nsid w:val="275AC794"/>
    <w:multiLevelType w:val="hybridMultilevel"/>
    <w:lvl w:ilvl="0">
      <w:lvlJc w:val="left"/>
      <w:lvlText w:val="%1"/>
      <w:numFmt w:val="decimal"/>
      <w:start w:val="1"/>
    </w:lvl>
    <w:lvl w:ilvl="1">
      <w:lvlJc w:val="left"/>
      <w:lvlText w:val="(%2)"/>
      <w:numFmt w:val="lowerLetter"/>
      <w:start w:val="4"/>
    </w:lvl>
  </w:abstractNum>
  <w:abstractNum w:abstractNumId="55">
    <w:nsid w:val="39386575"/>
    <w:multiLevelType w:val="hybridMultilevel"/>
    <w:lvl w:ilvl="0">
      <w:lvlJc w:val="left"/>
      <w:lvlText w:val="(%1)"/>
      <w:numFmt w:val="decimal"/>
      <w:start w:val="6"/>
    </w:lvl>
    <w:lvl w:ilvl="1">
      <w:lvlJc w:val="left"/>
      <w:lvlText w:val="%2"/>
      <w:numFmt w:val="lowerLetter"/>
      <w:start w:val="1"/>
    </w:lvl>
  </w:abstractNum>
  <w:abstractNum w:abstractNumId="56">
    <w:nsid w:val="1CF10FD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2021-04-28T16:10:44Z</dcterms:created>
  <dcterms:modified xsi:type="dcterms:W3CDTF">2021-04-28T16:10:44Z</dcterms:modified>
</cp:coreProperties>
</file>