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ind w:left="4980"/>
        <w:spacing w:after="0"/>
        <w:rPr>
          <w:sz w:val="20"/>
          <w:szCs w:val="20"/>
          <w:color w:val="auto"/>
        </w:rPr>
      </w:pPr>
      <w:r>
        <w:rPr>
          <w:rFonts w:ascii="Arial" w:cs="Arial" w:eastAsia="Arial" w:hAnsi="Arial"/>
          <w:sz w:val="19"/>
          <w:szCs w:val="19"/>
          <w:b w:val="1"/>
          <w:bCs w:val="1"/>
          <w:color w:val="auto"/>
        </w:rPr>
        <w:t>Washington, D.C. 20549</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SCHEDULE 13G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(Amendment No. )*</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Alector,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014442107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February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67" w:lineRule="exact"/>
        <w:rPr>
          <w:sz w:val="24"/>
          <w:szCs w:val="24"/>
          <w:color w:val="auto"/>
        </w:rPr>
      </w:pPr>
    </w:p>
    <w:p>
      <w:pPr>
        <w:ind w:left="1200" w:hanging="683"/>
        <w:spacing w:after="0"/>
        <w:tabs>
          <w:tab w:leader="none" w:pos="120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w:t>
      </w:r>
    </w:p>
    <w:p>
      <w:pPr>
        <w:spacing w:after="0" w:line="12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x</w:t>
      </w:r>
      <w:r>
        <w:rPr>
          <w:rFonts w:ascii="Arial" w:cs="Arial" w:eastAsia="Arial" w:hAnsi="Arial"/>
          <w:sz w:val="17"/>
          <w:szCs w:val="17"/>
          <w:color w:val="auto"/>
        </w:rPr>
        <w:t>Rule 13d-1(c)</w:t>
      </w:r>
    </w:p>
    <w:p>
      <w:pPr>
        <w:spacing w:after="0" w:line="123" w:lineRule="exact"/>
        <w:rPr>
          <w:rFonts w:ascii="Arial" w:cs="Arial" w:eastAsia="Arial" w:hAnsi="Arial"/>
          <w:sz w:val="19"/>
          <w:szCs w:val="19"/>
          <w:color w:val="auto"/>
        </w:rPr>
      </w:pPr>
    </w:p>
    <w:p>
      <w:pPr>
        <w:ind w:left="1200" w:hanging="683"/>
        <w:spacing w:after="0"/>
        <w:tabs>
          <w:tab w:leader="none" w:pos="120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13d-1(d)</w:t>
      </w:r>
    </w:p>
    <w:p>
      <w:pPr>
        <w:spacing w:after="0" w:line="295" w:lineRule="exact"/>
        <w:rPr>
          <w:sz w:val="24"/>
          <w:szCs w:val="24"/>
          <w:color w:val="auto"/>
        </w:rPr>
      </w:pPr>
    </w:p>
    <w:p>
      <w:pPr>
        <w:ind w:right="140"/>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20" w:top="312" w:right="18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13G</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9"/>
          <w:szCs w:val="19"/>
          <w:color w:val="auto"/>
        </w:rPr>
        <w:t>CUSIP No. 014442107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80" w:right="8700" w:hanging="650"/>
        <w:spacing w:after="0" w:line="304"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Merck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1905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68" w:lineRule="exact"/>
        <w:rPr>
          <w:sz w:val="20"/>
          <w:szCs w:val="20"/>
          <w:color w:val="auto"/>
        </w:rPr>
      </w:pPr>
    </w:p>
    <w:p>
      <w:pPr>
        <w:ind w:left="1080" w:hanging="650"/>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35" w:lineRule="exact"/>
        <w:rPr>
          <w:rFonts w:ascii="Arial" w:cs="Arial" w:eastAsia="Arial" w:hAnsi="Arial"/>
          <w:sz w:val="18"/>
          <w:szCs w:val="18"/>
          <w:color w:val="auto"/>
        </w:rPr>
      </w:pPr>
    </w:p>
    <w:p>
      <w:pPr>
        <w:ind w:left="2300" w:hanging="1214"/>
        <w:spacing w:after="0"/>
        <w:tabs>
          <w:tab w:leader="none" w:pos="2300" w:val="left"/>
        </w:tabs>
        <w:numPr>
          <w:ilvl w:val="1"/>
          <w:numId w:val="3"/>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300" w:hanging="1214"/>
        <w:spacing w:after="0"/>
        <w:tabs>
          <w:tab w:leader="none" w:pos="2300" w:val="left"/>
        </w:tabs>
        <w:numPr>
          <w:ilvl w:val="1"/>
          <w:numId w:val="3"/>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1423670</wp:posOffset>
            </wp:positionH>
            <wp:positionV relativeFrom="paragraph">
              <wp:posOffset>51435</wp:posOffset>
            </wp:positionV>
            <wp:extent cx="618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-174625</wp:posOffset>
            </wp:positionV>
            <wp:extent cx="618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80" w:hanging="650"/>
        <w:spacing w:after="0"/>
        <w:tabs>
          <w:tab w:leader="none" w:pos="1080" w:val="left"/>
        </w:tabs>
        <w:numPr>
          <w:ilvl w:val="0"/>
          <w:numId w:val="4"/>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51435</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80" w:right="8100" w:hanging="650"/>
        <w:spacing w:after="0" w:line="275" w:lineRule="auto"/>
        <w:tabs>
          <w:tab w:leader="none" w:pos="1080" w:val="left"/>
        </w:tabs>
        <w:numPr>
          <w:ilvl w:val="0"/>
          <w:numId w:val="5"/>
        </w:numPr>
        <w:rPr>
          <w:rFonts w:ascii="Arial" w:cs="Arial" w:eastAsia="Arial" w:hAnsi="Arial"/>
          <w:sz w:val="19"/>
          <w:szCs w:val="19"/>
          <w:color w:val="auto"/>
        </w:rPr>
      </w:pPr>
      <w:r>
        <w:rPr>
          <w:rFonts w:ascii="Arial" w:cs="Arial" w:eastAsia="Arial" w:hAnsi="Arial"/>
          <w:sz w:val="19"/>
          <w:szCs w:val="19"/>
          <w:color w:val="auto"/>
        </w:rPr>
        <w:t>Citizenship or Place of Organization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17145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60"/>
          </w:cols>
          <w:pgMar w:left="140" w:top="207" w:right="140" w:bottom="1440"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3,545,719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3,545,719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40" w:space="720"/>
            <w:col w:w="9100"/>
          </w:cols>
          <w:pgMar w:left="140" w:top="207" w:right="140" w:bottom="1440" w:gutter="0" w:footer="0" w:header="0"/>
          <w:type w:val="continuous"/>
        </w:sectPr>
      </w:pPr>
    </w:p>
    <w:p>
      <w:pPr>
        <w:spacing w:after="0" w:line="253" w:lineRule="exact"/>
        <w:rPr>
          <w:sz w:val="20"/>
          <w:szCs w:val="20"/>
          <w:color w:val="auto"/>
        </w:rPr>
      </w:pPr>
    </w:p>
    <w:p>
      <w:pPr>
        <w:ind w:left="1080" w:right="5800" w:hanging="650"/>
        <w:spacing w:after="0" w:line="275" w:lineRule="auto"/>
        <w:tabs>
          <w:tab w:leader="none" w:pos="1080" w:val="left"/>
        </w:tabs>
        <w:numPr>
          <w:ilvl w:val="0"/>
          <w:numId w:val="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3,545,719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17145</wp:posOffset>
            </wp:positionV>
            <wp:extent cx="6955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92" w:lineRule="exact"/>
        <w:rPr>
          <w:sz w:val="20"/>
          <w:szCs w:val="20"/>
          <w:color w:val="auto"/>
        </w:rPr>
      </w:pPr>
    </w:p>
    <w:p>
      <w:pPr>
        <w:ind w:left="1080" w:hanging="650"/>
        <w:spacing w:after="0"/>
        <w:tabs>
          <w:tab w:leader="none" w:pos="1080" w:val="left"/>
        </w:tabs>
        <w:numPr>
          <w:ilvl w:val="1"/>
          <w:numId w:val="7"/>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80" w:hanging="650"/>
        <w:spacing w:after="0"/>
        <w:tabs>
          <w:tab w:leader="none" w:pos="1080" w:val="left"/>
        </w:tabs>
        <w:numPr>
          <w:ilvl w:val="1"/>
          <w:numId w:val="7"/>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19"/>
          <w:szCs w:val="19"/>
          <w:color w:val="auto"/>
        </w:rPr>
        <w:t>5.1%*</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080" w:hanging="650"/>
        <w:spacing w:after="0"/>
        <w:tabs>
          <w:tab w:leader="none" w:pos="1080" w:val="left"/>
        </w:tabs>
        <w:numPr>
          <w:ilvl w:val="1"/>
          <w:numId w:val="7"/>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19"/>
          <w:szCs w:val="19"/>
          <w:color w:val="auto"/>
        </w:rPr>
        <w:t>HC</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240" w:hanging="274"/>
        <w:spacing w:after="0" w:line="263" w:lineRule="auto"/>
        <w:rPr>
          <w:rFonts w:ascii="Arial" w:cs="Arial" w:eastAsia="Arial" w:hAnsi="Arial"/>
          <w:sz w:val="19"/>
          <w:szCs w:val="19"/>
          <w:color w:val="auto"/>
        </w:rPr>
      </w:pPr>
      <w:r>
        <w:rPr>
          <w:rFonts w:ascii="Arial" w:cs="Arial" w:eastAsia="Arial" w:hAnsi="Arial"/>
          <w:sz w:val="19"/>
          <w:szCs w:val="19"/>
          <w:color w:val="auto"/>
        </w:rPr>
        <w:t>* Based on 69,752,544 shares of the Issuer’s common stock outstanding immediately following the Issuer’s public offering, which includes the full exercise of the underwriters’ over-allotment option, as reported in the Issuer’s Prospectus filed pursuant to Rule 424(b)(4) with the Securities and Exchange Commission on February 7, 2019, which is part of the Issuer’s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-754380</wp:posOffset>
            </wp:positionV>
            <wp:extent cx="69551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-1334135</wp:posOffset>
            </wp:positionV>
            <wp:extent cx="69551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-1913255</wp:posOffset>
            </wp:positionV>
            <wp:extent cx="6955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-527685</wp:posOffset>
            </wp:positionV>
            <wp:extent cx="1929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646670" cy="31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40" w:top="207" w:right="140" w:bottom="144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9"/>
          <w:szCs w:val="19"/>
          <w:color w:val="auto"/>
        </w:rPr>
        <w:t>CUSIP No. 014442107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625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80" w:right="8600" w:hanging="650"/>
        <w:spacing w:after="0" w:line="336"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Names of Reporting Persons Merck Sharp &amp; Dohme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-12065</wp:posOffset>
            </wp:positionV>
            <wp:extent cx="6955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5" w:lineRule="exact"/>
        <w:rPr>
          <w:sz w:val="20"/>
          <w:szCs w:val="20"/>
          <w:color w:val="auto"/>
        </w:rPr>
      </w:pPr>
    </w:p>
    <w:p>
      <w:pPr>
        <w:ind w:left="1080" w:hanging="650"/>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00" w:hanging="1214"/>
        <w:spacing w:after="0"/>
        <w:tabs>
          <w:tab w:leader="none" w:pos="2300" w:val="left"/>
        </w:tabs>
        <w:numPr>
          <w:ilvl w:val="1"/>
          <w:numId w:val="9"/>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300" w:hanging="1214"/>
        <w:spacing w:after="0"/>
        <w:tabs>
          <w:tab w:leader="none" w:pos="2300" w:val="left"/>
        </w:tabs>
        <w:numPr>
          <w:ilvl w:val="1"/>
          <w:numId w:val="9"/>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1423670</wp:posOffset>
            </wp:positionH>
            <wp:positionV relativeFrom="paragraph">
              <wp:posOffset>51435</wp:posOffset>
            </wp:positionV>
            <wp:extent cx="61849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-174625</wp:posOffset>
            </wp:positionV>
            <wp:extent cx="6184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80" w:hanging="650"/>
        <w:spacing w:after="0"/>
        <w:tabs>
          <w:tab w:leader="none" w:pos="10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51435</wp:posOffset>
            </wp:positionV>
            <wp:extent cx="69551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80" w:right="8100" w:hanging="650"/>
        <w:spacing w:after="0" w:line="275" w:lineRule="auto"/>
        <w:tabs>
          <w:tab w:leader="none" w:pos="10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Citizenship or Place of Organization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17145</wp:posOffset>
            </wp:positionV>
            <wp:extent cx="6955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60"/>
          </w:cols>
          <w:pgMar w:left="140" w:top="270" w:right="140" w:bottom="1440"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3,545,719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3,545,719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40" w:space="720"/>
            <w:col w:w="9100"/>
          </w:cols>
          <w:pgMar w:left="140" w:top="270" w:right="140" w:bottom="1440" w:gutter="0" w:footer="0" w:header="0"/>
          <w:type w:val="continuous"/>
        </w:sectPr>
      </w:pPr>
    </w:p>
    <w:p>
      <w:pPr>
        <w:spacing w:after="0" w:line="253" w:lineRule="exact"/>
        <w:rPr>
          <w:sz w:val="20"/>
          <w:szCs w:val="20"/>
          <w:color w:val="auto"/>
        </w:rPr>
      </w:pPr>
    </w:p>
    <w:p>
      <w:pPr>
        <w:ind w:left="1080" w:right="5800" w:hanging="650"/>
        <w:spacing w:after="0" w:line="275" w:lineRule="auto"/>
        <w:tabs>
          <w:tab w:leader="none" w:pos="10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3,545,719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17145</wp:posOffset>
            </wp:positionV>
            <wp:extent cx="6955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92" w:lineRule="exact"/>
        <w:rPr>
          <w:sz w:val="20"/>
          <w:szCs w:val="20"/>
          <w:color w:val="auto"/>
        </w:rPr>
      </w:pPr>
    </w:p>
    <w:p>
      <w:pPr>
        <w:ind w:left="1080" w:hanging="650"/>
        <w:spacing w:after="0"/>
        <w:tabs>
          <w:tab w:leader="none" w:pos="1080" w:val="left"/>
        </w:tabs>
        <w:numPr>
          <w:ilvl w:val="1"/>
          <w:numId w:val="13"/>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80" w:hanging="650"/>
        <w:spacing w:after="0"/>
        <w:tabs>
          <w:tab w:leader="none" w:pos="1080" w:val="left"/>
        </w:tabs>
        <w:numPr>
          <w:ilvl w:val="1"/>
          <w:numId w:val="13"/>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19"/>
          <w:szCs w:val="19"/>
          <w:color w:val="auto"/>
        </w:rPr>
        <w:t>5.1%*</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080" w:hanging="650"/>
        <w:spacing w:after="0"/>
        <w:tabs>
          <w:tab w:leader="none" w:pos="1080" w:val="left"/>
        </w:tabs>
        <w:numPr>
          <w:ilvl w:val="1"/>
          <w:numId w:val="13"/>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19"/>
          <w:szCs w:val="19"/>
          <w:color w:val="auto"/>
        </w:rPr>
        <w:t>CO</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240" w:hanging="274"/>
        <w:spacing w:after="0" w:line="263" w:lineRule="auto"/>
        <w:rPr>
          <w:rFonts w:ascii="Arial" w:cs="Arial" w:eastAsia="Arial" w:hAnsi="Arial"/>
          <w:sz w:val="19"/>
          <w:szCs w:val="19"/>
          <w:color w:val="auto"/>
        </w:rPr>
      </w:pPr>
      <w:r>
        <w:rPr>
          <w:rFonts w:ascii="Arial" w:cs="Arial" w:eastAsia="Arial" w:hAnsi="Arial"/>
          <w:sz w:val="19"/>
          <w:szCs w:val="19"/>
          <w:color w:val="auto"/>
        </w:rPr>
        <w:t>* Based on 69,752,544 shares of the Issuer’s common stock outstanding immediately following the Issuer’s public offering, which includes the full exercise of the underwriters’ over-allotment option, as reported in the Issuer’s Prospectus filed pursuant to Rule 424(b)(4) with the Securities and Exchange Commission on February 7, 2019, which is part of the Issuer’s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-754380</wp:posOffset>
            </wp:positionV>
            <wp:extent cx="6955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-1334135</wp:posOffset>
            </wp:positionV>
            <wp:extent cx="6955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-1913255</wp:posOffset>
            </wp:positionV>
            <wp:extent cx="6955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-527685</wp:posOffset>
            </wp:positionV>
            <wp:extent cx="19291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646670"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40" w:top="270" w:right="140" w:bottom="144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19"/>
          <w:szCs w:val="19"/>
          <w:color w:val="auto"/>
        </w:rPr>
        <w:t>CUSIP No. 014442107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7625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80" w:right="8700" w:hanging="650"/>
        <w:spacing w:after="0" w:line="37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MRL Ventures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-26670</wp:posOffset>
            </wp:positionV>
            <wp:extent cx="6955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22" w:lineRule="exact"/>
        <w:rPr>
          <w:sz w:val="20"/>
          <w:szCs w:val="20"/>
          <w:color w:val="auto"/>
        </w:rPr>
      </w:pPr>
    </w:p>
    <w:p>
      <w:pPr>
        <w:ind w:left="1080" w:hanging="650"/>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00" w:hanging="1214"/>
        <w:spacing w:after="0"/>
        <w:tabs>
          <w:tab w:leader="none" w:pos="23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300" w:hanging="1214"/>
        <w:spacing w:after="0"/>
        <w:tabs>
          <w:tab w:leader="none" w:pos="23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1423670</wp:posOffset>
            </wp:positionH>
            <wp:positionV relativeFrom="paragraph">
              <wp:posOffset>51435</wp:posOffset>
            </wp:positionV>
            <wp:extent cx="6184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-174625</wp:posOffset>
            </wp:positionV>
            <wp:extent cx="6184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80" w:hanging="650"/>
        <w:spacing w:after="0"/>
        <w:tabs>
          <w:tab w:leader="none" w:pos="10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51435</wp:posOffset>
            </wp:positionV>
            <wp:extent cx="69551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80" w:right="8100" w:hanging="650"/>
        <w:spacing w:after="0" w:line="275" w:lineRule="auto"/>
        <w:tabs>
          <w:tab w:leader="none" w:pos="10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17145</wp:posOffset>
            </wp:positionV>
            <wp:extent cx="69551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60"/>
          </w:cols>
          <w:pgMar w:left="140" w:top="270" w:right="140" w:bottom="1440"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3,545,719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3,545,719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40" w:space="720"/>
            <w:col w:w="9100"/>
          </w:cols>
          <w:pgMar w:left="140" w:top="270" w:right="140" w:bottom="1440" w:gutter="0" w:footer="0" w:header="0"/>
          <w:type w:val="continuous"/>
        </w:sectPr>
      </w:pPr>
    </w:p>
    <w:p>
      <w:pPr>
        <w:spacing w:after="0" w:line="253" w:lineRule="exact"/>
        <w:rPr>
          <w:sz w:val="20"/>
          <w:szCs w:val="20"/>
          <w:color w:val="auto"/>
        </w:rPr>
      </w:pPr>
    </w:p>
    <w:p>
      <w:pPr>
        <w:ind w:left="1080" w:right="5800" w:hanging="650"/>
        <w:spacing w:after="0" w:line="275" w:lineRule="auto"/>
        <w:tabs>
          <w:tab w:leader="none" w:pos="10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3,545,719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17145</wp:posOffset>
            </wp:positionV>
            <wp:extent cx="69551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92" w:lineRule="exact"/>
        <w:rPr>
          <w:sz w:val="20"/>
          <w:szCs w:val="20"/>
          <w:color w:val="auto"/>
        </w:rPr>
      </w:pPr>
    </w:p>
    <w:p>
      <w:pPr>
        <w:ind w:left="1080" w:hanging="650"/>
        <w:spacing w:after="0"/>
        <w:tabs>
          <w:tab w:leader="none" w:pos="1080" w:val="left"/>
        </w:tabs>
        <w:numPr>
          <w:ilvl w:val="1"/>
          <w:numId w:val="19"/>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80" w:hanging="650"/>
        <w:spacing w:after="0"/>
        <w:tabs>
          <w:tab w:leader="none" w:pos="1080" w:val="left"/>
        </w:tabs>
        <w:numPr>
          <w:ilvl w:val="1"/>
          <w:numId w:val="19"/>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19"/>
          <w:szCs w:val="19"/>
          <w:color w:val="auto"/>
        </w:rPr>
        <w:t>5.1%*</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080" w:hanging="650"/>
        <w:spacing w:after="0"/>
        <w:tabs>
          <w:tab w:leader="none" w:pos="1080" w:val="left"/>
        </w:tabs>
        <w:numPr>
          <w:ilvl w:val="1"/>
          <w:numId w:val="19"/>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240" w:hanging="274"/>
        <w:spacing w:after="0" w:line="263" w:lineRule="auto"/>
        <w:rPr>
          <w:rFonts w:ascii="Arial" w:cs="Arial" w:eastAsia="Arial" w:hAnsi="Arial"/>
          <w:sz w:val="19"/>
          <w:szCs w:val="19"/>
          <w:color w:val="auto"/>
        </w:rPr>
      </w:pPr>
      <w:r>
        <w:rPr>
          <w:rFonts w:ascii="Arial" w:cs="Arial" w:eastAsia="Arial" w:hAnsi="Arial"/>
          <w:sz w:val="19"/>
          <w:szCs w:val="19"/>
          <w:color w:val="auto"/>
        </w:rPr>
        <w:t>* Based on 69,752,544 shares of the Issuer’s common stock outstanding immediately following the Issuer’s public offering, which includes the full exercise of the underwriters’ over-allotment option, as reported in the Issuer’s Prospectus filed pursuant to Rule 424(b)(4) with the Securities and Exchange Commission on February 7, 2019, which is part of the Issuer’s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-754380</wp:posOffset>
            </wp:positionV>
            <wp:extent cx="69551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-1334135</wp:posOffset>
            </wp:positionV>
            <wp:extent cx="69551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-1913255</wp:posOffset>
            </wp:positionV>
            <wp:extent cx="69551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-527685</wp:posOffset>
            </wp:positionV>
            <wp:extent cx="1929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646670" cy="31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40" w:top="270" w:right="1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9"/>
          <w:szCs w:val="19"/>
          <w:b w:val="1"/>
          <w:bCs w:val="1"/>
          <w:color w:val="auto"/>
        </w:rPr>
        <w:t>Item 1.</w:t>
      </w:r>
    </w:p>
    <w:p>
      <w:pPr>
        <w:spacing w:after="0" w:line="130" w:lineRule="exact"/>
        <w:rPr>
          <w:sz w:val="20"/>
          <w:szCs w:val="20"/>
          <w:color w:val="auto"/>
        </w:rPr>
      </w:pPr>
    </w:p>
    <w:p>
      <w:pPr>
        <w:ind w:left="1520" w:right="9080" w:hanging="516"/>
        <w:spacing w:after="0" w:line="336" w:lineRule="auto"/>
        <w:tabs>
          <w:tab w:leader="none" w:pos="1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Name of Issuer: Alector, Inc.</w:t>
      </w:r>
    </w:p>
    <w:p>
      <w:pPr>
        <w:spacing w:after="0" w:line="37" w:lineRule="exact"/>
        <w:rPr>
          <w:rFonts w:ascii="Arial" w:cs="Arial" w:eastAsia="Arial" w:hAnsi="Arial"/>
          <w:sz w:val="17"/>
          <w:szCs w:val="17"/>
          <w:color w:val="auto"/>
        </w:rPr>
      </w:pPr>
    </w:p>
    <w:p>
      <w:pPr>
        <w:ind w:left="1520" w:hanging="516"/>
        <w:spacing w:after="0"/>
        <w:tabs>
          <w:tab w:leader="none" w:pos="15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Address of Issuer’s Principal Executive Offices:</w:t>
      </w:r>
    </w:p>
    <w:p>
      <w:pPr>
        <w:spacing w:after="0" w:line="22" w:lineRule="exact"/>
        <w:rPr>
          <w:rFonts w:ascii="Arial" w:cs="Arial" w:eastAsia="Arial" w:hAnsi="Arial"/>
          <w:sz w:val="19"/>
          <w:szCs w:val="19"/>
          <w:color w:val="auto"/>
        </w:rPr>
      </w:pPr>
    </w:p>
    <w:p>
      <w:pPr>
        <w:ind w:left="1520"/>
        <w:spacing w:after="0"/>
        <w:rPr>
          <w:rFonts w:ascii="Arial" w:cs="Arial" w:eastAsia="Arial" w:hAnsi="Arial"/>
          <w:sz w:val="19"/>
          <w:szCs w:val="19"/>
          <w:color w:val="auto"/>
        </w:rPr>
      </w:pPr>
      <w:r>
        <w:rPr>
          <w:rFonts w:ascii="Arial" w:cs="Arial" w:eastAsia="Arial" w:hAnsi="Arial"/>
          <w:sz w:val="19"/>
          <w:szCs w:val="19"/>
          <w:color w:val="auto"/>
        </w:rPr>
        <w:t>151 Oyster Point Blvd, Suite 300,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43180</wp:posOffset>
            </wp:positionV>
            <wp:extent cx="6656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56070" cy="8890"/>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-327660</wp:posOffset>
            </wp:positionV>
            <wp:extent cx="66560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5607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w:t>
      </w:r>
    </w:p>
    <w:p>
      <w:pPr>
        <w:spacing w:after="0" w:line="130" w:lineRule="exact"/>
        <w:rPr>
          <w:sz w:val="20"/>
          <w:szCs w:val="20"/>
          <w:color w:val="auto"/>
        </w:rPr>
      </w:pPr>
    </w:p>
    <w:p>
      <w:pPr>
        <w:ind w:left="1520" w:hanging="516"/>
        <w:spacing w:after="0"/>
        <w:tabs>
          <w:tab w:leader="none" w:pos="15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Name of Person Filing:</w:t>
      </w:r>
    </w:p>
    <w:p>
      <w:pPr>
        <w:spacing w:after="0" w:line="22" w:lineRule="exact"/>
        <w:rPr>
          <w:rFonts w:ascii="Arial" w:cs="Arial" w:eastAsia="Arial" w:hAnsi="Arial"/>
          <w:sz w:val="19"/>
          <w:szCs w:val="19"/>
          <w:color w:val="auto"/>
        </w:rPr>
      </w:pPr>
    </w:p>
    <w:p>
      <w:pPr>
        <w:ind w:left="1780" w:hanging="263"/>
        <w:spacing w:after="0"/>
        <w:tabs>
          <w:tab w:leader="none" w:pos="17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Merck &amp; Co., Inc.</w:t>
      </w:r>
    </w:p>
    <w:p>
      <w:pPr>
        <w:spacing w:after="0" w:line="9" w:lineRule="exact"/>
        <w:rPr>
          <w:rFonts w:ascii="Arial" w:cs="Arial" w:eastAsia="Arial" w:hAnsi="Arial"/>
          <w:sz w:val="19"/>
          <w:szCs w:val="19"/>
          <w:color w:val="auto"/>
        </w:rPr>
      </w:pPr>
    </w:p>
    <w:p>
      <w:pPr>
        <w:ind w:left="1780" w:hanging="263"/>
        <w:spacing w:after="0"/>
        <w:tabs>
          <w:tab w:leader="none" w:pos="17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Merck Sharp &amp; Dohme Corp.</w:t>
      </w:r>
    </w:p>
    <w:p>
      <w:pPr>
        <w:spacing w:after="0" w:line="9" w:lineRule="exact"/>
        <w:rPr>
          <w:rFonts w:ascii="Arial" w:cs="Arial" w:eastAsia="Arial" w:hAnsi="Arial"/>
          <w:sz w:val="19"/>
          <w:szCs w:val="19"/>
          <w:color w:val="auto"/>
        </w:rPr>
      </w:pPr>
    </w:p>
    <w:p>
      <w:pPr>
        <w:ind w:left="1780" w:hanging="263"/>
        <w:spacing w:after="0"/>
        <w:tabs>
          <w:tab w:leader="none" w:pos="17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MRL Ventures Fund LLC</w:t>
      </w:r>
    </w:p>
    <w:p>
      <w:pPr>
        <w:spacing w:after="0" w:line="124" w:lineRule="exact"/>
        <w:rPr>
          <w:rFonts w:ascii="Arial" w:cs="Arial" w:eastAsia="Arial" w:hAnsi="Arial"/>
          <w:sz w:val="19"/>
          <w:szCs w:val="19"/>
          <w:color w:val="auto"/>
        </w:rPr>
      </w:pPr>
    </w:p>
    <w:p>
      <w:pPr>
        <w:ind w:left="1520" w:hanging="516"/>
        <w:spacing w:after="0"/>
        <w:tabs>
          <w:tab w:leader="none" w:pos="15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w:t>
      </w:r>
    </w:p>
    <w:p>
      <w:pPr>
        <w:spacing w:after="0" w:line="22" w:lineRule="exact"/>
        <w:rPr>
          <w:rFonts w:ascii="Arial" w:cs="Arial" w:eastAsia="Arial" w:hAnsi="Arial"/>
          <w:sz w:val="19"/>
          <w:szCs w:val="19"/>
          <w:color w:val="auto"/>
        </w:rPr>
      </w:pPr>
    </w:p>
    <w:p>
      <w:pPr>
        <w:ind w:left="1780" w:hanging="263"/>
        <w:spacing w:after="0"/>
        <w:tabs>
          <w:tab w:leader="none" w:pos="17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Merck &amp; Co., Inc.: 2000 Galloping Hill Road, Kenilworth, NJ 07033</w:t>
      </w:r>
    </w:p>
    <w:p>
      <w:pPr>
        <w:spacing w:after="0" w:line="9" w:lineRule="exact"/>
        <w:rPr>
          <w:rFonts w:ascii="Arial" w:cs="Arial" w:eastAsia="Arial" w:hAnsi="Arial"/>
          <w:sz w:val="19"/>
          <w:szCs w:val="19"/>
          <w:color w:val="auto"/>
        </w:rPr>
      </w:pPr>
    </w:p>
    <w:p>
      <w:pPr>
        <w:ind w:left="1780" w:hanging="263"/>
        <w:spacing w:after="0"/>
        <w:tabs>
          <w:tab w:leader="none" w:pos="17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Merck Sharp &amp; Dohme Corp.: One Merck Drive, Whitehouse Station, NJ 08889</w:t>
      </w:r>
    </w:p>
    <w:p>
      <w:pPr>
        <w:spacing w:after="0" w:line="9" w:lineRule="exact"/>
        <w:rPr>
          <w:rFonts w:ascii="Arial" w:cs="Arial" w:eastAsia="Arial" w:hAnsi="Arial"/>
          <w:sz w:val="19"/>
          <w:szCs w:val="19"/>
          <w:color w:val="auto"/>
        </w:rPr>
      </w:pPr>
    </w:p>
    <w:p>
      <w:pPr>
        <w:ind w:left="1780" w:hanging="263"/>
        <w:spacing w:after="0"/>
        <w:tabs>
          <w:tab w:leader="none" w:pos="17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MRL Ventures Fund LLC: 320 Bent Street, 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 Cambridge, MA 02141</w:t>
      </w:r>
    </w:p>
    <w:p>
      <w:pPr>
        <w:spacing w:after="0" w:line="67" w:lineRule="exact"/>
        <w:rPr>
          <w:rFonts w:ascii="Arial" w:cs="Arial" w:eastAsia="Arial" w:hAnsi="Arial"/>
          <w:sz w:val="19"/>
          <w:szCs w:val="19"/>
          <w:color w:val="auto"/>
        </w:rPr>
      </w:pPr>
    </w:p>
    <w:p>
      <w:pPr>
        <w:ind w:left="1520" w:hanging="516"/>
        <w:spacing w:after="0"/>
        <w:tabs>
          <w:tab w:leader="none" w:pos="15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Citizenship:</w:t>
      </w:r>
    </w:p>
    <w:p>
      <w:pPr>
        <w:spacing w:after="0" w:line="22" w:lineRule="exact"/>
        <w:rPr>
          <w:rFonts w:ascii="Arial" w:cs="Arial" w:eastAsia="Arial" w:hAnsi="Arial"/>
          <w:sz w:val="19"/>
          <w:szCs w:val="19"/>
          <w:color w:val="auto"/>
        </w:rPr>
      </w:pPr>
    </w:p>
    <w:p>
      <w:pPr>
        <w:ind w:left="1780" w:hanging="263"/>
        <w:spacing w:after="0"/>
        <w:tabs>
          <w:tab w:leader="none" w:pos="17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Merck &amp; Co., Inc.: New Jersey</w:t>
      </w:r>
    </w:p>
    <w:p>
      <w:pPr>
        <w:spacing w:after="0" w:line="9" w:lineRule="exact"/>
        <w:rPr>
          <w:rFonts w:ascii="Arial" w:cs="Arial" w:eastAsia="Arial" w:hAnsi="Arial"/>
          <w:sz w:val="19"/>
          <w:szCs w:val="19"/>
          <w:color w:val="auto"/>
        </w:rPr>
      </w:pPr>
    </w:p>
    <w:p>
      <w:pPr>
        <w:ind w:left="1780" w:hanging="263"/>
        <w:spacing w:after="0"/>
        <w:tabs>
          <w:tab w:leader="none" w:pos="17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Merck Sharp &amp; Dohme Corp.: New Jersey</w:t>
      </w:r>
    </w:p>
    <w:p>
      <w:pPr>
        <w:spacing w:after="0" w:line="9" w:lineRule="exact"/>
        <w:rPr>
          <w:rFonts w:ascii="Arial" w:cs="Arial" w:eastAsia="Arial" w:hAnsi="Arial"/>
          <w:sz w:val="19"/>
          <w:szCs w:val="19"/>
          <w:color w:val="auto"/>
        </w:rPr>
      </w:pPr>
    </w:p>
    <w:p>
      <w:pPr>
        <w:ind w:left="1780" w:hanging="263"/>
        <w:spacing w:after="0"/>
        <w:tabs>
          <w:tab w:leader="none" w:pos="17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MRL Ventures Fund LLC: Delaware</w:t>
      </w:r>
    </w:p>
    <w:p>
      <w:pPr>
        <w:spacing w:after="0" w:line="124" w:lineRule="exact"/>
        <w:rPr>
          <w:rFonts w:ascii="Arial" w:cs="Arial" w:eastAsia="Arial" w:hAnsi="Arial"/>
          <w:sz w:val="19"/>
          <w:szCs w:val="19"/>
          <w:color w:val="auto"/>
        </w:rPr>
      </w:pPr>
    </w:p>
    <w:p>
      <w:pPr>
        <w:ind w:left="1520" w:right="8120" w:hanging="516"/>
        <w:spacing w:after="0" w:line="304"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Title and Class of Securities: Common Stock</w:t>
      </w:r>
    </w:p>
    <w:p>
      <w:pPr>
        <w:spacing w:after="0" w:line="60" w:lineRule="exact"/>
        <w:rPr>
          <w:rFonts w:ascii="Arial" w:cs="Arial" w:eastAsia="Arial" w:hAnsi="Arial"/>
          <w:sz w:val="18"/>
          <w:szCs w:val="18"/>
          <w:color w:val="auto"/>
        </w:rPr>
      </w:pPr>
    </w:p>
    <w:p>
      <w:pPr>
        <w:jc w:val="both"/>
        <w:ind w:left="1520" w:right="9380" w:hanging="516"/>
        <w:spacing w:after="0" w:line="336" w:lineRule="auto"/>
        <w:tabs>
          <w:tab w:leader="none" w:pos="1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CUSIP No.: 014442107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-12065</wp:posOffset>
            </wp:positionV>
            <wp:extent cx="6656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56070" cy="8890"/>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-382905</wp:posOffset>
            </wp:positionV>
            <wp:extent cx="6656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56070" cy="8890"/>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-754380</wp:posOffset>
            </wp:positionV>
            <wp:extent cx="66560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56070" cy="8890"/>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-1415415</wp:posOffset>
            </wp:positionV>
            <wp:extent cx="66560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56070" cy="8890"/>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-2076450</wp:posOffset>
            </wp:positionV>
            <wp:extent cx="66560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56070" cy="8890"/>
                    </a:xfrm>
                    <a:prstGeom prst="rect">
                      <a:avLst/>
                    </a:prstGeom>
                    <a:noFill/>
                  </pic:spPr>
                </pic:pic>
              </a:graphicData>
            </a:graphic>
          </wp:anchor>
        </w:drawing>
      </w:r>
    </w:p>
    <w:p>
      <w:pPr>
        <w:spacing w:after="0" w:line="339" w:lineRule="exact"/>
        <w:rPr>
          <w:sz w:val="20"/>
          <w:szCs w:val="20"/>
          <w:color w:val="auto"/>
        </w:rPr>
      </w:pPr>
    </w:p>
    <w:p>
      <w:pPr>
        <w:spacing w:after="0"/>
        <w:tabs>
          <w:tab w:leader="none" w:pos="98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 240.13d-1(b) or 240.13d-2(b) or (c), check whether the person filing is a:</w:t>
      </w:r>
    </w:p>
    <w:p>
      <w:pPr>
        <w:spacing w:after="0" w:line="187" w:lineRule="exact"/>
        <w:rPr>
          <w:sz w:val="20"/>
          <w:szCs w:val="20"/>
          <w:color w:val="auto"/>
        </w:rPr>
      </w:pPr>
    </w:p>
    <w:p>
      <w:pPr>
        <w:ind w:left="1520" w:hanging="516"/>
        <w:spacing w:after="0"/>
        <w:tabs>
          <w:tab w:leader="none" w:pos="15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Broker or dealer registered under section 15 of the Act;</w:t>
      </w:r>
    </w:p>
    <w:p>
      <w:pPr>
        <w:spacing w:after="0" w:line="237" w:lineRule="exact"/>
        <w:rPr>
          <w:rFonts w:ascii="Arial" w:cs="Arial" w:eastAsia="Arial" w:hAnsi="Arial"/>
          <w:sz w:val="19"/>
          <w:szCs w:val="19"/>
          <w:color w:val="auto"/>
        </w:rPr>
      </w:pPr>
    </w:p>
    <w:p>
      <w:pPr>
        <w:ind w:left="1520" w:hanging="516"/>
        <w:spacing w:after="0"/>
        <w:tabs>
          <w:tab w:leader="none" w:pos="15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Bank as defined in section 3(a)(6) of the Act;</w:t>
      </w:r>
    </w:p>
    <w:p>
      <w:pPr>
        <w:spacing w:after="0" w:line="237" w:lineRule="exact"/>
        <w:rPr>
          <w:rFonts w:ascii="Arial" w:cs="Arial" w:eastAsia="Arial" w:hAnsi="Arial"/>
          <w:sz w:val="19"/>
          <w:szCs w:val="19"/>
          <w:color w:val="auto"/>
        </w:rPr>
      </w:pPr>
    </w:p>
    <w:p>
      <w:pPr>
        <w:ind w:left="1520" w:hanging="516"/>
        <w:spacing w:after="0"/>
        <w:tabs>
          <w:tab w:leader="none" w:pos="15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Insurance company as defined in section 3(a)(19) of the Act;</w:t>
      </w:r>
    </w:p>
    <w:p>
      <w:pPr>
        <w:spacing w:after="0" w:line="237" w:lineRule="exact"/>
        <w:rPr>
          <w:rFonts w:ascii="Arial" w:cs="Arial" w:eastAsia="Arial" w:hAnsi="Arial"/>
          <w:sz w:val="19"/>
          <w:szCs w:val="19"/>
          <w:color w:val="auto"/>
        </w:rPr>
      </w:pPr>
    </w:p>
    <w:p>
      <w:pPr>
        <w:ind w:left="1520" w:hanging="516"/>
        <w:spacing w:after="0"/>
        <w:tabs>
          <w:tab w:leader="none" w:pos="15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Investment company registered under section 8 of the Investment Company Act of 1940;</w:t>
      </w:r>
    </w:p>
    <w:p>
      <w:pPr>
        <w:spacing w:after="0" w:line="237" w:lineRule="exact"/>
        <w:rPr>
          <w:rFonts w:ascii="Arial" w:cs="Arial" w:eastAsia="Arial" w:hAnsi="Arial"/>
          <w:sz w:val="19"/>
          <w:szCs w:val="19"/>
          <w:color w:val="auto"/>
        </w:rPr>
      </w:pPr>
    </w:p>
    <w:p>
      <w:pPr>
        <w:ind w:left="1520" w:hanging="516"/>
        <w:spacing w:after="0"/>
        <w:tabs>
          <w:tab w:leader="none" w:pos="15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An investment adviser in accordance with Rule 13d-1(b)(1)(ii)(E);</w:t>
      </w:r>
    </w:p>
    <w:p>
      <w:pPr>
        <w:spacing w:after="0" w:line="237" w:lineRule="exact"/>
        <w:rPr>
          <w:rFonts w:ascii="Arial" w:cs="Arial" w:eastAsia="Arial" w:hAnsi="Arial"/>
          <w:sz w:val="19"/>
          <w:szCs w:val="19"/>
          <w:color w:val="auto"/>
        </w:rPr>
      </w:pPr>
    </w:p>
    <w:p>
      <w:pPr>
        <w:ind w:left="1520" w:hanging="516"/>
        <w:spacing w:after="0"/>
        <w:tabs>
          <w:tab w:leader="none" w:pos="15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An employee benefit plan or endowment fund in accordance with Rule 13d-1(b)(1)(ii)(F);</w:t>
      </w:r>
    </w:p>
    <w:p>
      <w:pPr>
        <w:spacing w:after="0" w:line="237" w:lineRule="exact"/>
        <w:rPr>
          <w:rFonts w:ascii="Arial" w:cs="Arial" w:eastAsia="Arial" w:hAnsi="Arial"/>
          <w:sz w:val="19"/>
          <w:szCs w:val="19"/>
          <w:color w:val="auto"/>
        </w:rPr>
      </w:pPr>
    </w:p>
    <w:p>
      <w:pPr>
        <w:ind w:left="1520" w:hanging="516"/>
        <w:spacing w:after="0"/>
        <w:tabs>
          <w:tab w:leader="none" w:pos="15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 parent holding company or control person in accordance with Rule 13d-1(b)(1)(ii)(G);</w:t>
      </w:r>
    </w:p>
    <w:p>
      <w:pPr>
        <w:spacing w:after="0" w:line="237" w:lineRule="exact"/>
        <w:rPr>
          <w:rFonts w:ascii="Arial" w:cs="Arial" w:eastAsia="Arial" w:hAnsi="Arial"/>
          <w:sz w:val="19"/>
          <w:szCs w:val="19"/>
          <w:color w:val="auto"/>
        </w:rPr>
      </w:pPr>
    </w:p>
    <w:p>
      <w:pPr>
        <w:ind w:left="1520" w:hanging="516"/>
        <w:spacing w:after="0"/>
        <w:tabs>
          <w:tab w:leader="none" w:pos="15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 savings associations as defined in Section 3(b) of the Federal Deposit Insurance Act (12 U.S.C. 1813);</w:t>
      </w:r>
    </w:p>
    <w:p>
      <w:pPr>
        <w:spacing w:after="0" w:line="237" w:lineRule="exact"/>
        <w:rPr>
          <w:rFonts w:ascii="Arial" w:cs="Arial" w:eastAsia="Arial" w:hAnsi="Arial"/>
          <w:sz w:val="19"/>
          <w:szCs w:val="19"/>
          <w:color w:val="auto"/>
        </w:rPr>
      </w:pPr>
    </w:p>
    <w:p>
      <w:pPr>
        <w:ind w:left="2060" w:hanging="1056"/>
        <w:spacing w:after="0" w:line="275" w:lineRule="auto"/>
        <w:tabs>
          <w:tab w:leader="none" w:pos="1518" w:val="left"/>
        </w:tabs>
        <w:numPr>
          <w:ilvl w:val="0"/>
          <w:numId w:val="22"/>
        </w:numPr>
        <w:rPr>
          <w:rFonts w:ascii="Arial" w:cs="Arial" w:eastAsia="Arial" w:hAnsi="Arial"/>
          <w:sz w:val="19"/>
          <w:szCs w:val="19"/>
          <w:color w:val="auto"/>
        </w:rPr>
      </w:pPr>
      <w:r>
        <w:rPr>
          <w:rFonts w:ascii="Arial" w:cs="Arial" w:eastAsia="Arial" w:hAnsi="Arial"/>
          <w:sz w:val="19"/>
          <w:szCs w:val="19"/>
          <w:color w:val="auto"/>
        </w:rPr>
        <w:t>oA church plan that is excluded from the definition of an investment company under section 3(c)(14) of the Investment Company Act of 1940;</w:t>
      </w:r>
    </w:p>
    <w:p>
      <w:pPr>
        <w:spacing w:after="0" w:line="183" w:lineRule="exact"/>
        <w:rPr>
          <w:rFonts w:ascii="Arial" w:cs="Arial" w:eastAsia="Arial" w:hAnsi="Arial"/>
          <w:sz w:val="19"/>
          <w:szCs w:val="19"/>
          <w:color w:val="auto"/>
        </w:rPr>
      </w:pPr>
    </w:p>
    <w:p>
      <w:pPr>
        <w:ind w:left="1520" w:hanging="516"/>
        <w:spacing w:after="0"/>
        <w:tabs>
          <w:tab w:leader="none" w:pos="15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 non-U.S. institution in accordance with Rule 240.13d-1(b)(1)(ii)(J);</w:t>
      </w:r>
    </w:p>
    <w:p>
      <w:pPr>
        <w:spacing w:after="0" w:line="178"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Group, in accordance with Rule 240.13d-1(b)(1)(ii)(K). If filing as a non-U.S. institution in accordance with</w:t>
      </w:r>
    </w:p>
    <w:p>
      <w:pPr>
        <w:ind w:left="1000"/>
        <w:spacing w:after="0" w:line="186" w:lineRule="auto"/>
        <w:tabs>
          <w:tab w:leader="none" w:pos="1500" w:val="left"/>
        </w:tabs>
        <w:rPr>
          <w:sz w:val="20"/>
          <w:szCs w:val="20"/>
          <w:color w:val="auto"/>
        </w:rPr>
      </w:pPr>
      <w:r>
        <w:rPr>
          <w:rFonts w:ascii="Arial" w:cs="Arial" w:eastAsia="Arial" w:hAnsi="Arial"/>
          <w:sz w:val="16"/>
          <w:szCs w:val="16"/>
          <w:color w:val="auto"/>
        </w:rPr>
        <w:t>(k)</w:t>
      </w:r>
      <w:r>
        <w:rPr>
          <w:sz w:val="20"/>
          <w:szCs w:val="20"/>
          <w:color w:val="auto"/>
        </w:rPr>
        <w:tab/>
      </w:r>
      <w:r>
        <w:rPr>
          <w:rFonts w:ascii="Arial" w:cs="Arial" w:eastAsia="Arial" w:hAnsi="Arial"/>
          <w:sz w:val="16"/>
          <w:szCs w:val="16"/>
          <w:color w:val="auto"/>
        </w:rPr>
        <w:t>o</w:t>
      </w:r>
    </w:p>
    <w:p>
      <w:pPr>
        <w:ind w:left="2060"/>
        <w:spacing w:after="0"/>
        <w:rPr>
          <w:sz w:val="20"/>
          <w:szCs w:val="20"/>
          <w:color w:val="auto"/>
        </w:rPr>
      </w:pPr>
      <w:r>
        <w:rPr>
          <w:rFonts w:ascii="Arial" w:cs="Arial" w:eastAsia="Arial" w:hAnsi="Arial"/>
          <w:sz w:val="19"/>
          <w:szCs w:val="19"/>
          <w:color w:val="auto"/>
        </w:rPr>
        <w:t>Rule 240.13d-1(b)(1)(ii)(J), please specify the type of institution:____________________________</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20"/>
          </w:cols>
          <w:pgMar w:left="180" w:top="264" w:right="240" w:bottom="1440" w:gutter="0" w:footer="0" w:header="0"/>
        </w:sectPr>
      </w:pPr>
    </w:p>
    <w:bookmarkStart w:id="5" w:name="page6"/>
    <w:bookmarkEnd w:id="5"/>
    <w:p>
      <w:pPr>
        <w:spacing w:after="0"/>
        <w:tabs>
          <w:tab w:leader="none" w:pos="114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Provide the following information regarding the aggregate number and percentage of the class of securities of the issuer identified in Item 1.</w:t>
      </w:r>
    </w:p>
    <w:p>
      <w:pPr>
        <w:spacing w:after="0" w:line="181" w:lineRule="exact"/>
        <w:rPr>
          <w:sz w:val="20"/>
          <w:szCs w:val="20"/>
          <w:color w:val="auto"/>
        </w:rPr>
      </w:pPr>
    </w:p>
    <w:p>
      <w:pPr>
        <w:ind w:left="1660" w:right="8040" w:hanging="412"/>
        <w:spacing w:after="0" w:line="313" w:lineRule="auto"/>
        <w:tabs>
          <w:tab w:leader="none" w:pos="16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Amount beneficially owned: 3,545,719</w:t>
      </w:r>
    </w:p>
    <w:p>
      <w:pPr>
        <w:ind w:left="1660" w:right="160"/>
        <w:spacing w:after="0" w:line="263" w:lineRule="auto"/>
        <w:rPr>
          <w:rFonts w:ascii="Arial" w:cs="Arial" w:eastAsia="Arial" w:hAnsi="Arial"/>
          <w:sz w:val="19"/>
          <w:szCs w:val="19"/>
          <w:color w:val="auto"/>
        </w:rPr>
      </w:pPr>
      <w:r>
        <w:rPr>
          <w:rFonts w:ascii="Arial" w:cs="Arial" w:eastAsia="Arial" w:hAnsi="Arial"/>
          <w:sz w:val="19"/>
          <w:szCs w:val="19"/>
          <w:color w:val="auto"/>
        </w:rPr>
        <w:t>The reported securities are owned directly by MRL Ventures Fund LLC (“MRLV”), which is a wholly owned subsidiary of Merck Sharp &amp; Dohme Corp. (“MSD”), which is a wholly owned subsidiary of Merck &amp; Co., Inc. (“Merck”). MSD and Merck are indirect beneficial owners of the reported securities.</w:t>
      </w:r>
    </w:p>
    <w:p>
      <w:pPr>
        <w:spacing w:after="0" w:line="208" w:lineRule="exact"/>
        <w:rPr>
          <w:rFonts w:ascii="Arial" w:cs="Arial" w:eastAsia="Arial" w:hAnsi="Arial"/>
          <w:sz w:val="19"/>
          <w:szCs w:val="19"/>
          <w:color w:val="auto"/>
        </w:rPr>
      </w:pPr>
    </w:p>
    <w:p>
      <w:pPr>
        <w:ind w:left="1660" w:hanging="418"/>
        <w:spacing w:after="0"/>
        <w:tabs>
          <w:tab w:leader="none" w:pos="16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Percent of class:</w:t>
      </w:r>
    </w:p>
    <w:p>
      <w:pPr>
        <w:spacing w:after="0" w:line="66" w:lineRule="exact"/>
        <w:rPr>
          <w:rFonts w:ascii="Arial" w:cs="Arial" w:eastAsia="Arial" w:hAnsi="Arial"/>
          <w:sz w:val="19"/>
          <w:szCs w:val="19"/>
          <w:color w:val="auto"/>
        </w:rPr>
      </w:pPr>
    </w:p>
    <w:p>
      <w:pPr>
        <w:ind w:left="1660"/>
        <w:spacing w:after="0"/>
        <w:rPr>
          <w:rFonts w:ascii="Arial" w:cs="Arial" w:eastAsia="Arial" w:hAnsi="Arial"/>
          <w:sz w:val="19"/>
          <w:szCs w:val="19"/>
          <w:color w:val="auto"/>
        </w:rPr>
      </w:pPr>
      <w:r>
        <w:rPr>
          <w:rFonts w:ascii="Arial" w:cs="Arial" w:eastAsia="Arial" w:hAnsi="Arial"/>
          <w:sz w:val="19"/>
          <w:szCs w:val="19"/>
          <w:color w:val="auto"/>
        </w:rPr>
        <w:t>5.1%</w:t>
      </w:r>
    </w:p>
    <w:p>
      <w:pPr>
        <w:spacing w:after="0" w:line="252" w:lineRule="exact"/>
        <w:rPr>
          <w:rFonts w:ascii="Arial" w:cs="Arial" w:eastAsia="Arial" w:hAnsi="Arial"/>
          <w:sz w:val="19"/>
          <w:szCs w:val="19"/>
          <w:color w:val="auto"/>
        </w:rPr>
      </w:pPr>
    </w:p>
    <w:p>
      <w:pPr>
        <w:ind w:left="1660" w:hanging="412"/>
        <w:spacing w:after="0"/>
        <w:tabs>
          <w:tab w:leader="none" w:pos="16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268605</wp:posOffset>
            </wp:positionV>
            <wp:extent cx="65652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65265" cy="8890"/>
                    </a:xfrm>
                    <a:prstGeom prst="rect">
                      <a:avLst/>
                    </a:prstGeom>
                    <a:noFill/>
                  </pic:spPr>
                </pic:pic>
              </a:graphicData>
            </a:graphic>
          </wp:anchor>
        </w:drawing>
        <w:drawing>
          <wp:anchor simplePos="0" relativeHeight="251657728" behindDoc="1" locked="0" layoutInCell="0" allowOverlap="1">
            <wp:simplePos x="0" y="0"/>
            <wp:positionH relativeFrom="column">
              <wp:posOffset>1017905</wp:posOffset>
            </wp:positionH>
            <wp:positionV relativeFrom="paragraph">
              <wp:posOffset>-210820</wp:posOffset>
            </wp:positionV>
            <wp:extent cx="65652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65265" cy="8890"/>
                    </a:xfrm>
                    <a:prstGeom prst="rect">
                      <a:avLst/>
                    </a:prstGeom>
                    <a:noFill/>
                  </pic:spPr>
                </pic:pic>
              </a:graphicData>
            </a:graphic>
          </wp:anchor>
        </w:drawing>
        <w:drawing>
          <wp:anchor simplePos="0" relativeHeight="251657728" behindDoc="1" locked="0" layoutInCell="0" allowOverlap="1">
            <wp:simplePos x="0" y="0"/>
            <wp:positionH relativeFrom="column">
              <wp:posOffset>1017905</wp:posOffset>
            </wp:positionH>
            <wp:positionV relativeFrom="paragraph">
              <wp:posOffset>-690245</wp:posOffset>
            </wp:positionV>
            <wp:extent cx="65652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6526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320" w:right="6540" w:hanging="479"/>
        <w:spacing w:after="0" w:line="338" w:lineRule="auto"/>
        <w:tabs>
          <w:tab w:leader="none" w:pos="23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Sole power to vote or to direct the vote: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16510</wp:posOffset>
            </wp:positionV>
            <wp:extent cx="61487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120" w:lineRule="exact"/>
        <w:rPr>
          <w:sz w:val="20"/>
          <w:szCs w:val="20"/>
          <w:color w:val="auto"/>
        </w:rPr>
      </w:pPr>
    </w:p>
    <w:p>
      <w:pPr>
        <w:ind w:left="2320" w:right="6360" w:hanging="505"/>
        <w:spacing w:after="0" w:line="338" w:lineRule="auto"/>
        <w:tabs>
          <w:tab w:leader="none" w:pos="23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Shared power to vote or to direct the vote: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16510</wp:posOffset>
            </wp:positionV>
            <wp:extent cx="61487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120" w:lineRule="exact"/>
        <w:rPr>
          <w:sz w:val="20"/>
          <w:szCs w:val="20"/>
          <w:color w:val="auto"/>
        </w:rPr>
      </w:pPr>
    </w:p>
    <w:p>
      <w:pPr>
        <w:ind w:left="2320" w:right="5580" w:hanging="532"/>
        <w:spacing w:after="0" w:line="338" w:lineRule="auto"/>
        <w:tabs>
          <w:tab w:leader="none" w:pos="23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See Cover Pages Items 5-9.</w:t>
      </w:r>
    </w:p>
    <w:p>
      <w:pPr>
        <w:spacing w:after="0" w:line="140" w:lineRule="exact"/>
        <w:rPr>
          <w:rFonts w:ascii="Arial" w:cs="Arial" w:eastAsia="Arial" w:hAnsi="Arial"/>
          <w:sz w:val="19"/>
          <w:szCs w:val="19"/>
          <w:color w:val="auto"/>
        </w:rPr>
      </w:pPr>
    </w:p>
    <w:p>
      <w:pPr>
        <w:ind w:left="2320" w:right="5400" w:hanging="527"/>
        <w:spacing w:after="0" w:line="338" w:lineRule="auto"/>
        <w:tabs>
          <w:tab w:leader="none" w:pos="23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16510</wp:posOffset>
            </wp:positionV>
            <wp:extent cx="61487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-462915</wp:posOffset>
            </wp:positionV>
            <wp:extent cx="61487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385"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ind w:left="1160" w:hanging="1168"/>
        <w:spacing w:after="0" w:line="282" w:lineRule="auto"/>
        <w:tabs>
          <w:tab w:leader="none" w:pos="114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6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reported securities are owned directly by MRLV, which is a wholly owned subsidiary of MSD, which is a wholly owned subsidiary of Merck. MSD and Merck are indirect beneficial owners of the reported securities.</w:t>
      </w: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80"/>
          </w:cols>
          <w:pgMar w:left="180" w:top="264" w:right="180" w:bottom="1440" w:gutter="0" w:footer="0" w:header="0"/>
        </w:sectPr>
      </w:pPr>
    </w:p>
    <w:bookmarkStart w:id="6" w:name="page7"/>
    <w:bookmarkEnd w:id="6"/>
    <w:p>
      <w:pPr>
        <w:ind w:left="60"/>
        <w:spacing w:after="0"/>
        <w:tabs>
          <w:tab w:leader="none" w:pos="120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Certifications.</w:t>
      </w:r>
    </w:p>
    <w:p>
      <w:pPr>
        <w:spacing w:after="0" w:line="130" w:lineRule="exact"/>
        <w:rPr>
          <w:sz w:val="20"/>
          <w:szCs w:val="20"/>
          <w:color w:val="auto"/>
        </w:rPr>
      </w:pPr>
    </w:p>
    <w:p>
      <w:pPr>
        <w:jc w:val="both"/>
        <w:ind w:left="60" w:right="300"/>
        <w:spacing w:after="0" w:line="308"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correct.</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14, 2019</w:t>
      </w:r>
    </w:p>
    <w:p>
      <w:pPr>
        <w:spacing w:after="0" w:line="232"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MRL VENTURES FUND LLC</w:t>
      </w:r>
    </w:p>
    <w:p>
      <w:pPr>
        <w:spacing w:after="0" w:line="244" w:lineRule="exact"/>
        <w:rPr>
          <w:sz w:val="20"/>
          <w:szCs w:val="20"/>
          <w:color w:val="auto"/>
        </w:rPr>
      </w:pPr>
    </w:p>
    <w:tbl>
      <w:tblPr>
        <w:tblLayout w:type="fixed"/>
        <w:tblInd w:w="602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Jon Filderman</w:t>
            </w:r>
          </w:p>
        </w:tc>
      </w:tr>
      <w:tr>
        <w:trPr>
          <w:trHeight w:val="209"/>
        </w:trPr>
        <w:tc>
          <w:tcPr>
            <w:tcW w:w="800" w:type="dxa"/>
            <w:vAlign w:val="bottom"/>
          </w:tcPr>
          <w:p>
            <w:pPr>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Jon Filderman</w:t>
            </w:r>
          </w:p>
        </w:tc>
      </w:tr>
      <w:tr>
        <w:trPr>
          <w:trHeight w:val="241"/>
        </w:trPr>
        <w:tc>
          <w:tcPr>
            <w:tcW w:w="800" w:type="dxa"/>
            <w:vAlign w:val="bottom"/>
          </w:tcPr>
          <w:p>
            <w:pPr>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Secretary</w:t>
            </w:r>
          </w:p>
        </w:tc>
      </w:tr>
    </w:tbl>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MERCK SHARP &amp; DOHME CORP.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ind w:left="6020"/>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Faye C. Brown</w:t>
            </w:r>
          </w:p>
        </w:tc>
        <w:tc>
          <w:tcPr>
            <w:tcW w:w="40" w:type="dxa"/>
            <w:vAlign w:val="bottom"/>
          </w:tcPr>
          <w:p>
            <w:pPr>
              <w:spacing w:after="0"/>
              <w:rPr>
                <w:sz w:val="20"/>
                <w:szCs w:val="20"/>
                <w:color w:val="auto"/>
              </w:rPr>
            </w:pPr>
          </w:p>
        </w:tc>
      </w:tr>
      <w:tr>
        <w:trPr>
          <w:trHeight w:val="209"/>
        </w:trPr>
        <w:tc>
          <w:tcPr>
            <w:tcW w:w="6820" w:type="dxa"/>
            <w:vAlign w:val="bottom"/>
          </w:tcPr>
          <w:p>
            <w:pPr>
              <w:ind w:left="6020"/>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Faye C. Brown</w:t>
            </w:r>
          </w:p>
        </w:tc>
        <w:tc>
          <w:tcPr>
            <w:tcW w:w="40" w:type="dxa"/>
            <w:vAlign w:val="bottom"/>
          </w:tcPr>
          <w:p>
            <w:pPr>
              <w:spacing w:after="0"/>
              <w:rPr>
                <w:sz w:val="18"/>
                <w:szCs w:val="18"/>
                <w:color w:val="auto"/>
              </w:rPr>
            </w:pPr>
          </w:p>
        </w:tc>
      </w:tr>
      <w:tr>
        <w:trPr>
          <w:trHeight w:val="241"/>
        </w:trPr>
        <w:tc>
          <w:tcPr>
            <w:tcW w:w="6820" w:type="dxa"/>
            <w:vAlign w:val="bottom"/>
          </w:tcPr>
          <w:p>
            <w:pPr>
              <w:ind w:left="6020"/>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Assistant Secretary</w:t>
            </w:r>
          </w:p>
        </w:tc>
        <w:tc>
          <w:tcPr>
            <w:tcW w:w="40" w:type="dxa"/>
            <w:vAlign w:val="bottom"/>
          </w:tcPr>
          <w:p>
            <w:pPr>
              <w:spacing w:after="0"/>
              <w:rPr>
                <w:sz w:val="20"/>
                <w:szCs w:val="20"/>
                <w:color w:val="auto"/>
              </w:rPr>
            </w:pPr>
          </w:p>
        </w:tc>
      </w:tr>
      <w:tr>
        <w:trPr>
          <w:trHeight w:val="685"/>
        </w:trPr>
        <w:tc>
          <w:tcPr>
            <w:tcW w:w="12000" w:type="dxa"/>
            <w:vAlign w:val="bottom"/>
            <w:gridSpan w:val="2"/>
          </w:tcPr>
          <w:p>
            <w:pPr>
              <w:ind w:left="6020"/>
              <w:spacing w:after="0"/>
              <w:rPr>
                <w:sz w:val="20"/>
                <w:szCs w:val="20"/>
                <w:color w:val="auto"/>
              </w:rPr>
            </w:pPr>
            <w:r>
              <w:rPr>
                <w:rFonts w:ascii="Arial" w:cs="Arial" w:eastAsia="Arial" w:hAnsi="Arial"/>
                <w:sz w:val="19"/>
                <w:szCs w:val="19"/>
                <w:b w:val="1"/>
                <w:bCs w:val="1"/>
                <w:color w:val="auto"/>
              </w:rPr>
              <w:t>MERCK &amp; CO., INC.</w:t>
            </w:r>
          </w:p>
        </w:tc>
        <w:tc>
          <w:tcPr>
            <w:tcW w:w="40" w:type="dxa"/>
            <w:vAlign w:val="bottom"/>
          </w:tcPr>
          <w:p>
            <w:pPr>
              <w:spacing w:after="0"/>
              <w:rPr>
                <w:sz w:val="24"/>
                <w:szCs w:val="24"/>
                <w:color w:val="auto"/>
              </w:rPr>
            </w:pPr>
          </w:p>
        </w:tc>
      </w:tr>
      <w:tr>
        <w:trPr>
          <w:trHeight w:val="456"/>
        </w:trPr>
        <w:tc>
          <w:tcPr>
            <w:tcW w:w="6820" w:type="dxa"/>
            <w:vAlign w:val="bottom"/>
          </w:tcPr>
          <w:p>
            <w:pPr>
              <w:ind w:left="6020"/>
              <w:spacing w:after="0"/>
              <w:rPr>
                <w:sz w:val="20"/>
                <w:szCs w:val="20"/>
                <w:color w:val="auto"/>
              </w:rPr>
            </w:pPr>
            <w:r>
              <w:rPr>
                <w:rFonts w:ascii="Arial" w:cs="Arial" w:eastAsia="Arial" w:hAnsi="Arial"/>
                <w:sz w:val="19"/>
                <w:szCs w:val="19"/>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Faye C. Brown</w:t>
            </w:r>
          </w:p>
        </w:tc>
        <w:tc>
          <w:tcPr>
            <w:tcW w:w="40" w:type="dxa"/>
            <w:vAlign w:val="bottom"/>
          </w:tcPr>
          <w:p>
            <w:pPr>
              <w:spacing w:after="0"/>
              <w:rPr>
                <w:sz w:val="24"/>
                <w:szCs w:val="24"/>
                <w:color w:val="auto"/>
              </w:rPr>
            </w:pPr>
          </w:p>
        </w:tc>
      </w:tr>
      <w:tr>
        <w:trPr>
          <w:trHeight w:val="209"/>
        </w:trPr>
        <w:tc>
          <w:tcPr>
            <w:tcW w:w="6820" w:type="dxa"/>
            <w:vAlign w:val="bottom"/>
          </w:tcPr>
          <w:p>
            <w:pPr>
              <w:ind w:left="6020"/>
              <w:spacing w:after="0" w:line="209" w:lineRule="exact"/>
              <w:rPr>
                <w:sz w:val="20"/>
                <w:szCs w:val="20"/>
                <w:color w:val="auto"/>
              </w:rPr>
            </w:pPr>
            <w:r>
              <w:rPr>
                <w:rFonts w:ascii="Arial" w:cs="Arial" w:eastAsia="Arial" w:hAnsi="Arial"/>
                <w:sz w:val="19"/>
                <w:szCs w:val="19"/>
                <w:color w:val="auto"/>
              </w:rPr>
              <w:t>Name:</w:t>
            </w:r>
          </w:p>
        </w:tc>
        <w:tc>
          <w:tcPr>
            <w:tcW w:w="5180" w:type="dxa"/>
            <w:vAlign w:val="bottom"/>
          </w:tcPr>
          <w:p>
            <w:pPr>
              <w:spacing w:after="0" w:line="209" w:lineRule="exact"/>
              <w:rPr>
                <w:sz w:val="20"/>
                <w:szCs w:val="20"/>
                <w:color w:val="auto"/>
              </w:rPr>
            </w:pPr>
            <w:r>
              <w:rPr>
                <w:rFonts w:ascii="Arial" w:cs="Arial" w:eastAsia="Arial" w:hAnsi="Arial"/>
                <w:sz w:val="19"/>
                <w:szCs w:val="19"/>
                <w:color w:val="auto"/>
              </w:rPr>
              <w:t>Faye C. Brown</w:t>
            </w:r>
          </w:p>
        </w:tc>
        <w:tc>
          <w:tcPr>
            <w:tcW w:w="40" w:type="dxa"/>
            <w:vAlign w:val="bottom"/>
          </w:tcPr>
          <w:p>
            <w:pPr>
              <w:spacing w:after="0"/>
              <w:rPr>
                <w:sz w:val="18"/>
                <w:szCs w:val="18"/>
                <w:color w:val="auto"/>
              </w:rPr>
            </w:pPr>
          </w:p>
        </w:tc>
      </w:tr>
      <w:tr>
        <w:trPr>
          <w:trHeight w:val="241"/>
        </w:trPr>
        <w:tc>
          <w:tcPr>
            <w:tcW w:w="6820" w:type="dxa"/>
            <w:vAlign w:val="bottom"/>
          </w:tcPr>
          <w:p>
            <w:pPr>
              <w:ind w:left="6020"/>
              <w:spacing w:after="0"/>
              <w:rPr>
                <w:sz w:val="20"/>
                <w:szCs w:val="20"/>
                <w:color w:val="auto"/>
              </w:rPr>
            </w:pPr>
            <w:r>
              <w:rPr>
                <w:rFonts w:ascii="Arial" w:cs="Arial" w:eastAsia="Arial" w:hAnsi="Arial"/>
                <w:sz w:val="19"/>
                <w:szCs w:val="19"/>
                <w:color w:val="auto"/>
              </w:rPr>
              <w:t>Title:</w:t>
            </w:r>
          </w:p>
        </w:tc>
        <w:tc>
          <w:tcPr>
            <w:tcW w:w="5180" w:type="dxa"/>
            <w:vAlign w:val="bottom"/>
          </w:tcPr>
          <w:p>
            <w:pPr>
              <w:spacing w:after="0"/>
              <w:rPr>
                <w:sz w:val="20"/>
                <w:szCs w:val="20"/>
                <w:color w:val="auto"/>
              </w:rPr>
            </w:pPr>
            <w:r>
              <w:rPr>
                <w:rFonts w:ascii="Arial" w:cs="Arial" w:eastAsia="Arial" w:hAnsi="Arial"/>
                <w:sz w:val="19"/>
                <w:szCs w:val="19"/>
                <w:color w:val="auto"/>
              </w:rPr>
              <w:t>Senior Assistant Secretary</w:t>
            </w:r>
          </w:p>
        </w:tc>
        <w:tc>
          <w:tcPr>
            <w:tcW w:w="40" w:type="dxa"/>
            <w:vAlign w:val="bottom"/>
          </w:tcPr>
          <w:p>
            <w:pPr>
              <w:spacing w:after="0"/>
              <w:rPr>
                <w:sz w:val="20"/>
                <w:szCs w:val="20"/>
                <w:color w:val="auto"/>
              </w:rPr>
            </w:pPr>
          </w:p>
        </w:tc>
      </w:tr>
      <w:tr>
        <w:trPr>
          <w:trHeight w:val="456"/>
        </w:trPr>
        <w:tc>
          <w:tcPr>
            <w:tcW w:w="6820" w:type="dxa"/>
            <w:vAlign w:val="bottom"/>
          </w:tcPr>
          <w:p>
            <w:pPr>
              <w:ind w:left="5960"/>
              <w:spacing w:after="0"/>
              <w:rPr>
                <w:sz w:val="20"/>
                <w:szCs w:val="20"/>
                <w:color w:val="auto"/>
              </w:rPr>
            </w:pPr>
            <w:r>
              <w:rPr>
                <w:rFonts w:ascii="Arial" w:cs="Arial" w:eastAsia="Arial" w:hAnsi="Arial"/>
                <w:sz w:val="19"/>
                <w:szCs w:val="19"/>
                <w:color w:val="auto"/>
              </w:rPr>
              <w:t>7</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1"/>
        </w:trPr>
        <w:tc>
          <w:tcPr>
            <w:tcW w:w="6820" w:type="dxa"/>
            <w:vAlign w:val="bottom"/>
            <w:tcBorders>
              <w:bottom w:val="single" w:sz="8" w:color="808080"/>
            </w:tcBorders>
          </w:tcPr>
          <w:p>
            <w:pPr>
              <w:spacing w:after="0"/>
              <w:rPr>
                <w:sz w:val="12"/>
                <w:szCs w:val="12"/>
                <w:color w:val="auto"/>
              </w:rPr>
            </w:pPr>
          </w:p>
        </w:tc>
        <w:tc>
          <w:tcPr>
            <w:tcW w:w="51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sectPr>
      <w:pgSz w:w="12240" w:h="15840" w:orient="portrait"/>
      <w:cols w:equalWidth="0" w:num="1">
        <w:col w:w="12040"/>
      </w:cols>
      <w:pgMar w:left="120" w:top="264" w:right="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lvl w:ilvl="1">
      <w:lvlJc w:val="left"/>
      <w:lvlText w:val="(%2)"/>
      <w:numFmt w:val="lowerLetter"/>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4"/>
      <w:numFmt w:val="bullet"/>
      <w:start w:val="1"/>
    </w:lvl>
  </w:abstractNum>
  <w:abstractNum w:abstractNumId="5">
    <w:nsid w:val="6B68079A"/>
    <w:multiLevelType w:val="hybridMultilevel"/>
    <w:lvl w:ilvl="0">
      <w:lvlJc w:val="left"/>
      <w:lvlText w:val="9"/>
      <w:numFmt w:val="bullet"/>
      <w:start w:val="1"/>
    </w:lvl>
  </w:abstractNum>
  <w:abstractNum w:abstractNumId="6">
    <w:nsid w:val="4E6AFB66"/>
    <w:multiLevelType w:val="hybridMultilevel"/>
    <w:lvl w:ilvl="0">
      <w:lvlJc w:val="left"/>
      <w:lvlText w:val="*"/>
      <w:numFmt w:val="bullet"/>
      <w:start w:val="1"/>
    </w:lvl>
    <w:lvl w:ilvl="1">
      <w:lvlJc w:val="left"/>
      <w:lvlText w:val="%2"/>
      <w:numFmt w:val="decimal"/>
      <w:start w:val="10"/>
    </w:lvl>
  </w:abstractNum>
  <w:abstractNum w:abstractNumId="7">
    <w:nsid w:val="25E45D32"/>
    <w:multiLevelType w:val="hybridMultilevel"/>
    <w:lvl w:ilvl="0">
      <w:lvlJc w:val="left"/>
      <w:lvlText w:val="1"/>
      <w:numFmt w:val="bullet"/>
      <w:start w:val="1"/>
    </w:lvl>
  </w:abstractNum>
  <w:abstractNum w:abstractNumId="8">
    <w:nsid w:val="519B500D"/>
    <w:multiLevelType w:val="hybridMultilevel"/>
    <w:lvl w:ilvl="0">
      <w:lvlJc w:val="left"/>
      <w:lvlText w:val="2"/>
      <w:numFmt w:val="bullet"/>
      <w:start w:val="1"/>
    </w:lvl>
    <w:lvl w:ilvl="1">
      <w:lvlJc w:val="left"/>
      <w:lvlText w:val="(%2)"/>
      <w:numFmt w:val="lowerLetter"/>
      <w:start w:val="1"/>
    </w:lvl>
  </w:abstractNum>
  <w:abstractNum w:abstractNumId="9">
    <w:nsid w:val="431BD7B7"/>
    <w:multiLevelType w:val="hybridMultilevel"/>
    <w:lvl w:ilvl="0">
      <w:lvlJc w:val="left"/>
      <w:lvlText w:val="3"/>
      <w:numFmt w:val="bullet"/>
      <w:start w:val="1"/>
    </w:lvl>
  </w:abstractNum>
  <w:abstractNum w:abstractNumId="10">
    <w:nsid w:val="3F2DBA31"/>
    <w:multiLevelType w:val="hybridMultilevel"/>
    <w:lvl w:ilvl="0">
      <w:lvlJc w:val="left"/>
      <w:lvlText w:val="4"/>
      <w:numFmt w:val="bullet"/>
      <w:start w:val="1"/>
    </w:lvl>
  </w:abstractNum>
  <w:abstractNum w:abstractNumId="11">
    <w:nsid w:val="7C83E458"/>
    <w:multiLevelType w:val="hybridMultilevel"/>
    <w:lvl w:ilvl="0">
      <w:lvlJc w:val="left"/>
      <w:lvlText w:val="9"/>
      <w:numFmt w:val="bullet"/>
      <w:start w:val="1"/>
    </w:lvl>
  </w:abstractNum>
  <w:abstractNum w:abstractNumId="12">
    <w:nsid w:val="257130A3"/>
    <w:multiLevelType w:val="hybridMultilevel"/>
    <w:lvl w:ilvl="0">
      <w:lvlJc w:val="left"/>
      <w:lvlText w:val="*"/>
      <w:numFmt w:val="bullet"/>
      <w:start w:val="1"/>
    </w:lvl>
    <w:lvl w:ilvl="1">
      <w:lvlJc w:val="left"/>
      <w:lvlText w:val="%2"/>
      <w:numFmt w:val="decimal"/>
      <w:start w:val="10"/>
    </w:lvl>
  </w:abstractNum>
  <w:abstractNum w:abstractNumId="13">
    <w:nsid w:val="62BBD95A"/>
    <w:multiLevelType w:val="hybridMultilevel"/>
    <w:lvl w:ilvl="0">
      <w:lvlJc w:val="left"/>
      <w:lvlText w:val="1"/>
      <w:numFmt w:val="bullet"/>
      <w:start w:val="1"/>
    </w:lvl>
  </w:abstractNum>
  <w:abstractNum w:abstractNumId="14">
    <w:nsid w:val="436C6125"/>
    <w:multiLevelType w:val="hybridMultilevel"/>
    <w:lvl w:ilvl="0">
      <w:lvlJc w:val="left"/>
      <w:lvlText w:val="2"/>
      <w:numFmt w:val="bullet"/>
      <w:start w:val="1"/>
    </w:lvl>
    <w:lvl w:ilvl="1">
      <w:lvlJc w:val="left"/>
      <w:lvlText w:val="(%2)"/>
      <w:numFmt w:val="lowerLetter"/>
      <w:start w:val="1"/>
    </w:lvl>
  </w:abstractNum>
  <w:abstractNum w:abstractNumId="15">
    <w:nsid w:val="628C895D"/>
    <w:multiLevelType w:val="hybridMultilevel"/>
    <w:lvl w:ilvl="0">
      <w:lvlJc w:val="left"/>
      <w:lvlText w:val="3"/>
      <w:numFmt w:val="bullet"/>
      <w:start w:val="1"/>
    </w:lvl>
  </w:abstractNum>
  <w:abstractNum w:abstractNumId="16">
    <w:nsid w:val="333AB105"/>
    <w:multiLevelType w:val="hybridMultilevel"/>
    <w:lvl w:ilvl="0">
      <w:lvlJc w:val="left"/>
      <w:lvlText w:val="4"/>
      <w:numFmt w:val="bullet"/>
      <w:start w:val="1"/>
    </w:lvl>
  </w:abstractNum>
  <w:abstractNum w:abstractNumId="17">
    <w:nsid w:val="721DA317"/>
    <w:multiLevelType w:val="hybridMultilevel"/>
    <w:lvl w:ilvl="0">
      <w:lvlJc w:val="left"/>
      <w:lvlText w:val="9"/>
      <w:numFmt w:val="bullet"/>
      <w:start w:val="1"/>
    </w:lvl>
  </w:abstractNum>
  <w:abstractNum w:abstractNumId="18">
    <w:nsid w:val="2443A858"/>
    <w:multiLevelType w:val="hybridMultilevel"/>
    <w:lvl w:ilvl="0">
      <w:lvlJc w:val="left"/>
      <w:lvlText w:val="*"/>
      <w:numFmt w:val="bullet"/>
      <w:start w:val="1"/>
    </w:lvl>
    <w:lvl w:ilvl="1">
      <w:lvlJc w:val="left"/>
      <w:lvlText w:val="%2"/>
      <w:numFmt w:val="decimal"/>
      <w:start w:val="10"/>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lvl w:ilvl="1">
      <w:lvlJc w:val="left"/>
      <w:lvlText w:val="(%2)"/>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lowerRoman"/>
      <w:start w:val="2"/>
    </w:lvl>
  </w:abstractNum>
  <w:abstractNum w:abstractNumId="25">
    <w:nsid w:val="B03E0C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2019-12-15T18:20:30Z</dcterms:created>
  <dcterms:modified xsi:type="dcterms:W3CDTF">2019-12-15T18:20:30Z</dcterms:modified>
</cp:coreProperties>
</file>