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ec-20260630.htm"/>
      <w:bookmarkStart w:id="1" w:name="ksalec20260630"/>
      <w:bookmarkEnd w:id="0"/>
      <w:bookmarkEnd w:id="1"/>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4"/>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4"/>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Washington, D.C. 20549</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34"/>
        </w:rPr>
      </w:pPr>
      <w:r>
        <w:rPr>
          <w:rFonts w:ascii="Times New Roman" w:hAnsi="Times New Roman"/>
          <w:b/>
          <w:color w:val="000000"/>
          <w:sz w:val="34"/>
        </w:rPr>
        <w:t>FORM 10-Q</w:t>
      </w:r>
    </w:p>
    <w:p>
      <w:pPr>
        <w:pStyle w:val="TextBody"/>
        <w:pBdr>
          <w:bottom w:val="single" w:sz="8" w:space="1" w:color="000000"/>
        </w:pBdr>
        <w:bidi w:val="0"/>
        <w:jc w:val="left"/>
        <w:rPr/>
      </w:pPr>
      <w:r>
        <w:rPr/>
        <w:t> </w:t>
      </w:r>
    </w:p>
    <w:p>
      <w:pPr>
        <w:pStyle w:val="TextBody"/>
        <w:bidi w:val="0"/>
        <w:spacing w:before="6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4"/>
        </w:rPr>
        <w:t>QUARTERLY REPORT PURSUANT TO SECTION 13 OR 15(d) OF THE SECURITIES EXCHANGE ACT OF 1934</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8"/>
        </w:rPr>
        <w:t>For the quarterly period ended</w:t>
      </w:r>
      <w:r>
        <w:rPr>
          <w:rFonts w:ascii="Times New Roman" w:hAnsi="Times New Roman"/>
          <w:color w:val="000000"/>
          <w:sz w:val="20"/>
        </w:rPr>
        <w:t xml:space="preserve"> </w:t>
      </w:r>
      <w:r>
        <w:rPr>
          <w:rFonts w:ascii="Times New Roman" w:hAnsi="Times New Roman"/>
          <w:b/>
          <w:color w:val="000000"/>
          <w:sz w:val="18"/>
        </w:rPr>
        <w:t>June 30, 2026</w:t>
      </w:r>
    </w:p>
    <w:p>
      <w:pPr>
        <w:pStyle w:val="TextBody"/>
        <w:bidi w:val="0"/>
        <w:spacing w:before="60" w:after="283"/>
        <w:jc w:val="center"/>
        <w:rPr>
          <w:rFonts w:ascii="Times New Roman" w:hAnsi="Times New Roman"/>
          <w:sz w:val="20"/>
        </w:rPr>
      </w:pPr>
      <w:r>
        <w:rPr>
          <w:rFonts w:ascii="Times New Roman" w:hAnsi="Times New Roman"/>
          <w:b/>
          <w:color w:val="000000"/>
          <w:sz w:val="19"/>
        </w:rPr>
        <w:t>OR</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4"/>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FOR THE TRANSITION PERIOD FROM TO</w:t>
      </w:r>
    </w:p>
    <w:p>
      <w:pPr>
        <w:pStyle w:val="TextBody"/>
        <w:bidi w:val="0"/>
        <w:spacing w:before="60" w:after="283"/>
        <w:jc w:val="center"/>
        <w:rPr>
          <w:rFonts w:ascii="Times New Roman" w:hAnsi="Times New Roman"/>
          <w:sz w:val="20"/>
        </w:rPr>
      </w:pPr>
      <w:r>
        <w:rPr>
          <w:rFonts w:ascii="Times New Roman" w:hAnsi="Times New Roman"/>
          <w:b/>
          <w:color w:val="000000"/>
          <w:sz w:val="20"/>
        </w:rPr>
        <w:t>Commission File Number 001-38792</w:t>
      </w:r>
      <w:r>
        <w:rPr>
          <w:rFonts w:ascii="Times New Roman" w:hAnsi="Times New Roman"/>
          <w:color w:val="000000"/>
          <w:sz w:val="20"/>
        </w:rPr>
        <w:t xml:space="preserve"> </w:t>
      </w:r>
    </w:p>
    <w:p>
      <w:pPr>
        <w:pStyle w:val="TextBody"/>
        <w:pBdr>
          <w:bottom w:val="single" w:sz="4" w:space="1" w:color="000000"/>
        </w:pBdr>
        <w:bidi w:val="0"/>
        <w:spacing w:before="0" w:after="120"/>
        <w:jc w:val="center"/>
        <w:rPr/>
      </w:pPr>
      <w:r>
        <w:rPr/>
        <w:t> </w:t>
      </w:r>
    </w:p>
    <w:p>
      <w:pPr>
        <w:pStyle w:val="TextBody"/>
        <w:bidi w:val="0"/>
        <w:jc w:val="center"/>
        <w:rPr>
          <w:rFonts w:ascii="Times New Roman" w:hAnsi="Times New Roman"/>
          <w:b/>
          <w:color w:val="000000"/>
          <w:sz w:val="46"/>
        </w:rPr>
      </w:pPr>
      <w:r>
        <w:rPr>
          <w:rFonts w:ascii="Times New Roman" w:hAnsi="Times New Roman"/>
          <w:b/>
          <w:color w:val="000000"/>
          <w:sz w:val="46"/>
        </w:rPr>
        <w:t>Alector,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4" w:space="1" w:color="000000"/>
        </w:pBdr>
        <w:bidi w:val="0"/>
        <w:spacing w:before="0" w:after="120"/>
        <w:jc w:val="center"/>
        <w:rPr/>
      </w:pPr>
      <w:r>
        <w:rPr/>
        <w:t> </w:t>
      </w:r>
    </w:p>
    <w:p>
      <w:pPr>
        <w:pStyle w:val="TextBody"/>
        <w:bidi w:val="0"/>
        <w:jc w:val="left"/>
        <w:rPr/>
      </w:pPr>
      <w:r>
        <w:rPr/>
        <w:t> </w:t>
      </w:r>
    </w:p>
    <w:tbl>
      <w:tblPr>
        <w:tblW w:w="4783" w:type="dxa"/>
        <w:jc w:val="left"/>
        <w:tblInd w:w="0" w:type="dxa"/>
        <w:tblLayout w:type="fixed"/>
        <w:tblCellMar>
          <w:top w:w="28" w:type="dxa"/>
          <w:left w:w="28" w:type="dxa"/>
          <w:bottom w:w="28" w:type="dxa"/>
          <w:right w:w="28" w:type="dxa"/>
        </w:tblCellMar>
      </w:tblPr>
      <w:tblGrid>
        <w:gridCol w:w="3076"/>
        <w:gridCol w:w="146"/>
        <w:gridCol w:w="156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r>
      <w:tr>
        <w:trPr/>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82-2933343</w:t>
            </w:r>
          </w:p>
        </w:tc>
      </w:tr>
      <w:tr>
        <w:trPr/>
        <w:tc>
          <w:tcPr>
            <w:tcW w:w="307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(State or other jurisdiction of</w:t>
            </w:r>
          </w:p>
          <w:p>
            <w:pPr>
              <w:pStyle w:val="TableContents"/>
              <w:bidi w:val="0"/>
              <w:spacing w:before="0" w:after="15"/>
              <w:jc w:val="center"/>
              <w:rPr>
                <w:rFonts w:ascii="Times New Roman" w:hAnsi="Times New Roman"/>
                <w:b/>
                <w:color w:val="000000"/>
                <w:sz w:val="18"/>
              </w:rPr>
            </w:pPr>
            <w:r>
              <w:rPr>
                <w:rFonts w:ascii="Times New Roman" w:hAnsi="Times New Roman"/>
                <w:b/>
                <w:color w:val="000000"/>
                <w:sz w:val="18"/>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(I.R.S. Employer</w:t>
              <w:br/>
              <w:t>Identification No.)</w:t>
            </w:r>
          </w:p>
        </w:tc>
      </w:tr>
      <w:tr>
        <w:trPr/>
        <w:tc>
          <w:tcPr>
            <w:tcW w:w="3076" w:type="dxa"/>
            <w:tcBorders/>
            <w:tcMar>
              <w:top w:w="0" w:type="dxa"/>
              <w:left w:w="0" w:type="dxa"/>
              <w:bottom w:w="0" w:type="dxa"/>
              <w:right w:w="0" w:type="dxa"/>
            </w:tcMar>
            <w:vAlign w:val="center"/>
          </w:tcPr>
          <w:p>
            <w:pPr>
              <w:pStyle w:val="TableContents"/>
              <w:bidi w:val="0"/>
              <w:spacing w:before="60" w:after="283"/>
              <w:jc w:val="center"/>
              <w:rPr>
                <w:rFonts w:ascii="Times New Roman" w:hAnsi="Times New Roman"/>
                <w:b/>
                <w:color w:val="000000"/>
                <w:sz w:val="18"/>
              </w:rPr>
            </w:pPr>
            <w:r>
              <w:rPr>
                <w:rFonts w:ascii="Times New Roman" w:hAnsi="Times New Roman"/>
                <w:b/>
                <w:color w:val="000000"/>
                <w:sz w:val="18"/>
              </w:rPr>
              <w:t>131 Oyster Point Blvd, Suite 600</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South San Francisco, California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94080</w:t>
            </w:r>
          </w:p>
        </w:tc>
      </w:tr>
      <w:tr>
        <w:trPr/>
        <w:tc>
          <w:tcPr>
            <w:tcW w:w="3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(Zip Code)</w:t>
            </w:r>
          </w:p>
        </w:tc>
      </w:tr>
    </w:tbl>
    <w:p>
      <w:pPr>
        <w:pStyle w:val="TextBody"/>
        <w:bidi w:val="0"/>
        <w:spacing w:before="60" w:after="283"/>
        <w:jc w:val="center"/>
        <w:rPr>
          <w:rFonts w:ascii="Times New Roman" w:hAnsi="Times New Roman"/>
          <w:b/>
          <w:color w:val="000000"/>
          <w:sz w:val="18"/>
        </w:rPr>
      </w:pPr>
      <w:r>
        <w:rPr>
          <w:rFonts w:ascii="Times New Roman" w:hAnsi="Times New Roman"/>
          <w:b/>
          <w:color w:val="000000"/>
          <w:sz w:val="18"/>
        </w:rPr>
        <w:t>Registrant’s telephone number, including area code: 415-231-5660</w:t>
      </w:r>
    </w:p>
    <w:p>
      <w:pPr>
        <w:pStyle w:val="TextBody"/>
        <w:pBdr>
          <w:bottom w:val="single" w:sz="4" w:space="1" w:color="000000"/>
        </w:pBdr>
        <w:bidi w:val="0"/>
        <w:jc w:val="center"/>
        <w:rPr/>
      </w:pPr>
      <w:r>
        <w:rPr/>
        <w:t> </w:t>
      </w:r>
    </w:p>
    <w:p>
      <w:pPr>
        <w:pStyle w:val="TextBody"/>
        <w:bidi w:val="0"/>
        <w:spacing w:before="60" w:after="283"/>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Not applicable</w:t>
      </w:r>
    </w:p>
    <w:p>
      <w:pPr>
        <w:pStyle w:val="TextBody"/>
        <w:bidi w:val="0"/>
        <w:jc w:val="center"/>
        <w:rPr>
          <w:rFonts w:ascii="Times New Roman" w:hAnsi="Times New Roman"/>
          <w:color w:val="000000"/>
          <w:sz w:val="18"/>
        </w:rPr>
      </w:pPr>
      <w:r>
        <w:rPr>
          <w:rFonts w:ascii="Times New Roman" w:hAnsi="Times New Roman"/>
          <w:color w:val="000000"/>
          <w:sz w:val="18"/>
        </w:rPr>
        <w:t>(Former name, former address, and former fiscal year, if changed since last report)</w:t>
      </w:r>
    </w:p>
    <w:p>
      <w:pPr>
        <w:pStyle w:val="TextBody"/>
        <w:bidi w:val="0"/>
        <w:spacing w:before="80" w:after="80"/>
        <w:jc w:val="left"/>
        <w:rPr>
          <w:rFonts w:ascii="Times New Roman" w:hAnsi="Times New Roman"/>
          <w:color w:val="000000"/>
          <w:sz w:val="18"/>
        </w:rPr>
      </w:pPr>
      <w:r>
        <w:rPr>
          <w:rFonts w:ascii="Times New Roman" w:hAnsi="Times New Roman"/>
          <w:color w:val="000000"/>
          <w:sz w:val="18"/>
        </w:rPr>
        <w:t>Securities registered pursuant to Section 12(b) of the Exchange Act:</w:t>
      </w:r>
    </w:p>
    <w:tbl>
      <w:tblPr>
        <w:tblW w:w="5913" w:type="dxa"/>
        <w:jc w:val="left"/>
        <w:tblInd w:w="0" w:type="dxa"/>
        <w:tblLayout w:type="fixed"/>
        <w:tblCellMar>
          <w:top w:w="28" w:type="dxa"/>
          <w:left w:w="28" w:type="dxa"/>
          <w:bottom w:w="28" w:type="dxa"/>
          <w:right w:w="28" w:type="dxa"/>
        </w:tblCellMar>
      </w:tblPr>
      <w:tblGrid>
        <w:gridCol w:w="1381"/>
        <w:gridCol w:w="1261"/>
        <w:gridCol w:w="3271"/>
      </w:tblGrid>
      <w:tr>
        <w:trPr/>
        <w:tc>
          <w:tcPr>
            <w:tcW w:w="138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3271" w:type="dxa"/>
            <w:tcBorders/>
            <w:vAlign w:val="center"/>
          </w:tcPr>
          <w:p>
            <w:pPr>
              <w:pStyle w:val="TableContents"/>
              <w:bidi w:val="0"/>
              <w:spacing w:before="0" w:after="283"/>
              <w:jc w:val="left"/>
              <w:rPr>
                <w:sz w:val="4"/>
                <w:szCs w:val="4"/>
              </w:rPr>
            </w:pPr>
            <w:r>
              <w:rPr>
                <w:sz w:val="4"/>
                <w:szCs w:val="4"/>
              </w:rPr>
            </w:r>
          </w:p>
        </w:tc>
      </w:tr>
      <w:tr>
        <w:trPr/>
        <w:tc>
          <w:tcPr>
            <w:tcW w:w="13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Title of each class</w:t>
            </w:r>
          </w:p>
        </w:tc>
        <w:tc>
          <w:tcPr>
            <w:tcW w:w="126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Trading Symbol</w:t>
            </w:r>
          </w:p>
        </w:tc>
        <w:tc>
          <w:tcPr>
            <w:tcW w:w="327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Name of each exchange on which registered</w:t>
            </w:r>
          </w:p>
        </w:tc>
      </w:tr>
      <w:tr>
        <w:trPr/>
        <w:tc>
          <w:tcPr>
            <w:tcW w:w="138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Common Stock</w:t>
            </w:r>
          </w:p>
        </w:tc>
        <w:tc>
          <w:tcPr>
            <w:tcW w:w="1261" w:type="dxa"/>
            <w:tcBorders>
              <w:bottom w:val="single" w:sz="4" w:space="0" w:color="000000"/>
              <w:right w:val="single" w:sz="4" w:space="0" w:color="000000"/>
            </w:tcBorders>
            <w:tcMar>
              <w:top w:w="0" w:type="dxa"/>
              <w:left w:w="0"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ALEC</w:t>
            </w:r>
          </w:p>
        </w:tc>
        <w:tc>
          <w:tcPr>
            <w:tcW w:w="3271" w:type="dxa"/>
            <w:tcBorders>
              <w:bottom w:val="single" w:sz="4" w:space="0" w:color="000000"/>
              <w:right w:val="single" w:sz="4" w:space="0" w:color="000000"/>
            </w:tcBorders>
            <w:tcMar>
              <w:top w:w="0" w:type="dxa"/>
              <w:left w:w="0" w:type="dxa"/>
            </w:tcMar>
            <w:vAlign w:val="center"/>
          </w:tcPr>
          <w:p>
            <w:pPr>
              <w:pStyle w:val="TableContents"/>
              <w:bidi w:val="0"/>
              <w:jc w:val="center"/>
              <w:rPr>
                <w:rFonts w:ascii="Times New Roman" w:hAnsi="Times New Roman"/>
                <w:sz w:val="20"/>
              </w:rPr>
            </w:pPr>
            <w:r>
              <w:rPr>
                <w:rFonts w:ascii="Times New Roman" w:hAnsi="Times New Roman"/>
                <w:color w:val="000000"/>
                <w:sz w:val="16"/>
              </w:rPr>
              <w:t>The Nasdaq Stock Market LLC</w:t>
            </w:r>
            <w:r>
              <w:rPr>
                <w:rFonts w:ascii="Times New Roman" w:hAnsi="Times New Roman"/>
                <w:color w:val="000000"/>
                <w:sz w:val="20"/>
              </w:rPr>
              <w:t xml:space="preserve"> </w:t>
            </w:r>
          </w:p>
          <w:p>
            <w:pPr>
              <w:pStyle w:val="TableContents"/>
              <w:bidi w:val="0"/>
              <w:spacing w:before="0" w:after="44"/>
              <w:jc w:val="center"/>
              <w:rPr>
                <w:rFonts w:ascii="Times New Roman" w:hAnsi="Times New Roman"/>
                <w:color w:val="000000"/>
                <w:sz w:val="16"/>
              </w:rPr>
            </w:pPr>
            <w:r>
              <w:rPr>
                <w:rFonts w:ascii="Times New Roman" w:hAnsi="Times New Roman"/>
                <w:color w:val="000000"/>
                <w:sz w:val="16"/>
              </w:rPr>
              <w:t>(The Nasdaq Global Select Market)</w:t>
            </w:r>
          </w:p>
        </w:tc>
      </w:tr>
    </w:tbl>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905" w:type="dxa"/>
        <w:jc w:val="left"/>
        <w:tblInd w:w="0" w:type="dxa"/>
        <w:tblLayout w:type="fixed"/>
        <w:tblCellMar>
          <w:top w:w="28" w:type="dxa"/>
          <w:left w:w="28" w:type="dxa"/>
          <w:bottom w:w="28" w:type="dxa"/>
          <w:right w:w="28" w:type="dxa"/>
        </w:tblCellMar>
      </w:tblPr>
      <w:tblGrid>
        <w:gridCol w:w="2056"/>
        <w:gridCol w:w="316"/>
        <w:gridCol w:w="146"/>
        <w:gridCol w:w="202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8"/>
        </w:rPr>
        <w:t>As of July 31, 2026, the registrant had 111,656,919</w:t>
      </w:r>
      <w:r>
        <w:rPr>
          <w:rFonts w:ascii="Times New Roman" w:hAnsi="Times New Roman"/>
          <w:color w:val="000000"/>
          <w:sz w:val="20"/>
        </w:rPr>
        <w:t xml:space="preserve"> </w:t>
      </w:r>
      <w:r>
        <w:rPr>
          <w:rFonts w:ascii="Times New Roman" w:hAnsi="Times New Roman"/>
          <w:color w:val="000000"/>
          <w:sz w:val="18"/>
        </w:rPr>
        <w:t>shares of common stock, $0.0001 par value per share, outstanding.</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Alector, Inc.</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spacing w:before="320" w:after="283"/>
        <w:jc w:val="left"/>
        <w:rPr/>
      </w:pPr>
      <w:r>
        <w:rPr/>
        <w:t> </w:t>
      </w:r>
    </w:p>
    <w:tbl>
      <w:tblPr>
        <w:tblW w:w="8900" w:type="dxa"/>
        <w:jc w:val="left"/>
        <w:tblInd w:w="0" w:type="dxa"/>
        <w:tblLayout w:type="fixed"/>
        <w:tblCellMar>
          <w:top w:w="28" w:type="dxa"/>
          <w:left w:w="28" w:type="dxa"/>
          <w:bottom w:w="28" w:type="dxa"/>
          <w:right w:w="28" w:type="dxa"/>
        </w:tblCellMar>
      </w:tblPr>
      <w:tblGrid>
        <w:gridCol w:w="886"/>
        <w:gridCol w:w="7366"/>
        <w:gridCol w:w="648"/>
      </w:tblGrid>
      <w:tr>
        <w:trPr/>
        <w:tc>
          <w:tcPr>
            <w:tcW w:w="886"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00"/>
                  <w:sz w:val="20"/>
                </w:rPr>
                <w:t>FINANCIAL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00"/>
                  <w:sz w:val="20"/>
                </w:rPr>
                <w:t>Financial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balance_sheets">
              <w:r>
                <w:rPr>
                  <w:rStyle w:val="InternetLink"/>
                  <w:rFonts w:ascii="Times New Roman" w:hAnsi="Times New Roman"/>
                  <w:color w:val="000000"/>
                  <w:sz w:val="20"/>
                </w:rPr>
                <w:t>Condensed Consolidated Balance Sheets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erations_compr">
              <w:r>
                <w:rPr>
                  <w:rStyle w:val="InternetLink"/>
                  <w:rFonts w:ascii="Times New Roman" w:hAnsi="Times New Roman"/>
                  <w:color w:val="000000"/>
                  <w:sz w:val="20"/>
                </w:rPr>
                <w:t>Condensed Consolidated Statements of Operations and Comprehensive Loss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stockholder_equity">
              <w:r>
                <w:rPr>
                  <w:rStyle w:val="InternetLink"/>
                  <w:rFonts w:ascii="Times New Roman" w:hAnsi="Times New Roman"/>
                  <w:color w:val="000080"/>
                  <w:sz w:val="20"/>
                </w:rPr>
                <w:t>Condensed Consolidated Statements of Stockholders’ Equity</w:t>
              </w:r>
            </w:hyperlink>
            <w:r>
              <w:rPr>
                <w:rFonts w:ascii="Times New Roman" w:hAnsi="Times New Roman"/>
                <w:color w:val="000000"/>
                <w:sz w:val="20"/>
              </w:rPr>
              <w:t> (Deficit)</w:t>
            </w:r>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densed_consolidated_statements_cash_f">
              <w:r>
                <w:rPr>
                  <w:rStyle w:val="InternetLink"/>
                  <w:rFonts w:ascii="Times New Roman" w:hAnsi="Times New Roman"/>
                  <w:color w:val="000000"/>
                  <w:sz w:val="20"/>
                </w:rPr>
                <w:t>Condensed Consolidated Statements of Cash Flows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_consolidate">
              <w:r>
                <w:rPr>
                  <w:rStyle w:val="InternetLink"/>
                  <w:rFonts w:ascii="Times New Roman" w:hAnsi="Times New Roman"/>
                  <w:color w:val="000000"/>
                  <w:sz w:val="20"/>
                </w:rPr>
                <w:t>Notes to Condensed Consolidated Financial Statements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00"/>
                  <w:sz w:val="20"/>
                </w:rPr>
                <w:t>Management’s Discussion and Analysis of Financial Condition and Results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00"/>
                  <w:sz w:val="20"/>
                </w:rPr>
                <w:t>Quantitative and Qualitative Disclosures About Market Risk</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00"/>
                  <w:sz w:val="20"/>
                </w:rPr>
                <w:t>Controls and Procedures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00000"/>
                  <w:sz w:val="20"/>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00"/>
                  <w:sz w:val="20"/>
                </w:rPr>
                <w:t>Legal Proceedings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00"/>
                  <w:sz w:val="20"/>
                </w:rPr>
                <w:t>Risk Factors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
              <w:r>
                <w:rPr>
                  <w:rStyle w:val="InternetLink"/>
                  <w:rFonts w:ascii="Times New Roman" w:hAnsi="Times New Roman"/>
                  <w:color w:val="000000"/>
                  <w:sz w:val="20"/>
                </w:rPr>
                <w:t>Unregistered Sales of Equity Securities and Use of Proceeds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
              <w:r>
                <w:rPr>
                  <w:rStyle w:val="InternetLink"/>
                  <w:rFonts w:ascii="Times New Roman" w:hAnsi="Times New Roman"/>
                  <w:color w:val="000000"/>
                  <w:sz w:val="20"/>
                </w:rPr>
                <w:t>Defaults Upon Senior Securities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
              <w:r>
                <w:rPr>
                  <w:rStyle w:val="InternetLink"/>
                  <w:rFonts w:ascii="Times New Roman" w:hAnsi="Times New Roman"/>
                  <w:color w:val="000000"/>
                  <w:sz w:val="20"/>
                </w:rPr>
                <w:t>Mine Safety Disclosures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
              <w:r>
                <w:rPr>
                  <w:rStyle w:val="InternetLink"/>
                  <w:rFonts w:ascii="Times New Roman" w:hAnsi="Times New Roman"/>
                  <w:color w:val="000000"/>
                  <w:sz w:val="20"/>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00"/>
                  <w:sz w:val="20"/>
                </w:rPr>
                <w:t>Exhibits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00"/>
                  <w:sz w:val="20"/>
                </w:rPr>
                <w:t>Signatures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All statements other than statements of historical facts contained in this report, including statements regarding our future results of operations and financial position, business strategy, product candidates, plans for and results of our research, preclinical studies and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some cases, you can identify forward-looking statements by terms such as “may,” “will,” “should,” “would,” “expect,” “plan,” “anticipate,” “could,” “intend,” “target,” “project,” “contemplate,” “believe,” “estimate,” “predict,” “potential,” or “continue” or the negative of these terms or other similar expressions. Forward-looking statements contained in this report include, but are not limited to,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relating to the research, development, and manufacture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and timing for advancing research and pre-clinical stage programs into clinical development and our ability to execute on those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our clinical trials to demonstrate safety and efficacy of our product candidates, and other positive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beneficial characteristics, safety, efficacy, and therapeutic effects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expected potential benefits of strategic collaborations with third parties and our ability to attract collaborators with development, regulatory and commercialization expertise;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estimates of the number of patients in the United States, the European Union, and other regions who suffer from the diseases we are targeting and the number of patients that will enroll in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focus of our future clinical trials, and the reporting of data from those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relating to commercializing our product candidates, if approved, including our sales and marketing strategy and the regions and countries selected for commercialization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of the market opportunity for our product candidates in each of the diseases we are targeting;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expand our product candidates into additional indications and patient populations;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competing therapies that are or may become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capabilities of our product candidates and technologies relative to competing therapies and technologies that are or may become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or likelihood of regulatory filings and approvals, including our expectation to seek special designations, such as orphan drug designation, for our product candidates for various diseases;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regulatory approval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existing and potential future government actions, legislation, regulations, regulatory developments, and regulatory agency policies and procedures in the United States and other jurisdictions;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continued reliance on third parties to conduct clinical trials of our product candidates, and for the manufacture of our product candidates for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and ability to obtain or protect intellectual property rights, including extensions of existing patent terms where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anticipate our personnel needs and to attract and retain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accuracy of our estimates regarding expenses, future revenue, capital requirements, and additional financing needs;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performance, including potential volatility in our stock price;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worldwide economic conditions, including macroeconomic conditions, inflation, supply chain disruptions, trade tariffs, and economic impacts of pandemics or other public health outbreaks and geopolitical events, such as international conflict, on our business;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sufficiency of our existing cash, cash equivalents, and marketable securities to fund our future operating expenses and capital expenditure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report and are subject to a number of risks, uncertainties, and assumptions described in the section titled “Risk Factors” and elsewhere in this report.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Alector, Inc.</w:t>
      </w:r>
    </w:p>
    <w:p>
      <w:pPr>
        <w:pStyle w:val="TextBody"/>
        <w:bidi w:val="0"/>
        <w:spacing w:before="120" w:after="283"/>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spacing w:before="60" w:after="283"/>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spacing w:before="60" w:after="283"/>
        <w:jc w:val="center"/>
        <w:rPr>
          <w:rFonts w:ascii="Times New Roman" w:hAnsi="Times New Roman"/>
          <w:b/>
          <w:i/>
          <w:color w:val="000000"/>
          <w:sz w:val="20"/>
        </w:rPr>
      </w:pPr>
      <w:r>
        <w:rPr>
          <w:rFonts w:ascii="Times New Roman" w:hAnsi="Times New Roman"/>
          <w:b/>
          <w:i/>
          <w:color w:val="000000"/>
          <w:sz w:val="20"/>
        </w:rPr>
        <w:t>(In thousands, except share and per share data)</w:t>
      </w:r>
    </w:p>
    <w:tbl>
      <w:tblPr>
        <w:tblW w:w="9004" w:type="dxa"/>
        <w:jc w:val="left"/>
        <w:tblInd w:w="0" w:type="dxa"/>
        <w:tblLayout w:type="fixed"/>
        <w:tblCellMar>
          <w:top w:w="28" w:type="dxa"/>
          <w:left w:w="28" w:type="dxa"/>
          <w:bottom w:w="28" w:type="dxa"/>
          <w:right w:w="28" w:type="dxa"/>
        </w:tblCellMar>
      </w:tblPr>
      <w:tblGrid>
        <w:gridCol w:w="5611"/>
        <w:gridCol w:w="146"/>
        <w:gridCol w:w="211"/>
        <w:gridCol w:w="991"/>
        <w:gridCol w:w="166"/>
        <w:gridCol w:w="146"/>
        <w:gridCol w:w="211"/>
        <w:gridCol w:w="931"/>
        <w:gridCol w:w="591"/>
      </w:tblGrid>
      <w:tr>
        <w:trPr/>
        <w:tc>
          <w:tcPr>
            <w:tcW w:w="5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65,802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112,883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190,222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266,452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13,712</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293,237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clinical supply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Payable to collaboration partner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Refund liability to collaboration partner,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69,503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 long-term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164,537</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long-term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long-term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262,588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Common stock, $0.0001 par value; 200,000,000 shares authorized; </w:t>
              <w:br/>
              <w:t>   111,656,805 and 110,362,581 shares issued and outstanding as of</w:t>
              <w:br/>
              <w: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1,002,528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(1,017,976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(972,056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293,237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Alector, Inc.</w:t>
      </w:r>
    </w:p>
    <w:p>
      <w:pPr>
        <w:pStyle w:val="TextBody"/>
        <w:bidi w:val="0"/>
        <w:spacing w:before="120" w:after="283"/>
        <w:jc w:val="center"/>
        <w:rPr>
          <w:rFonts w:ascii="Times New Roman" w:hAnsi="Times New Roman"/>
          <w:b/>
          <w:color w:val="000000"/>
          <w:sz w:val="20"/>
        </w:rPr>
      </w:pPr>
      <w:bookmarkStart w:id="5" w:name="consolidated_statements_operations_compr"/>
      <w:bookmarkEnd w:id="5"/>
      <w:r>
        <w:rPr>
          <w:rFonts w:ascii="Times New Roman" w:hAnsi="Times New Roman"/>
          <w:b/>
          <w:color w:val="000000"/>
          <w:sz w:val="20"/>
        </w:rPr>
        <w:t>Condensed Consolidated Statements of Operations and Comprehensive Loss</w:t>
      </w:r>
    </w:p>
    <w:p>
      <w:pPr>
        <w:pStyle w:val="TextBody"/>
        <w:bidi w:val="0"/>
        <w:jc w:val="center"/>
        <w:rPr>
          <w:rFonts w:ascii="Times New Roman" w:hAnsi="Times New Roman"/>
          <w:sz w:val="20"/>
        </w:rPr>
      </w:pPr>
      <w:r>
        <w:rPr>
          <w:rFonts w:ascii="Times New Roman" w:hAnsi="Times New Roman"/>
          <w:b/>
          <w:i/>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0"/>
        </w:rPr>
        <w:t>(In thousands, except share and per share data)</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229"/>
        <w:gridCol w:w="146"/>
        <w:gridCol w:w="211"/>
        <w:gridCol w:w="1141"/>
        <w:gridCol w:w="166"/>
        <w:gridCol w:w="146"/>
        <w:gridCol w:w="211"/>
        <w:gridCol w:w="1141"/>
        <w:gridCol w:w="166"/>
        <w:gridCol w:w="146"/>
        <w:gridCol w:w="211"/>
        <w:gridCol w:w="1141"/>
        <w:gridCol w:w="166"/>
        <w:gridCol w:w="146"/>
        <w:gridCol w:w="211"/>
        <w:gridCol w:w="1036"/>
        <w:gridCol w:w="591"/>
      </w:tblGrid>
      <w:tr>
        <w:trPr/>
        <w:tc>
          <w:tcPr>
            <w:tcW w:w="32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2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61,252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2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229"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90,381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(78,833</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(70,995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(70,995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(71,160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Shares used in computing net loss per share, basic </w:t>
              <w:br/>
              <w:t>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111,224,116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100,371,632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110,908,937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99,887,605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Alector, Inc.</w:t>
      </w:r>
    </w:p>
    <w:p>
      <w:pPr>
        <w:pStyle w:val="TextBody"/>
        <w:bidi w:val="0"/>
        <w:spacing w:before="120" w:after="283"/>
        <w:jc w:val="center"/>
        <w:rPr>
          <w:rFonts w:ascii="Times New Roman" w:hAnsi="Times New Roman"/>
          <w:b/>
          <w:color w:val="000000"/>
          <w:sz w:val="20"/>
        </w:rPr>
      </w:pPr>
      <w:bookmarkStart w:id="6" w:name="condensed_stockholder_equity"/>
      <w:bookmarkEnd w:id="6"/>
      <w:r>
        <w:rPr>
          <w:rFonts w:ascii="Times New Roman" w:hAnsi="Times New Roman"/>
          <w:b/>
          <w:color w:val="000000"/>
          <w:sz w:val="20"/>
        </w:rPr>
        <w:t>Condensed Consolidated Statement of Stockholders’ Equity (Deficit)</w:t>
      </w:r>
    </w:p>
    <w:p>
      <w:pPr>
        <w:pStyle w:val="TextBody"/>
        <w:bidi w:val="0"/>
        <w:jc w:val="center"/>
        <w:rPr>
          <w:rFonts w:ascii="Times New Roman" w:hAnsi="Times New Roman"/>
          <w:sz w:val="20"/>
        </w:rPr>
      </w:pPr>
      <w:r>
        <w:rPr>
          <w:rFonts w:ascii="Times New Roman" w:hAnsi="Times New Roman"/>
          <w:b/>
          <w:i/>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0"/>
        </w:rPr>
        <w:t>(In thousands, except share data)</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479"/>
        <w:gridCol w:w="146"/>
        <w:gridCol w:w="146"/>
        <w:gridCol w:w="1141"/>
        <w:gridCol w:w="146"/>
        <w:gridCol w:w="146"/>
        <w:gridCol w:w="261"/>
        <w:gridCol w:w="430"/>
        <w:gridCol w:w="146"/>
        <w:gridCol w:w="146"/>
        <w:gridCol w:w="211"/>
        <w:gridCol w:w="931"/>
        <w:gridCol w:w="146"/>
        <w:gridCol w:w="146"/>
        <w:gridCol w:w="468"/>
        <w:gridCol w:w="759"/>
        <w:gridCol w:w="166"/>
        <w:gridCol w:w="146"/>
        <w:gridCol w:w="211"/>
        <w:gridCol w:w="994"/>
        <w:gridCol w:w="166"/>
        <w:gridCol w:w="146"/>
        <w:gridCol w:w="248"/>
        <w:gridCol w:w="866"/>
        <w:gridCol w:w="414"/>
      </w:tblGrid>
      <w:tr>
        <w:trPr/>
        <w:tc>
          <w:tcPr>
            <w:tcW w:w="14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14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 Equity (Deficit)</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110,362,581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1,002,528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(972,056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30,649</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marketable</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(22,930</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111,025,187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1,005,461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(994,986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10,382</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7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Purchase of common stock under </w:t>
              <w:br/>
              <w:t>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4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marketable</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(22,990</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Balance —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111,656,805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1,008,121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(1,017,976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(9,970</w:t>
            </w:r>
          </w:p>
        </w:tc>
        <w:tc>
          <w:tcPr>
            <w:tcW w:w="4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Alector, Inc.</w:t>
      </w:r>
    </w:p>
    <w:p>
      <w:pPr>
        <w:pStyle w:val="TextBody"/>
        <w:bidi w:val="0"/>
        <w:spacing w:before="120" w:after="283"/>
        <w:jc w:val="center"/>
        <w:rPr>
          <w:rFonts w:ascii="Times New Roman" w:hAnsi="Times New Roman"/>
          <w:sz w:val="20"/>
        </w:rPr>
      </w:pPr>
      <w:r>
        <w:rPr>
          <w:rFonts w:ascii="Times New Roman" w:hAnsi="Times New Roman"/>
          <w:b/>
          <w:color w:val="000000"/>
          <w:sz w:val="20"/>
        </w:rPr>
        <w:t>Condensed Consolidated Statement of 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0"/>
        </w:rPr>
        <w:t>(Unaudited)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0"/>
        </w:rPr>
        <w:t>(In thousands, except share data)</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583"/>
        <w:gridCol w:w="146"/>
        <w:gridCol w:w="146"/>
        <w:gridCol w:w="1141"/>
        <w:gridCol w:w="146"/>
        <w:gridCol w:w="146"/>
        <w:gridCol w:w="261"/>
        <w:gridCol w:w="430"/>
        <w:gridCol w:w="146"/>
        <w:gridCol w:w="146"/>
        <w:gridCol w:w="218"/>
        <w:gridCol w:w="808"/>
        <w:gridCol w:w="146"/>
        <w:gridCol w:w="146"/>
        <w:gridCol w:w="527"/>
        <w:gridCol w:w="769"/>
        <w:gridCol w:w="166"/>
        <w:gridCol w:w="146"/>
        <w:gridCol w:w="219"/>
        <w:gridCol w:w="873"/>
        <w:gridCol w:w="166"/>
        <w:gridCol w:w="146"/>
        <w:gridCol w:w="248"/>
        <w:gridCol w:w="921"/>
        <w:gridCol w:w="415"/>
      </w:tblGrid>
      <w:tr>
        <w:trPr/>
        <w:tc>
          <w:tcPr>
            <w:tcW w:w="15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 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 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Stockholders’ Equity</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99,085,888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(829,127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126,800</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906,712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8,351</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marketable</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(40,471</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99,992,600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964,008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(869,598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94,610</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Purchase of common stock under </w:t>
              <w:br/>
              <w:t>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41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7,062</w:t>
            </w:r>
          </w:p>
        </w:tc>
        <w:tc>
          <w:tcPr>
            <w:tcW w:w="41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marketable</w:t>
              <w:br/>
              <w: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(30,524</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101,212,329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971,192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(900,122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71,175</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Alector, Inc.</w:t>
      </w:r>
    </w:p>
    <w:p>
      <w:pPr>
        <w:pStyle w:val="TextBody"/>
        <w:bidi w:val="0"/>
        <w:spacing w:before="120" w:after="283"/>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jc w:val="center"/>
        <w:rPr>
          <w:rFonts w:ascii="Times New Roman" w:hAnsi="Times New Roman"/>
          <w:sz w:val="20"/>
        </w:rPr>
      </w:pPr>
      <w:r>
        <w:rPr>
          <w:rFonts w:ascii="Times New Roman" w:hAnsi="Times New Roman"/>
          <w:b/>
          <w:i/>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8904" w:type="dxa"/>
        <w:jc w:val="left"/>
        <w:tblInd w:w="0" w:type="dxa"/>
        <w:tblLayout w:type="fixed"/>
        <w:tblCellMar>
          <w:top w:w="28" w:type="dxa"/>
          <w:left w:w="28" w:type="dxa"/>
          <w:bottom w:w="28" w:type="dxa"/>
          <w:right w:w="28" w:type="dxa"/>
        </w:tblCellMar>
      </w:tblPr>
      <w:tblGrid>
        <w:gridCol w:w="5611"/>
        <w:gridCol w:w="146"/>
        <w:gridCol w:w="211"/>
        <w:gridCol w:w="781"/>
        <w:gridCol w:w="166"/>
        <w:gridCol w:w="146"/>
        <w:gridCol w:w="211"/>
        <w:gridCol w:w="841"/>
        <w:gridCol w:w="791"/>
      </w:tblGrid>
      <w:tr>
        <w:trPr/>
        <w:tc>
          <w:tcPr>
            <w:tcW w:w="5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(70,995</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w:t>
              <w:br/>
              <w:t>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3,313</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premiums and accretion of discounts on</w:t>
              <w:br/>
              <w:t>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1,757</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debt discount and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Impairment of right-of-use assets and leasehold </w:t>
              <w:br/>
              <w:t>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liabilities and accrued clinical supply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Payable to collaboration partner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Refund liability to collaboration partner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(26,063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(109,829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(131,879</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250,385</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2,981</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121,457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exercise of options to purchase</w:t>
              <w:br/>
              <w:t>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 of common stock under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11,750</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34,867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46,617</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Alector, Inc.</w:t>
      </w:r>
    </w:p>
    <w:p>
      <w:pPr>
        <w:pStyle w:val="TextBody"/>
        <w:bidi w:val="0"/>
        <w:jc w:val="center"/>
        <w:rPr>
          <w:rFonts w:ascii="Times New Roman" w:hAnsi="Times New Roman"/>
          <w:b/>
          <w:color w:val="000000"/>
          <w:sz w:val="20"/>
        </w:rPr>
      </w:pPr>
      <w:bookmarkStart w:id="8" w:name="notes_to_unaudited_condensed_consolidate"/>
      <w:bookmarkEnd w:id="8"/>
      <w:r>
        <w:rPr>
          <w:rFonts w:ascii="Times New Roman" w:hAnsi="Times New Roman"/>
          <w:b/>
          <w:color w:val="000000"/>
          <w:sz w:val="20"/>
        </w:rPr>
        <w:t>Notes to Condensed Consolidated Financial Statements</w:t>
      </w:r>
    </w:p>
    <w:p>
      <w:pPr>
        <w:pStyle w:val="TextBody"/>
        <w:bidi w:val="0"/>
        <w:jc w:val="center"/>
        <w:rPr>
          <w:rFonts w:ascii="Times New Roman" w:hAnsi="Times New Roman"/>
          <w:b/>
          <w:i/>
          <w:color w:val="000000"/>
          <w:sz w:val="20"/>
        </w:rPr>
      </w:pPr>
      <w:r>
        <w:rPr>
          <w:rFonts w:ascii="Times New Roman" w:hAnsi="Times New Roman"/>
          <w:b/>
          <w:i/>
          <w:color w:val="000000"/>
          <w:sz w:val="20"/>
        </w:rPr>
        <w:t>(Unaudited)</w:t>
      </w:r>
    </w:p>
    <w:p>
      <w:pPr>
        <w:pStyle w:val="TextBody"/>
        <w:bidi w:val="0"/>
        <w:spacing w:before="240" w:after="283"/>
        <w:jc w:val="left"/>
        <w:rPr>
          <w:rFonts w:ascii="Times New Roman" w:hAnsi="Times New Roman"/>
          <w:sz w:val="20"/>
        </w:rPr>
      </w:pPr>
      <w:bookmarkStart w:id="9" w:name="notes_to_consolidated_financials"/>
      <w:bookmarkEnd w:id="9"/>
      <w:r>
        <w:rPr>
          <w:rFonts w:ascii="Times New Roman" w:hAnsi="Times New Roman"/>
          <w:b/>
          <w:color w:val="000000"/>
          <w:sz w:val="20"/>
        </w:rPr>
        <w:t>1. The Company and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Alector, Inc. (Alector or the Company) is a Delaware corporation headquartered in South San Francisco, California. Alector is a biotechnology company focused on developing therapies to counteract the devastating progression of neurodegeneration.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At-the-Market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7, 2023, the Company entered into an at-the-market sales agreement with TD Securities (USA) LLC, formerly known as Cowen and Company, LLC (TD Cowen), pursuant to which the Company may offer and sell from time to time through TD Cowen up to $125,000,000 of shares of its common stock, in such share amounts as the Company may specify by notice to TD Cowen (the 2023 Sales Agreement). As of June 30, 2026, the Company had issued an aggregate of 7,110,162 shares and received approximately $20.0 million in net proceeds under the 2023 Sales Agreement, all of which were issued during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7, 2026, the Company entered into an at-the-market sales agreement with TD Cowen, pursuant to which the Company may offer and sell from time to time through TD Cowen up to $125,000,000 of shares of its common stock, in such share amounts as the Company may specify by notice to TD Cowen (the 2026 Sales Agreement). Immediately prior to the effectiveness of the 2026 Sales Agreement, the Company and TD Cowen terminated the 2023 Sales Agreement. As of June 30, 2026, the Company had not issued any shares or received any proceeds from the sale of securities pursuant to the 2026 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did not issue any shares under either the 2023 Sales Agreement or the 2026 Sales Agreement during the three and six months ended June 30, 2026.</w:t>
      </w:r>
    </w:p>
    <w:p>
      <w:pPr>
        <w:pStyle w:val="TextBody"/>
        <w:bidi w:val="0"/>
        <w:spacing w:before="24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condensed consolidated financial statements have been prepared in conformity with generally accepted accounting principles in the United States (GAAP) as defined by the Financial Accounting Standards Board (FASB). In the opinion of management, these unaudited condensed consolidated financial statements include all normal, recurring adjustments that are necessary to present fairly the results of the interim periods presented. The condensed consolidated financial statements include the accounts of Alector, Inc. and its wholly owned subsidiaries. All intercompany balances and transactions have been eliminated in consolidation.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results of operations for the interim periods are not necessarily indicative of the results of operations to be expected for the full year. These interim financial statements should be read in conjunction with the audited financial statements as of and for the year ended December 31, 2025, and the notes thereto, which are included in the Company’s Annual Report on Form 10-K filed with the Securities and Exchange Commission (SEC) on February 25, 2026.</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sz w:val="20"/>
        </w:rPr>
      </w:pPr>
      <w:r>
        <w:rPr>
          <w:rFonts w:ascii="Times New Roman" w:hAnsi="Times New Roman"/>
          <w:color w:val="000000"/>
          <w:sz w:val="20"/>
        </w:rPr>
        <w:t>The preparation of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 during the reporting period. The Company evaluates its estimates, including those related to revenue recognition, manufacturing accruals, clinical accruals, fair value of assets and liabilities, income taxes uncertainties, stock-based compensation, and related assumptions on an ongoing basis using historical experience and other factors and adjusts those estimates and assumptions when facts and circumstances dictate. Actual results could materially differ from those estimates</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Concentration of 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significant concentrations of credit risk consist primarily of cash, cash equivalents, and short-term marketable securities. Cash and cash equivalents are deposited in checking and sweep accounts at financial institutions. Such deposits may, at times, exceed federally insured limits.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Cash, Cash Equivalents, and Restricted Cash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considers all highly liquid investments with original maturities of three months or less at the date of purchase to be cash and cash equivalents. Cash equivalents, which consist of amounts invested in money market funds, are stated at fair value.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cash of $1.5 million relates to a letter of credit established for a lease entered into in June 2018. Restricted cash of $0.3 million was held as collateral to secure the use of corporate cards under a cash pledge agreement entered into in December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reported within the condensed consolidated balance sheets that sum to the total of the same amounts shown in the condensed consolidated statements of cash flows:</w:t>
      </w:r>
    </w:p>
    <w:p>
      <w:pPr>
        <w:pStyle w:val="TextBody"/>
        <w:bidi w:val="0"/>
        <w:spacing w:before="120" w:after="283"/>
        <w:jc w:val="left"/>
        <w:rPr/>
      </w:pPr>
      <w:r>
        <w:rPr/>
        <w:t> </w:t>
      </w:r>
    </w:p>
    <w:tbl>
      <w:tblPr>
        <w:tblW w:w="6794" w:type="dxa"/>
        <w:jc w:val="left"/>
        <w:tblInd w:w="0" w:type="dxa"/>
        <w:tblLayout w:type="fixed"/>
        <w:tblCellMar>
          <w:top w:w="28" w:type="dxa"/>
          <w:left w:w="28" w:type="dxa"/>
          <w:bottom w:w="28" w:type="dxa"/>
          <w:right w:w="28" w:type="dxa"/>
        </w:tblCellMar>
      </w:tblPr>
      <w:tblGrid>
        <w:gridCol w:w="4191"/>
        <w:gridCol w:w="146"/>
        <w:gridCol w:w="211"/>
        <w:gridCol w:w="676"/>
        <w:gridCol w:w="146"/>
        <w:gridCol w:w="146"/>
        <w:gridCol w:w="211"/>
        <w:gridCol w:w="676"/>
        <w:gridCol w:w="391"/>
      </w:tblGrid>
      <w:tr>
        <w:trPr/>
        <w:tc>
          <w:tcPr>
            <w:tcW w:w="4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46,617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marketable securities have been classified as “available-for-sale” and are carried at fair value, based upon quoted market prices. The Company considers its available-for-sale portfolio as available for use in current operations. Accordingly, the Company may classify certain investments as short-term marketable securities, even though the stated maturity date may be one year or more beyond the current balance sheet date. For available-for-sale debt securities, unrealized gains, net of any related tax effects, are excluded from earnings and are included in other comprehensive income and reported as a separate component of stockholders’ equity (deficit) until realized. The Company assesses available-for-sale debt securities on a quarterly basis to see if any unrealized loss is due to credit-related factors. Factors considered in determining whether an impairment is credit-related include the extent to which the investment’s fair value is less than its cost basis, declines in published credit ratings, changes in interest rates, and any other adverse factors related to the security. If it is determined that a credit-related impairment exists, the Company will measure the credit loss based on a discounted cash flows model. Credit-related impairments on available-for-sale debt securities are recognized as an allowance for credit losses with a corresponding adjustment to other income, net in the Company’s consolidated statement of operations. The unrealized loss position that is not credit-related is recorded, net of any related tax effects, in other comprehensive income until realized. There were no credit-related losses recognized for the periods presented.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securities sold is based on the specific-identification method. The amortized cost of securities is adjusted for amortization of premiums and accretion of discounts to maturity. In accordance with our investment policy, management invests in money market funds, U.S. treasury securities, corporate bonds, certificates of deposit, and commercial paper. The Company has not experienced any losses on its deposits of cash, cash equivalents, and marketable securities.</w:t>
      </w:r>
    </w:p>
    <w:p>
      <w:pPr>
        <w:pStyle w:val="TextBody"/>
        <w:bidi w:val="0"/>
        <w:spacing w:before="240" w:after="283"/>
        <w:jc w:val="left"/>
        <w:rPr>
          <w:rFonts w:ascii="Times New Roman" w:hAnsi="Times New Roman"/>
          <w:sz w:val="20"/>
        </w:rPr>
      </w:pPr>
      <w:r>
        <w:rPr>
          <w:rFonts w:ascii="Times New Roman" w:hAnsi="Times New Roman"/>
          <w:b/>
          <w:i/>
          <w:color w:val="000000"/>
          <w:sz w:val="20"/>
        </w:rPr>
        <w:t>Fair Value of Financial Instruments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Company’s financial instruments include cash and cash equivalents, marketable securities, current and noncurrent prepaid expenses, accounts payable, payable to collaboration partner, and accrued liabilities. The Company's investments in marketable securities are measured at fair value. The Company’s other financial instruments approximate fair value due to their relatively short maturities.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investments in marketable securities, 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 </w:t>
      </w:r>
    </w:p>
    <w:p>
      <w:pPr>
        <w:pStyle w:val="TextBody"/>
        <w:bidi w:val="0"/>
        <w:spacing w:before="120" w:after="283"/>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 xml:space="preserve"> – Inputs are unadjusted, quoted prices in active markets for identical assets or liabilities at the measurement date;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 </w:t>
      </w:r>
    </w:p>
    <w:p>
      <w:pPr>
        <w:pStyle w:val="TextBody"/>
        <w:bidi w:val="0"/>
        <w:spacing w:before="120" w:after="283"/>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 Unobservable inputs that are significant to the measurement of the fair value of the assets or liabilities that are supported by little or no market data.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determines whether an arrangement is or contains a lease at the inception of the arrangement. Leases are recognized on the balance sheet as right-of-use assets and lease liabilities. Lease liabilities and their corresponding right-of-use assets are recorded based on the present value of lease payments over the expected lease term. The Company utilizes the appropriate incremental borrowing rate, which is the rate incurred to borrow on a collateralized basis over a similar term an amount equal to the lease payments in a similar economic environment. Certain adjustments to the right-of-use asset may be required for items such as initial direct costs paid or incentives received and any prepaid or accrued rent. Rent expense for the operating lease is recognized on a straight-line basis over the lease term and is included in operating expenses on the statements of operations and comprehensive loss. Variable lease payments include lease operating expenses.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excludes balance sheet recognition of operating leases having a term of 12 months or less (short-term leases) and does not separate lease components and non-lease components for its long-term leases.</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revenue when control of promised goods or services is transferred to customers in an amount that reflects the consideration that is expected to be received for those goods or services. In determining the appropriate amount of revenue to be recognized as the Company fulfills its obligations under contractual arrangements, the Company performs the following steps: (i) identify the contract(s) with a customer, (ii) identify the performance obligations in the contract, (iii) determine the transaction price, (iv) allocate the transaction price to the performance obligations in the contract, and (v) recognize revenue when (or as) the entity satisfies the performance obligation. If it is determined that multiple performance obligations exist, the transaction price is allocated at the inception of the agreement to all identified performance obligations based on the relative standalone selling price (SSP). The relative SSP for each performance obligation is estimated using externally sourced evidence if it is available. If externally sourced evidence is not available, the Company uses its best estimate of the SSP for the performance obligation.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collaboration revenue at a point in time if control of the promised good or service has been transferred to the customer. The Company recognizes collaboration revenue over time by measuring the progress toward complete satisfaction of the performance obligation using an input measure. In order to recognize revenue over the research and development period, the Company measures actual costs incurred to date compared to the overall total expected costs to satisfy the performance obligation. Revenues are recognized as the program costs are incurred. The Company re-evaluates the estimate of expected costs to satisfy the performance obligation each reporting period.</w:t>
      </w:r>
    </w:p>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Stock-based compensation is measured on the grant date based on the fair value of the awards. The fair value of options to purchase common stock is measured using the Black-Scholes option-pricing model. Stock-based compensation associated with restricted stock units (RSUs) is based on the fair value of the Company’s common stock on the grant date, which equals the closing price of the Company’s common stock on the grant date. The Company recognizes expense over the vesting period of the awards. Expense for options and RSUs that vest based only on a service condition is recognized on a straight-line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fair value of RSUs with market conditions is estimated using a Monte Carlo simulation model. Assumptions and estimates utilized in the model include the stock price on grant date, risk-free interest rate, dividend yield, expected stock volatility, and estimated period to achieve the market condition. The expense is recognized based on continued employment of the participants, regardless of achievement of the market condition. Expense related to the RSUs with market conditions is recognized using the accelerated attribution method.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forfeitures as they occur for all awards.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Comprehensive Loss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Comprehensive loss includes net loss and certain changes in stockholders’ equity (deficit) that are the result of transactions and economic events other than those with stockholders. The Company’s only element of other comprehensive loss was net unrealized loss on marketable securities.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Debt is initially recognized at cost and presented net of original issue discount and debt issuance costs on the consolidated balance sheets. Amortization of debt discount and debt issuance costs is recognized as interest expense over the period of the debt, using the effective interest rate method.</w:t>
      </w:r>
    </w:p>
    <w:p>
      <w:pPr>
        <w:pStyle w:val="TextBody"/>
        <w:bidi w:val="0"/>
        <w:spacing w:before="240" w:after="283"/>
        <w:jc w:val="left"/>
        <w:rPr>
          <w:rFonts w:ascii="Times New Roman" w:hAnsi="Times New Roman"/>
          <w:sz w:val="20"/>
        </w:rPr>
      </w:pPr>
      <w:r>
        <w:rPr>
          <w:rFonts w:ascii="Times New Roman" w:hAnsi="Times New Roman"/>
          <w:b/>
          <w:i/>
          <w:color w:val="000000"/>
          <w:sz w:val="20"/>
        </w:rPr>
        <w:t>Segments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operates in one segment. The Company’s chief operating decision maker (CODM), its Chief Executive Officer, manages the Company’s operations on a consolidated basis for purposes of allocating resources. When evaluating the Company’s financial performance, the CODM reviews total revenues, total expenses and expenses by function.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is a summary of the segment profit or loss, including significant segment expenses (in thousands):</w:t>
      </w:r>
    </w:p>
    <w:p>
      <w:pPr>
        <w:pStyle w:val="TextBody"/>
        <w:bidi w:val="0"/>
        <w:spacing w:before="120" w:after="283"/>
        <w:jc w:val="left"/>
        <w:rPr/>
      </w:pPr>
      <w:r>
        <w:rPr/>
        <w:t> </w:t>
      </w:r>
    </w:p>
    <w:tbl>
      <w:tblPr>
        <w:tblW w:w="8682" w:type="dxa"/>
        <w:jc w:val="left"/>
        <w:tblInd w:w="0" w:type="dxa"/>
        <w:tblLayout w:type="fixed"/>
        <w:tblCellMar>
          <w:top w:w="28" w:type="dxa"/>
          <w:left w:w="28" w:type="dxa"/>
          <w:bottom w:w="28" w:type="dxa"/>
          <w:right w:w="28" w:type="dxa"/>
        </w:tblCellMar>
      </w:tblPr>
      <w:tblGrid>
        <w:gridCol w:w="3601"/>
        <w:gridCol w:w="146"/>
        <w:gridCol w:w="211"/>
        <w:gridCol w:w="736"/>
        <w:gridCol w:w="166"/>
        <w:gridCol w:w="146"/>
        <w:gridCol w:w="211"/>
        <w:gridCol w:w="736"/>
        <w:gridCol w:w="166"/>
        <w:gridCol w:w="146"/>
        <w:gridCol w:w="211"/>
        <w:gridCol w:w="736"/>
        <w:gridCol w:w="166"/>
        <w:gridCol w:w="146"/>
        <w:gridCol w:w="211"/>
        <w:gridCol w:w="736"/>
        <w:gridCol w:w="21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Compensation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expenses and outside research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supply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trials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Support functions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segment expenses</w:t>
            </w:r>
            <w:r>
              <w:rPr>
                <w:rFonts w:ascii="Times New Roman" w:hAnsi="Times New Roman"/>
                <w:color w:val="000000"/>
                <w:sz w:val="13"/>
              </w:rPr>
              <w: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Segment and consolidated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(70,995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(a) Other segment expenses include consultants &amp; contractor expense, contra-R&amp;D expense for GSK collaboration, depreciation expense, impairment loss, restructuring expense, and stock-based compensation expense.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summarize the Company’s financial assets measured at fair value on a recurring basis by level within the fair value hierarchy: </w:t>
      </w:r>
    </w:p>
    <w:p>
      <w:pPr>
        <w:pStyle w:val="TextBody"/>
        <w:bidi w:val="0"/>
        <w:spacing w:before="120" w:after="283"/>
        <w:jc w:val="left"/>
        <w:rPr/>
      </w:pPr>
      <w:r>
        <w:rPr/>
        <w:t> </w:t>
      </w:r>
    </w:p>
    <w:tbl>
      <w:tblPr>
        <w:tblW w:w="9205" w:type="dxa"/>
        <w:jc w:val="left"/>
        <w:tblInd w:w="0" w:type="dxa"/>
        <w:tblLayout w:type="fixed"/>
        <w:tblCellMar>
          <w:top w:w="28" w:type="dxa"/>
          <w:left w:w="28" w:type="dxa"/>
          <w:bottom w:w="28" w:type="dxa"/>
          <w:right w:w="28" w:type="dxa"/>
        </w:tblCellMar>
      </w:tblPr>
      <w:tblGrid>
        <w:gridCol w:w="2971"/>
        <w:gridCol w:w="146"/>
        <w:gridCol w:w="886"/>
        <w:gridCol w:w="146"/>
        <w:gridCol w:w="211"/>
        <w:gridCol w:w="781"/>
        <w:gridCol w:w="146"/>
        <w:gridCol w:w="146"/>
        <w:gridCol w:w="295"/>
        <w:gridCol w:w="591"/>
        <w:gridCol w:w="146"/>
        <w:gridCol w:w="146"/>
        <w:gridCol w:w="270"/>
        <w:gridCol w:w="616"/>
        <w:gridCol w:w="166"/>
        <w:gridCol w:w="146"/>
        <w:gridCol w:w="213"/>
        <w:gridCol w:w="792"/>
        <w:gridCol w:w="3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7"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Market</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7"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28,455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63,036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61,764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Total cash equivalents and </w:t>
              <w:br/>
              <w:t>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171,207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171,081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7"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Market</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97" w:type="dxa"/>
            <w:gridSpan w:val="1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36,834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92,889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102,279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Total cash equivalents and </w:t>
              <w:br/>
              <w:t>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255,405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Level 2 securities are valued using third-party pricing sources. The pricing services utilize industry standard valuation models for which all significant inputs are observable. The Company classifies marketable securities available to fund current operations as current assets. As of June 30, 2026, the remaining contractual maturities of $153.2 million of investments were less than one year and $17.8 million of investments were after one year through two years. The Company does not intend to sell the investments that are currently in an unrealized loss position, and it is highly unlikely that the Company will be required to sell the investments before recovery of their amortized cost basis, which may be at maturity.</w:t>
      </w:r>
    </w:p>
    <w:p>
      <w:pPr>
        <w:pStyle w:val="TextBody"/>
        <w:bidi w:val="0"/>
        <w:spacing w:before="240" w:after="283"/>
        <w:jc w:val="left"/>
        <w:rPr>
          <w:rFonts w:ascii="Times New Roman" w:hAnsi="Times New Roman"/>
          <w:sz w:val="20"/>
        </w:rPr>
      </w:pPr>
      <w:r>
        <w:rPr>
          <w:rFonts w:ascii="Times New Roman" w:hAnsi="Times New Roman"/>
          <w:b/>
          <w:color w:val="000000"/>
          <w:sz w:val="20"/>
        </w:rPr>
        <w:t>4.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be involved in litigation related to claims that arise in the ordinary course of its business activities. The Company accrues for these matters when it is probable that future expenditures will be made and these expenditures can be reasonably estimated. As of June 30, 2026, the Company does not believe that any such matters, individually or in the aggregate, will have a material adverse effect on the Company’s financial position, results of operations or cash flows.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Indemnification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enters into customary indemnification arrangements in the ordinary course of business with vendors, clinical trial sites and other parties. Pursuant to these arrangements, the Company indemnifies, holds harmless and agrees to reimburse the indemnified parties for certain losses suffered or incurred by the indemnified party. The term of these indemnification agreements is generally perpetual any time after the execution of the agreement. The maximum potential amount of future payments the Company could be required to make under these arrangements is not determinable. The Company has never incurred costs to defend lawsuits or settle claims related to these indemnification agreements. As a result, the Company has not recorded a liability related to such indemnification agreements as of June 30, 2026. As permitted under Delaware law, the Company has entered into indemnification agreements with its directors and officers that requires it to indemnify its directors and officers against liabilities that may arise by reason of their status or service as directors or officers to the fullest extent permitted by law. The Company also has directors’ and officers’ insurance.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Collaboration Agreement with GSK</w:t>
      </w:r>
    </w:p>
    <w:p>
      <w:pPr>
        <w:pStyle w:val="TextBody"/>
        <w:bidi w:val="0"/>
        <w:spacing w:before="120" w:after="283"/>
        <w:jc w:val="left"/>
        <w:rPr>
          <w:rFonts w:ascii="Times New Roman" w:hAnsi="Times New Roman"/>
          <w:sz w:val="20"/>
        </w:rPr>
      </w:pPr>
      <w:r>
        <w:rPr>
          <w:rFonts w:ascii="Times New Roman" w:hAnsi="Times New Roman"/>
          <w:color w:val="000000"/>
          <w:sz w:val="20"/>
        </w:rPr>
        <w:t>On July 1, 2021, the Company entered into a Collaboration and License Agreement with Glaxo Wellcome UK Limited, a subsidiary of GlaxoSmithKline plc (GSK), pursuant to which the Company and GSK collaborate on the global development and commercialization of progranulin-elevating monoclonal antibodies, including latozinemab and nivisnebart (formerly AL101/GSK4527226) (GSK Agreement). The GSK Agreement became effective on August 17, 2021. The Company and GSK discontinued developing latozinemab and nivisnebart in frontotemporal dementia due to a GRN mutation (FTD-</w:t>
      </w:r>
      <w:r>
        <w:rPr>
          <w:rFonts w:ascii="Times New Roman" w:hAnsi="Times New Roman"/>
          <w:i/>
          <w:color w:val="000000"/>
          <w:sz w:val="20"/>
        </w:rPr>
        <w:t>GRN</w:t>
      </w:r>
      <w:r>
        <w:rPr>
          <w:rFonts w:ascii="Times New Roman" w:hAnsi="Times New Roman"/>
          <w:color w:val="000000"/>
          <w:sz w:val="20"/>
        </w:rPr>
        <w:t>) and Alzheimer’s disease (AD), respectively, following the INFRONT-3 Phase 3 clinical trial readout in October 2025 and the PROGRESS-AD Phase 2 clinical trial interim analysis in April 2026 for those product candidates. On July 6, 2026, GSK provided written notice to the Company terminating the GSK Agreement (“Notice”). Under the terms of the GSK Agreement, the termination will be effective 180 days from the Notice, or January 2,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GSK Agreement, the Company received $700 million in upfront payments, of which $500 million was received in August 2021 and $200 million was received in January 2022. The Company had been eligible for but did not achieve up to an additional $1.5 billion in clinical development, regulatory, and commercial launch-related milestone payments; an equal share of profits and losses in the United States; and tiered royalties outside the United States. The Company and GSK jointly conducted certain development activities under the GSK Agreement and shared development costs 60% by GSK and 40% by the Company, except that, subject to the GSK Amendment (defined below), the Company solely bore the development costs of initial Phase 2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2023, the Company and GSK amended the GSK Agreement (GSK Amendment). Under the terms of the GSK Amendment, the Company was responsible for funding and sharing in GSK’s and the Company’s development costs up to $140.5 million for the conduct of the initial Phase 2 trial for nivisnebart in Alzheimer’s disease. The GSK Amendment was determined to be a contract modification to the GSK Agreement. The expected cost reimbursement to GSK was accounted for as a refund liability, which reduced the transaction price for the GSK Agreement. </w:t>
      </w:r>
    </w:p>
    <w:p>
      <w:pPr>
        <w:pStyle w:val="TextBody"/>
        <w:bidi w:val="0"/>
        <w:spacing w:before="120" w:after="283"/>
        <w:jc w:val="left"/>
        <w:rPr>
          <w:rFonts w:ascii="Times New Roman" w:hAnsi="Times New Roman"/>
          <w:sz w:val="20"/>
        </w:rPr>
      </w:pPr>
      <w:r>
        <w:rPr>
          <w:rFonts w:ascii="Times New Roman" w:hAnsi="Times New Roman"/>
          <w:color w:val="000000"/>
          <w:sz w:val="20"/>
        </w:rPr>
        <w:t>During the three months ended September 30, 2023, as a result of the planned closure of the latozinemab Phase 2 trial and concurrent agreement by the Company to cost-share additional research and development, the Company determined there was a modification of the GSK Agreement, resulting in a decrease of the scope of the performance obligation associated with the latozinemab FTD-</w:t>
      </w:r>
      <w:r>
        <w:rPr>
          <w:rFonts w:ascii="Times New Roman" w:hAnsi="Times New Roman"/>
          <w:i/>
          <w:color w:val="000000"/>
          <w:sz w:val="20"/>
        </w:rPr>
        <w:t>C9orf72</w:t>
      </w:r>
      <w:r>
        <w:rPr>
          <w:rFonts w:ascii="Times New Roman" w:hAnsi="Times New Roman"/>
          <w:color w:val="000000"/>
          <w:sz w:val="20"/>
        </w:rPr>
        <w:t xml:space="preserve"> Phase 2 trial and an increase in the amount of research and development cost-shared by the Company in future periods. The impact of this additional cost share was accounted for as a refund liability, which reduced the transaction price for the GSK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transaction price at inception included fixed consideration consisting of the upfront payments of $700 million. The transaction price as of June 30, 2026 was $564.0 million due to the estimated refund liabilities created from the contract modifications. The remaining estimated refund liabilities to collaboration partner as of June 30, 2026 and December 31, 2025 was zero and $11.4 million, respectively. All potential future milestones and other payments were considered constrained at the inception of the GSK Agreement and as of June 30, 2026, since the Company could not conclude it was probable that a significant reversal in the amount of revenue recognized would not occur.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revenue under the GSK Agreement during the three and six months ended June 30, 2026 was $3.3 million and $4.4 million, respectively, the entire amount of which was included in deferred revenue at the beginning of the respective period. For the three and six months ended June 30, 2025, collaboration revenue under the GSK Agreement was $7.9 million and $11.5 million, respectively. The deferred revenue related to the GSK Agreement was $162.9 million and $171.2 million as of June 30, 2026 and December 31, 2025, respectively. As of June 30, 2026, the Company expected to recognize this deferred revenue over the research and development period of the programs through the completion of initial Phase 2 clinical trials, or earlier upon extinguishment of the related performance obligations.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associated with co-development activities performed under the agreement are included in research and development expenses in the condensed consolidated statements of operations, with any reimbursement of costs by GSK reflected as a reduction of such expenses. For the three months ended June 30, 2026 , the Company recognized an increase of $0.3 million of research and development expense, and for the six months ended June 30, 2026, the Company recognized a reduction of research and development expense of $1.5 million, under the GSK Agreement. For the three and six months ended June 30, 2025, the Company recognized a reduction of research and development expense of $6.1 million and $10.4 million, respectively, under the GSK Agreement.</w:t>
      </w:r>
    </w:p>
    <w:p>
      <w:pPr>
        <w:pStyle w:val="TextBody"/>
        <w:bidi w:val="0"/>
        <w:spacing w:before="240" w:after="283"/>
        <w:jc w:val="left"/>
        <w:rPr>
          <w:rFonts w:ascii="Times New Roman" w:hAnsi="Times New Roman"/>
          <w:sz w:val="20"/>
        </w:rPr>
      </w:pPr>
      <w:r>
        <w:rPr>
          <w:rFonts w:ascii="Times New Roman" w:hAnsi="Times New Roman"/>
          <w:b/>
          <w:color w:val="000000"/>
          <w:sz w:val="20"/>
        </w:rPr>
        <w:t>6.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recognized stock-based compensation as follows (in thousands): </w:t>
      </w:r>
    </w:p>
    <w:p>
      <w:pPr>
        <w:pStyle w:val="TextBody"/>
        <w:bidi w:val="0"/>
        <w:spacing w:before="120" w:after="283"/>
        <w:jc w:val="left"/>
        <w:rPr/>
      </w:pPr>
      <w:r>
        <w:rPr/>
        <w:t> </w:t>
      </w:r>
    </w:p>
    <w:tbl>
      <w:tblPr>
        <w:tblW w:w="7592" w:type="dxa"/>
        <w:jc w:val="left"/>
        <w:tblInd w:w="0" w:type="dxa"/>
        <w:tblLayout w:type="fixed"/>
        <w:tblCellMar>
          <w:top w:w="28" w:type="dxa"/>
          <w:left w:w="28" w:type="dxa"/>
          <w:bottom w:w="28" w:type="dxa"/>
          <w:right w:w="28" w:type="dxa"/>
        </w:tblCellMar>
      </w:tblPr>
      <w:tblGrid>
        <w:gridCol w:w="2946"/>
        <w:gridCol w:w="146"/>
        <w:gridCol w:w="211"/>
        <w:gridCol w:w="571"/>
        <w:gridCol w:w="146"/>
        <w:gridCol w:w="146"/>
        <w:gridCol w:w="211"/>
        <w:gridCol w:w="571"/>
        <w:gridCol w:w="146"/>
        <w:gridCol w:w="146"/>
        <w:gridCol w:w="211"/>
        <w:gridCol w:w="571"/>
        <w:gridCol w:w="146"/>
        <w:gridCol w:w="146"/>
        <w:gridCol w:w="211"/>
        <w:gridCol w:w="676"/>
        <w:gridCol w:w="391"/>
      </w:tblGrid>
      <w:tr>
        <w:trPr/>
        <w:tc>
          <w:tcPr>
            <w:tcW w:w="2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Three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15,413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six months ended June 30, 2026, the Company's effective tax rate was less than (1%). For the three and six months ended June 30, 2025, the Company's effective tax rate was zero. The difference between the effective tax rate for the three and six months ended June 30, 2026 and 2025, and the U.S. federal statutory rate of 21% was primarily due to the Company recording a full valuation allowance to its net deferred tax asset.</w:t>
      </w:r>
    </w:p>
    <w:p>
      <w:pPr>
        <w:pStyle w:val="TextBody"/>
        <w:bidi w:val="0"/>
        <w:spacing w:before="12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Net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outstanding potentially dilutive shares have been excluded from the calculation of diluted net loss per share for the periods presented due to their anti-dilutive effect: </w:t>
      </w:r>
    </w:p>
    <w:p>
      <w:pPr>
        <w:pStyle w:val="TextBody"/>
        <w:bidi w:val="0"/>
        <w:spacing w:before="120" w:after="283"/>
        <w:jc w:val="left"/>
        <w:rPr/>
      </w:pPr>
      <w:r>
        <w:rPr/>
        <w:t> </w:t>
      </w:r>
    </w:p>
    <w:tbl>
      <w:tblPr>
        <w:tblW w:w="10027" w:type="dxa"/>
        <w:jc w:val="left"/>
        <w:tblInd w:w="0" w:type="dxa"/>
        <w:tblLayout w:type="fixed"/>
        <w:tblCellMar>
          <w:top w:w="28" w:type="dxa"/>
          <w:left w:w="28" w:type="dxa"/>
          <w:bottom w:w="28" w:type="dxa"/>
          <w:right w:w="28" w:type="dxa"/>
        </w:tblCellMar>
      </w:tblPr>
      <w:tblGrid>
        <w:gridCol w:w="3886"/>
        <w:gridCol w:w="146"/>
        <w:gridCol w:w="146"/>
        <w:gridCol w:w="1036"/>
        <w:gridCol w:w="146"/>
        <w:gridCol w:w="146"/>
        <w:gridCol w:w="146"/>
        <w:gridCol w:w="1036"/>
        <w:gridCol w:w="146"/>
        <w:gridCol w:w="146"/>
        <w:gridCol w:w="146"/>
        <w:gridCol w:w="1036"/>
        <w:gridCol w:w="146"/>
        <w:gridCol w:w="146"/>
        <w:gridCol w:w="146"/>
        <w:gridCol w:w="1036"/>
        <w:gridCol w:w="391"/>
      </w:tblGrid>
      <w:tr>
        <w:trPr/>
        <w:tc>
          <w:tcPr>
            <w:tcW w:w="3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 subject to future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2,654,292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5,399,351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10,043,385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10,177,305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10,043,385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10,177,305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committed under 2019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103,326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12,733,084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15,679,982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12,733,084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15,679,982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Restructuring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7, 2025, the Company committed to a plan to reduce its workforce by approximately 13% as part of its cost reduction initiatives in order to align resources with the Company’s strategic priorities, including advancing its preclinical and research pipeline. The Company initiated a reduction in force impacting approximately 25 employees across the organization. For the six months ended June 30, 2025, the Company incurred restructuring costs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approximately $2.3 million, primarily consisting of personnel expenses such as salaries, severance payments, and other benefits. Cash payments related to these expenses were paid out in 2025. </w:t>
      </w:r>
    </w:p>
    <w:p>
      <w:pPr>
        <w:pStyle w:val="TextBody"/>
        <w:bidi w:val="0"/>
        <w:spacing w:before="120" w:after="283"/>
        <w:jc w:val="left"/>
        <w:rPr>
          <w:rFonts w:ascii="Times New Roman" w:hAnsi="Times New Roman"/>
          <w:sz w:val="20"/>
        </w:rPr>
      </w:pPr>
      <w:r>
        <w:rPr>
          <w:rFonts w:ascii="Times New Roman" w:hAnsi="Times New Roman"/>
          <w:color w:val="000000"/>
          <w:sz w:val="20"/>
        </w:rPr>
        <w:t>On October 21, 2025, the Company committed to a plan to reduce its workforce, which impacted approximately 47% of its workforce, in order to align resources with the Company’s strategic priorities, following the results of the Phase 3 INFRONT-3 clinical trial evaluating the safety and efficacy of latozinemab in individuals with frontotemporal dementia due to a progranulin gene mutation (FTD-</w:t>
      </w:r>
      <w:r>
        <w:rPr>
          <w:rFonts w:ascii="Times New Roman" w:hAnsi="Times New Roman"/>
          <w:i/>
          <w:color w:val="000000"/>
          <w:sz w:val="20"/>
        </w:rPr>
        <w:t>GRN</w:t>
      </w:r>
      <w:r>
        <w:rPr>
          <w:rFonts w:ascii="Times New Roman" w:hAnsi="Times New Roman"/>
          <w:color w:val="000000"/>
          <w:sz w:val="20"/>
        </w:rPr>
        <w:t xml:space="preserve">). Total incremental restructuring charges associated with the reduction in force were approximately $7.0 million, consisting primarily of severance and related termination benefits. Cash payments related to these expenses were paid out and the reduction in force was completed during the first half of 2026. For the three and six months ended June 30, 2026, the Company recorded a reduction of less than $0.1 million and $0.4 million, respectively to previously recognized restructuring costs, primarily due to lower-than-expected related termination benefits and this was included in operating expenses. </w:t>
      </w:r>
    </w:p>
    <w:p>
      <w:pPr>
        <w:pStyle w:val="TextBody"/>
        <w:bidi w:val="0"/>
        <w:spacing w:before="240" w:after="283"/>
        <w:jc w:val="left"/>
        <w:rPr>
          <w:rFonts w:ascii="Times New Roman" w:hAnsi="Times New Roman"/>
          <w:sz w:val="20"/>
        </w:rPr>
      </w:pPr>
      <w:r>
        <w:rPr>
          <w:rFonts w:ascii="Times New Roman" w:hAnsi="Times New Roman"/>
          <w:b/>
          <w:color w:val="000000"/>
          <w:sz w:val="20"/>
        </w:rPr>
        <w:t>10. Subsequent event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8, 2026, the Company repaid in full and terminated the Loan and Security Agreement, dated as of November 14, 2024, as amended (the Loan Agreement), by and among the Company, Alector LLC, a Delaware limited liability company, as co-borrower (together with the Company, the Borrowers), the several banks and other financial institutions or entities from time to time parties thereto, as lenders (collectively, referred to as the Lenders), and Hercules Capital, Inc., in its capacity as administrative agent and collateral agent for itself and the Lenders (Hercules). The Company repaid a total of $10.4 million aggregate principal amount of outstanding loans, plus accrued interest and end of term and prepayment charges thereon.</w:t>
      </w:r>
    </w:p>
    <w:p>
      <w:pPr>
        <w:pStyle w:val="TextBody"/>
        <w:bidi w:val="0"/>
        <w:spacing w:before="12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_item2"/>
      <w:bookmarkEnd w:id="10"/>
      <w:r>
        <w:rPr>
          <w:rFonts w:ascii="Times New Roman" w:hAnsi="Times New Roman"/>
          <w:b/>
          <w:color w:val="000000"/>
          <w:sz w:val="20"/>
        </w:rPr>
        <w:t xml:space="preserve">Item 2. Management’s Discussion and Analysis of </w:t>
      </w:r>
      <w:bookmarkStart w:id="11" w:name="item_2_managements_discussion_analysis_f"/>
      <w:bookmarkEnd w:id="11"/>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sz w:val="20"/>
        </w:rPr>
      </w:pPr>
      <w:r>
        <w:rPr>
          <w:rFonts w:ascii="Times New Roman" w:hAnsi="Times New Roman"/>
          <w:i/>
          <w:color w:val="000000"/>
          <w:sz w:val="20"/>
        </w:rPr>
        <w:t>You should read the following discussion and analysis of our financial condition and results of operations together with our condensed consolidated financial statements and related notes included elsewhere in this Quarterly Report on Form 10-Q. This discussion contains forward-looking statements that involve risks and uncertainties, including those described in the section titled “Special Note Regarding Forward-Looking Statements.” Our actual results and the timing of selected events could differ materially from those discussed below. Factors that could cause or contribute to such differences include, but are not limited to, those identified below and those set forth under the section titled “Risk Factors” included elsewhere in this report.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are a biotechnology company focused on discovering and developing therapies for neurodegenerative diseases with high unmet medical need, including Alzheimer’s disease and Parkinson’s disease. Our wholly owned pipeline is built around the Alector Brain Carrier (ABC) platform, a proprietary blood-brain barrier (BBB) technology that enables diverse therapeutic modalities, including antibodies, enzymes, proteins and siRNA, to reach genetically validated targets in the central nervous system.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ABC platform is designed to enhance brain exposure while optimizing both safety and efficacy. Built on the principles of versatility, translatability, and differentiated binding to a distinct region of the transferrin receptor (TfR), the platform supports efficient delivery of therapeutic cargos across the BBB. By offering a broad range of TfR binding affinities, binding kinetics, and engineered formats, the ABC platform can be tailored to the requirements of different therapeutic modalities while preserving the ability to recruit the brain’s immune system when desired. These proprietary features are intended to balance brain uptake, potency, and safety across our pipeline.</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next-generation portfolio, built on the ABC platform and distinct from our prior clinical programs, is designed to address neurodegenerative diseases through targeted mechanisms, including the removal of pathogenic proteins, replacement of deficient proteins, and restoration of normal cellular function. </w:t>
      </w:r>
    </w:p>
    <w:p>
      <w:pPr>
        <w:pStyle w:val="TextBody"/>
        <w:bidi w:val="0"/>
        <w:spacing w:before="0" w:after="120"/>
        <w:jc w:val="left"/>
        <w:rPr>
          <w:rFonts w:ascii="Times New Roman" w:hAnsi="Times New Roman"/>
          <w:sz w:val="20"/>
        </w:rPr>
      </w:pPr>
      <w:r>
        <w:rPr>
          <w:rFonts w:ascii="Times New Roman" w:hAnsi="Times New Roman"/>
          <w:b/>
          <w:i/>
          <w:color w:val="000000"/>
          <w:sz w:val="20"/>
        </w:rPr>
        <w:t>AL137 Program</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AL137 program, combines our proprietary anti-amyloid beta (Aβ) antibody with our proprietary ABC platform, for the treatment of Alzheimer’s disease (AD). It is designed to efficiently remove brain Aβ plaques, with the goal of minimizing treatment-related adverse effects and enabling convenient subcutaneous administration.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ABC platform was specifically engineered to reduce co-engagement of transferrin receptor (TfR) on reticulocytes and peripheral immune cells while preserving full Fc-mediated engagement of immune cells at Aβ plaques. This design is intended to achieve efficient plaque clearance while minimizing the hematologic adverse effects associated with TfR-targeting antibodies.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AL137 incorporates a high-affinity, fully human antibody that selectively binds pyroglutamate-3 Aβ (PyroGlu3 Aβ), a validated and pathogenic form of Aβ enriched in amyloid plaques. In preclinical studies, AL137 demonstrated robust brain penetration in non-human primates, while a murine surrogate has shown significant reduction of brain Aβ42 levels in Alzheimer’s disease mouse models.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Following comparative evaluation of AL137 and AL037, we selected AL137 as the lead development candidate and subcutaneous administration as the intended clinical route, with AL037 designated as the backup development candidate. Following successful completion of IND-enabling studies, we intend to advance AL137 for submission of an Investigational New Drug (IND) application, targeted for the first quarter of 2027. We also target first-in-human dosing in Australia no later than April 2027.</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ABC-Enabled siRNA Platform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continue to advance our ABC-enabled siRNA platform. The platform is designed for peripheral dosing, offering the potential for more convenient and scalable administration compared with traditional intrathecal delivery, as well as the potential for homogeneous drug distribution throughout the brain. Our siRNA programs span multiple disease mechanisms, led by our tau program, AL064/AL164, and including earlier-stage programs advancing toward lead selection: ADP062-ABC, an alpha-synuclein siRNA for PD, and ADP065-ABC, an NLRP3 siRNA for multiple neurodegenerative conditions. Together, these programs reflect the broad applicability of the ABC platform across disease mechanisms. We continue to evolve our research and development plans and timing for each of our ABC-enabled siRNA programs.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AL064/AL164 Program</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Our lead siRNA program, AL064/AL164, is a tau siRNA program for AD and other tauopathies. AL064/AL164 aims to reduce all forms of toxic tau by degrading tau mRNA and reducing tau protein expression and slow cognitive decline in AD and other tauopathies. AL064 demonstrated robust and homogeneous tau mRNA knockdown and durable reduction of phospho-Tau 217 in multiple NHP brain regions tested. AL064 was modified to incorporate a well-validated chemical modification intended to further optimize siRNA stability, and this modified form of AL064 is advancing into IND-enabling studies as AL164.</w:t>
      </w:r>
    </w:p>
    <w:p>
      <w:pPr>
        <w:pStyle w:val="TextBody"/>
        <w:bidi w:val="0"/>
        <w:jc w:val="left"/>
        <w:rPr>
          <w:rFonts w:ascii="Times New Roman" w:hAnsi="Times New Roman"/>
          <w:sz w:val="20"/>
        </w:rPr>
      </w:pPr>
      <w:r>
        <w:rPr>
          <w:rFonts w:ascii="Times New Roman" w:hAnsi="Times New Roman"/>
          <w:b/>
          <w:i/>
          <w:color w:val="000000"/>
          <w:sz w:val="20"/>
        </w:rPr>
        <w:t>AL050 Program</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AL050 is a lysosomal glucocerebrosidase (GCase) enzyme replacement therapy paired with our proprietary ABC technology in preclinical development for Parkinson’s disease and Lewy body dementia in patients having GBA1 gene mutations that lead to reduced GCase activity. AL050 features an engineered GCase with improved activity and stability, a silenced effector function to maximize safety, and Alector’s ABC that binds a TfR epitope with affinity designed to enhance delivery across the BBB. This mechanism aims to reduce cellular dysfunction and slow disease progression. In preclinical studies to date, AL050 doubled GCase activity in different brain regions in non-human primates without observed adverse effects, including hematologic effects. In a GBA disease mouse model, AL050 surrogate rescued GCase activity and reduced toxic substrate accumulation without hematologic findings. These data support the potential of AL050 as a disease modifying therapy for Parkinson’s disease (PD) and Lewy body dementia (LBD) associated with GBA loss of function mutations, and subsequently for idiopathic PD and LBD.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have selected AL050 as the lead candidate, and we continue to evaluate our timeline to the clinic.</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Nivisnebart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 April 2026, GSK discontinued the global Phase 2 PROGRESS-AD trial of nivisnebart (AL101/GSK4527226), an investigational progranulin-elevating monoclonal antibody, in individuals with early Alzheimer’s disease (AD), following a pre-specified interim futility analysis conducted by an Independent Data Monitoring Committee (IDMC). The IDMC concluded that the trial was unlikely to meet its primary endpoint of slowing disease progression at completion.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operations have been financed primarily through our collaboration with GSK, for which GSK provided written notice of termination on July 6, 2026, our previous collaboration with AbbVie, entered into in October 2017 and terminated in February 2025, the issuance and sale of convertible preferred stock and of common stock upon the completion of our initial public offering (IPO), and follow-on equity financings.</w:t>
      </w:r>
    </w:p>
    <w:p>
      <w:pPr>
        <w:pStyle w:val="TextBody"/>
        <w:bidi w:val="0"/>
        <w:jc w:val="left"/>
        <w:rPr>
          <w:rFonts w:ascii="Times New Roman" w:hAnsi="Times New Roman"/>
          <w:color w:val="000000"/>
          <w:sz w:val="20"/>
        </w:rPr>
      </w:pPr>
      <w:r>
        <w:rPr>
          <w:rFonts w:ascii="Times New Roman" w:hAnsi="Times New Roman"/>
          <w:color w:val="000000"/>
          <w:sz w:val="20"/>
        </w:rPr>
        <w:t xml:space="preserve">To date, we have not had any products approved for sale and have not generated any product or royalty revenue from product sales. Further, we do not expect to generate revenue from product sales until such time, if ever, that we are able to successfully complete the development and obtain marketing approval for one of our product candidates. We will continue to require additional capital to develop our product candidates, advance our research and preclinical programs, and fund operations for the foreseeable future. We have incurred net losses in each year since inception, and we expect to continue to incur net losses for the foreseeable future. Our ability to generate product revenue will depend on the successful development and eventual commercialization of one or more of our product candidates. Our net losses were $23.0 million and $45.9 million for the three and six months ended June 30, 2026, respectively. Our net losses were $30.5 million and $71.0 million for the three and six months ended June 30, 2025, respectively. As of June 30, 2026, we had an accumulated deficit of $1,018.0 million. Substantially all of our net losses have resulted from costs incurred in connection with our research and development programs and from general and administrative costs associated with our operations. We expect our expenses will increase substantially in connection with our ongoing activities,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product candidates through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pursue regulatory approval of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discover, validate, and develop additional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manufacture drug supply for our research, preclinical studies and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maintain, and protect our intellectual property portfolio.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7, 2025, we committed to a plan to reduce our workforce by approximately 13% to better align our resources with our strategic priorities, including the advancement of our preclinical and research pipeline. We initiated that reduction in force impacting approximately 25 employees across the organization. On October 21, 2025, we committed to a plan to reduce our workforce by approximately 47% in order to align resources with the Company’s strategic priorities following the results of the Phase 3 INFRONT-3 clinical trial evaluating the safety and efficacy of latozinemab (AL001) in individuals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frontotemporal dementia due to a GRN mutation (FTD-</w:t>
      </w:r>
      <w:r>
        <w:rPr>
          <w:rFonts w:ascii="Times New Roman" w:hAnsi="Times New Roman"/>
          <w:i/>
          <w:color w:val="000000"/>
          <w:sz w:val="20"/>
        </w:rPr>
        <w:t>GRN</w:t>
      </w:r>
      <w:r>
        <w:rPr>
          <w:rFonts w:ascii="Times New Roman" w:hAnsi="Times New Roman"/>
          <w:color w:val="000000"/>
          <w:sz w:val="20"/>
        </w:rPr>
        <w:t xml:space="preserve">). Our cash, cash equivalents, and marketable securities as of June 30, 2026, totaled $172.8 million, which we anticipate provides runway at least through 2027. </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not generated any product or royalty revenue from product sales and do not expect to do so in the near future. Our revenue to date has been primarily related to the AbbVie Agreement and GSK Agreement for the license and co-development of product candidates with those parties. We recognized revenue from the upfront payments and the milestone payment received from AbbVie over time as services were provided. We recognize revenue from the upfront payments from GSK at a point in time for a development license and over time for research and development services. Revenues for research and development services are recognized as the program costs are incurred by measuring actual costs incurred to date compared to the overall total expected costs to satisfy the performance obligation. </w:t>
      </w:r>
    </w:p>
    <w:p>
      <w:pPr>
        <w:pStyle w:val="TextBody"/>
        <w:bidi w:val="0"/>
        <w:spacing w:before="120" w:after="283"/>
        <w:jc w:val="left"/>
        <w:rPr>
          <w:rFonts w:ascii="Times New Roman" w:hAnsi="Times New Roman"/>
          <w:sz w:val="20"/>
        </w:rPr>
      </w:pPr>
      <w:r>
        <w:rPr>
          <w:rFonts w:ascii="Times New Roman" w:hAnsi="Times New Roman"/>
          <w:color w:val="000000"/>
          <w:sz w:val="20"/>
        </w:rPr>
        <w:t>The Company and GSK discontinued developing latozinemab and nivisnebart in FTD-</w:t>
      </w:r>
      <w:r>
        <w:rPr>
          <w:rFonts w:ascii="Times New Roman" w:hAnsi="Times New Roman"/>
          <w:i/>
          <w:color w:val="000000"/>
          <w:sz w:val="20"/>
        </w:rPr>
        <w:t>GRN</w:t>
      </w:r>
      <w:r>
        <w:rPr>
          <w:rFonts w:ascii="Times New Roman" w:hAnsi="Times New Roman"/>
          <w:color w:val="000000"/>
          <w:sz w:val="20"/>
        </w:rPr>
        <w:t xml:space="preserve"> and AD, respectively, following the INFRONT-3 Phase 3 clinical trial readout in October 2025 and the PROGRESS-AD Phase 2 clinical trial interim analysis in April 2026 for those product candidates. On July 6, 2026, GSK provided written notice to the Company terminating the GSK Agreement (“Notice”). Under the terms of the GSK Agreement, the termination will be effective 180 days from the Notice, or January 2,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GSK Agreement, the Company received $700 million in upfront payments, of which $500 million was received in August 2021 and $200 million was received in January 2022. The Company had been eligible for but did not achieve up to an additional $1.5 billion in clinical development, regulatory, and commercial launch-related milestone payments; an equal share of profits and losses in the United States; and tiered royalties outside the United States. The Company and GSK jointly conducted certain development activities under the Agreement and shared development costs 60% by GSK and 40% by the Company, except that, subject to the GSK Amendment, the Company solely bore the development costs of initial Phase 2 clinical trials. Under the terms of the GSK Amendment, the Company was responsible for funding and sharing in GSK’s and the Company’s development costs up to $140.5 million for the conduct of the Phase 2 clinical trial of nivisnebart in AD.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revenue will be derived primarily from the GSK Agreement in the near term. The balance of deferred revenue was $162.9 million as of June 30, 2026, related to the GSK Agreement. As of that date, the Company expected to recognize this deferred revenue over the research and development period of the programs through the completion of the initial Phase 2 clinical trials for specified indications for latozinemab and nivisnebart, or earlier upon extinguishment of the related performance obligations.</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expenses account for a significant portion of our operating expenses. We record research and development expenses as incurred. Research and development expenses consist primarily of costs incurred for the discovery and development of our product candidates, which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under agreements with third-party contract organizations, preclinical testing organizations, and consultants;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production of research, preclinical, and clinical materials, including fees paid to contract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laboratory and vendor expenses related to the execution of research,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personnel-related expenses, including salaries, benefits, and stock-based compensation for personnel engaged in research and development functions;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related to the preparation of regulatory submissions;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license fees;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and other expenses, which include expenses for rent and maintenance of facilities, depreciation and amortization expenses, and other supplies.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expense all research and development costs in the periods in which they are incurred. Costs for certain development activities are recognized based on an evaluation of the progress to completion of specific tasks using information and data provided to us by our vendors, collaborators, and third-party service providers. Nonrefundable advance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payments for goods or services to be received in future periods for use in research and development activities are deferred and capitalized. The capitalized amounts are then expensed as the related goods are delivered and as services are performed.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Specific program expenses include expenses associated with the development of our product candidate, nivisnebart, which was being studied in the PROGRESS-AD Phase 2 clinical trial. That trial has been discontinued following a pre-specified interim futility analysis, in which an IDMC concluded that the trial was unlikely to meet its primary endpoint of slowing disease progression at completion. We also have expenses related to the research and development of future product candidates and separately tracked expenses related to programs that we expect to move out of preclinical studies and into Phase 1 clinical trials. These expenses primarily relate to salaries and benefits, stock-based compensation, facility expenses, including depreciation, and lab consumables.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Where we share costs with our collaboration partners, such as in our GSK Agreement, research and development expenses may include reimbursements from, or payments to, our partner.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this time, we cannot reasonably estimate or know the nature, timing, and estimated costs of the efforts that will be necessary to complete the development of, and obtain regulatory approval for, any of our product candidates. We expect our research and development expenses relating to latozinemab, nivisnebart, and AL002 to decrease in the foreseeable future as a result of the discontinuation and wind-down of clinical trials for latozinemab, nivisnebart, and AL002. However, we continue to invest in research and development activities related to programs in our research and preclinical pipeline and to the advancement of those programs into clinical trials. </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and administrative expenses consist primarily of personnel-related costs, including stock-based compensation, for our personnel in executive, legal, finance and accounting, information technology, human resources, and other administrative functions. General and administrative expenses also include legal fees relating to intellectual property and corporate matters, professional fees paid for accounting, auditing, consulting, and tax services, insurance costs, and facility costs not otherwise included in research and development expenses.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consists primarily of interest earned on our cash equivalents and marketable securities.</w:t>
      </w:r>
    </w:p>
    <w:p>
      <w:pPr>
        <w:pStyle w:val="TextBody"/>
        <w:bidi w:val="0"/>
        <w:spacing w:before="240" w:after="283"/>
        <w:jc w:val="left"/>
        <w:rPr>
          <w:rFonts w:ascii="Times New Roman" w:hAnsi="Times New Roman"/>
          <w:sz w:val="20"/>
        </w:rPr>
      </w:pPr>
      <w:r>
        <w:rPr>
          <w:rFonts w:ascii="Times New Roman" w:hAnsi="Times New Roman"/>
          <w:b/>
          <w:i/>
          <w:color w:val="000000"/>
          <w:sz w:val="20"/>
        </w:rPr>
        <w:t>Income Tax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tax expense consists of federal and state income tax provisions.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120" w:after="283"/>
        <w:jc w:val="left"/>
        <w:rPr/>
      </w:pPr>
      <w:r>
        <w:rPr/>
        <w:t> </w:t>
      </w:r>
    </w:p>
    <w:tbl>
      <w:tblPr>
        <w:tblW w:w="6783" w:type="dxa"/>
        <w:jc w:val="left"/>
        <w:tblInd w:w="0" w:type="dxa"/>
        <w:tblLayout w:type="fixed"/>
        <w:tblCellMar>
          <w:top w:w="28" w:type="dxa"/>
          <w:left w:w="28" w:type="dxa"/>
          <w:bottom w:w="28" w:type="dxa"/>
          <w:right w:w="28" w:type="dxa"/>
        </w:tblCellMar>
      </w:tblPr>
      <w:tblGrid>
        <w:gridCol w:w="2561"/>
        <w:gridCol w:w="146"/>
        <w:gridCol w:w="211"/>
        <w:gridCol w:w="736"/>
        <w:gridCol w:w="166"/>
        <w:gridCol w:w="146"/>
        <w:gridCol w:w="211"/>
        <w:gridCol w:w="736"/>
        <w:gridCol w:w="166"/>
        <w:gridCol w:w="146"/>
        <w:gridCol w:w="211"/>
        <w:gridCol w:w="736"/>
        <w:gridCol w:w="611"/>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(14,299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7,534</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revenue was $3.3 million for the three months ended June 30, 2026, compared to $7.9 million for the three months ended June 30, 2025. The $4.6 million decrease was primarily due to a lower revenue recognized for the AL101 AD program. Revenues are recognized as the program costs are incurred by measuring actual costs incurred to date compared to the overall total expected costs to satisfy each performance obligation.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Research and development expenses were $19.5 million for the three months ended June 30, 2026, compared to $27.6 million for the three months ended June 30, 2025. The decrease of $8.1 million was mainly due to a decrease in personnel-related costs as a result of the reductions in force as well as a decrease in facilities and other expenses.</w:t>
      </w:r>
    </w:p>
    <w:tbl>
      <w:tblPr>
        <w:tblW w:w="7693" w:type="dxa"/>
        <w:jc w:val="left"/>
        <w:tblInd w:w="0" w:type="dxa"/>
        <w:tblLayout w:type="fixed"/>
        <w:tblCellMar>
          <w:top w:w="28" w:type="dxa"/>
          <w:left w:w="28" w:type="dxa"/>
          <w:bottom w:w="28" w:type="dxa"/>
          <w:right w:w="28" w:type="dxa"/>
        </w:tblCellMar>
      </w:tblPr>
      <w:tblGrid>
        <w:gridCol w:w="3936"/>
        <w:gridCol w:w="146"/>
        <w:gridCol w:w="211"/>
        <w:gridCol w:w="676"/>
        <w:gridCol w:w="146"/>
        <w:gridCol w:w="146"/>
        <w:gridCol w:w="211"/>
        <w:gridCol w:w="676"/>
        <w:gridCol w:w="146"/>
        <w:gridCol w:w="146"/>
        <w:gridCol w:w="211"/>
        <w:gridCol w:w="631"/>
        <w:gridCol w:w="411"/>
      </w:tblGrid>
      <w:tr>
        <w:trPr/>
        <w:tc>
          <w:tcPr>
            <w:tcW w:w="3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Direct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Latozinemab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Nivisnebart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AL037/AL137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Indirect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related (including stock-based</w:t>
              <w:br/>
              <w:t>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other unallocated research and</w:t>
              <w:br/>
              <w:t>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(2,740</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$8.3 million for the three months ended June 30, 2026 and $14.4 million for the three months ended June 30, 2025. The decrease of $6.1 million was mainly driven by a decrease in personnel-related costs as a result of the reductions in force.</w:t>
      </w:r>
    </w:p>
    <w:p>
      <w:pPr>
        <w:pStyle w:val="TextBody"/>
        <w:bidi w:val="0"/>
        <w:spacing w:before="240" w:after="283"/>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was $1.5 million for the three months ended June 30, 2026, compared to $3.6 million for the three months ended June 30, 2025. The decrease of $2.1 million was mainly due to lower interest income from a reduction in marketable securities used to fund our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Income Tax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tax expense was $0.1 million for the three months ended June 30, 2026, compared to zero income tax expense for the three months ended June 30, 2025.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jc w:val="left"/>
        <w:rPr/>
      </w:pPr>
      <w:r>
        <w:rPr/>
        <w:t> </w:t>
      </w:r>
    </w:p>
    <w:tbl>
      <w:tblPr>
        <w:tblW w:w="6783" w:type="dxa"/>
        <w:jc w:val="left"/>
        <w:tblInd w:w="0" w:type="dxa"/>
        <w:tblLayout w:type="fixed"/>
        <w:tblCellMar>
          <w:top w:w="28" w:type="dxa"/>
          <w:left w:w="28" w:type="dxa"/>
          <w:bottom w:w="28" w:type="dxa"/>
          <w:right w:w="28" w:type="dxa"/>
        </w:tblCellMar>
      </w:tblPr>
      <w:tblGrid>
        <w:gridCol w:w="2561"/>
        <w:gridCol w:w="146"/>
        <w:gridCol w:w="211"/>
        <w:gridCol w:w="736"/>
        <w:gridCol w:w="166"/>
        <w:gridCol w:w="146"/>
        <w:gridCol w:w="211"/>
        <w:gridCol w:w="736"/>
        <w:gridCol w:w="166"/>
        <w:gridCol w:w="146"/>
        <w:gridCol w:w="211"/>
        <w:gridCol w:w="736"/>
        <w:gridCol w:w="611"/>
      </w:tblGrid>
      <w:tr>
        <w:trPr/>
        <w:tc>
          <w:tcPr>
            <w:tcW w:w="2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(36,703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29,521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25,205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25,075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revenue was $4.4 million for the six months ended June 30, 2026, compared to $11.5 million for the six months ended June 30, 2025. The $7.1 million decrease was primarily due to a lower revenue recognized for the AL101 AD program. Revenues are recognized as the program costs are incurred by measuring actual costs incurred to date compared to the overall total expected costs to satisfy each performance obligation.</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Expenses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Research and development expenses were $37.3 million for the six months ended June 30, 2026, compared to $61.3 million for the six months ended June 30, 2025. The decrease of $24.0 million was mainly due to a decrease in personnel-related costs as a result of the reductions in force as well as a decrease in research and development expenses for the AL002 program and other programs. The decrease was partially offset by an increase in research and development activities for the AL037/AL137 program.</w:t>
      </w:r>
    </w:p>
    <w:tbl>
      <w:tblPr>
        <w:tblW w:w="7798" w:type="dxa"/>
        <w:jc w:val="left"/>
        <w:tblInd w:w="0" w:type="dxa"/>
        <w:tblLayout w:type="fixed"/>
        <w:tblCellMar>
          <w:top w:w="28" w:type="dxa"/>
          <w:left w:w="28" w:type="dxa"/>
          <w:bottom w:w="28" w:type="dxa"/>
          <w:right w:w="28" w:type="dxa"/>
        </w:tblCellMar>
      </w:tblPr>
      <w:tblGrid>
        <w:gridCol w:w="3936"/>
        <w:gridCol w:w="146"/>
        <w:gridCol w:w="211"/>
        <w:gridCol w:w="676"/>
        <w:gridCol w:w="146"/>
        <w:gridCol w:w="146"/>
        <w:gridCol w:w="211"/>
        <w:gridCol w:w="676"/>
        <w:gridCol w:w="146"/>
        <w:gridCol w:w="146"/>
        <w:gridCol w:w="211"/>
        <w:gridCol w:w="736"/>
        <w:gridCol w:w="411"/>
      </w:tblGrid>
      <w:tr>
        <w:trPr/>
        <w:tc>
          <w:tcPr>
            <w:tcW w:w="3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Six Months Ended </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Direct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Latozinemab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Nivisnebart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AL037/AL137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7,957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Indirect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related (including stock-based</w:t>
              <w:br/>
              <w:t>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(17,162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Facilities and other unallocated research and</w:t>
              <w:br/>
              <w:t>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(23,935</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were $16.4 million for the six months ended June 30, 2026 and $29.1 million for the six months ended June 30, 2025. The decrease of $12.7 million was mainly driven by a decrease in personnel-related costs as a result of the reductions in force.</w:t>
      </w:r>
    </w:p>
    <w:p>
      <w:pPr>
        <w:pStyle w:val="TextBody"/>
        <w:bidi w:val="0"/>
        <w:spacing w:before="240" w:after="283"/>
        <w:jc w:val="left"/>
        <w:rPr>
          <w:rFonts w:ascii="Times New Roman" w:hAnsi="Times New Roman"/>
          <w:sz w:val="20"/>
        </w:rPr>
      </w:pPr>
      <w:r>
        <w:rPr>
          <w:rFonts w:ascii="Times New Roman" w:hAnsi="Times New Roman"/>
          <w:b/>
          <w:i/>
          <w:color w:val="000000"/>
          <w:sz w:val="20"/>
        </w:rPr>
        <w:t>Other Income,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was $3.5 million for the six months ended June 30, 2026, compared to $7.8 million for the six months ended June 30, 2025. The decrease of $4.3 million was mainly due to lower interest income from a reduction in marketable securities used to fund our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Income Tax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Income tax expense was $0.1 million for the six months ended June 30, 2026, compared to zero income tax expense for the six months ended June 30, 2025. </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through June 30, 2026, our operations have been financed primarily by our collaborations with GSK, and previously, AbbVie, the issuance and sale of convertible preferred stock and of common stock upon the completion of our IPO, follow-on equity, and debt financings.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$172.8 million of cash, cash equivalents, and marketable securities. As of June 30, 2026, we had an accumulated deficit of $1,018.0 million. </w:t>
      </w:r>
    </w:p>
    <w:p>
      <w:pPr>
        <w:pStyle w:val="TextBody"/>
        <w:bidi w:val="0"/>
        <w:spacing w:before="240" w:after="283"/>
        <w:jc w:val="left"/>
        <w:rPr>
          <w:rFonts w:ascii="Times New Roman" w:hAnsi="Times New Roman"/>
          <w:sz w:val="20"/>
        </w:rPr>
      </w:pPr>
      <w:r>
        <w:rPr>
          <w:rFonts w:ascii="Times New Roman" w:hAnsi="Times New Roman"/>
          <w:b/>
          <w:i/>
          <w:color w:val="000000"/>
          <w:sz w:val="20"/>
        </w:rPr>
        <w:t>Future 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primary uses of cash are to fund our operations, which consist primarily of research and development expenditures related to our programs, and to a lesser extent, general and administrative expenditures. We expect our expenses relating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nivisnebart, latozinemab, and AL002 to decrease in the foreseeable future as a result of the discontinuation and wind-down of clinical trials for nivisnebart, latozinemab, and AL002. However, we continue to invest in research and development activities related to programs in our research and preclinical pipeline and the advancement of those programs into clinical trials. In addition, we expect to incur costs associated with operating as a public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our current operating plan, we believe that our existing cash, cash equivalents, and marketable securities will enable us to fund our operations and capital expenditure requirements at least through 2027. We reduced our workforce to better align our resources with our current strategic priorities and maintain our expectations with respect to our ability to fund our operations. We have based this estimate on assumptions that may prove to be wrong, and we could utilize our available capital resources sooner than we currently expect. We may also choose to seek additional financing opportunistically. We may seek to raise capital through public equity or debt financings, license agreements, collaboration agreements or other arrangements with other companies, asset sales, or through other sources of financing. We have an omnibus shelf registration statement on Form S-3 with the SEC, which became effective on April 30, 2026, which permits us to issue up to $400 million in common stock, other equity securities and/or debt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7, 2023, we entered into an at-the-market sales agreement with TD Cowen, pursuant to which we may offer and sell from time to time through TD Cowen up to $125,000,000 of shares of our common stock, in such share amounts as we may specify by notice to TD Cowen (the 2023 Sales Agreement). As of June 30, 2026, we had issued an aggregate of 7,110,162 shares and received approximately $20.0 million in net proceeds under the 2023 Sales Agreement, all of which were issued during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May 7, 2026, we entered into an at-the-market sales agreement with TD Cowen, pursuant to which we may offer and sell from time to time through TD Cowen up to $125,000,000 of shares of our common stock, in such share amounts as we may specify by notice to TD Cowen (the 2026 Sales Agreement). In connection with entering into the 2026 Sales Agreement, we and TD Cowen terminated the 2023 Sales Agreement. As of June 30, 2026, we had not issued any shares or received any proceeds from the sale of securities under the 2026 Sales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17, 2024, we entered into an underwriting agreement with Cantor Fitzgerald &amp; Co. (Cantor), pursuant to which we offered and sold 10,869,566 shares of the Company’s common stock at a price per share of $6.57 paid by Cantor. Additionally, on November 14, 2024, we entered into a loan agreement with our subsidiary, Alector LLC, as a co-borrower, the Lenders, and Hercules Capital, Inc. (Hercules), in its capacity as administrative agent and collateral agent for itself and the Lenders (the Loan Agreement), pursuant to which we could access up to two tranches of Term Loans in an aggregate principal amount of up to $50,000,000, subject to the satisfaction of certain conditions. We borrowed $10,000,000 principal amount of the first tranche of Term Loans on the closing date of the Loan Agreement. On July 8, 2026, the Company entered into a payoff letter with Hercules and paid the final payoff amount. All obligations under the Loan Agreement were paid in full, all liens and security interests granted to secure such obligations were terminated, and the Loan Agreement and related loan documents were terminated.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need to obtain substantial additional funding in the future for our research and development activities and continuing operations. If we are unable to raise capital when needed or on favorable terms, we would be forced to delay, reduce, or eliminate our research and development programs or future commercialization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progress of preclinical and clinical development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scope of preclinical and clinical programs we decide to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enrollment in and completion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agreements with third-party manufacturers for clinical supply for our clinical trials and, if our product candidates are approved, commercial manufacturing;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progress of our current research and development programs and our ability to establish new research and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 or retention of key research and development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efforts to maintain or enhance operational, financial, and information management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workforce reductions;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into which we may enter and performing our obligations in such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amount of milestone and other payments we may receive under any collaboration arrangements;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eventual commercialization plans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macroeconomic conditions, including inflationary pressures and economic impacts of tariffs, global trade disruptions, and international conflicts;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involved in prosecuting, defending, and enforcing patent claims and other intellectual property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may need additional funds to meet operational needs and capital requirements associated with such operating plans. </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cash flows for the periods indicated (in thousands): </w:t>
      </w:r>
    </w:p>
    <w:p>
      <w:pPr>
        <w:pStyle w:val="TextBody"/>
        <w:bidi w:val="0"/>
        <w:spacing w:before="120" w:after="283"/>
        <w:jc w:val="left"/>
        <w:rPr/>
      </w:pPr>
      <w:r>
        <w:rPr/>
        <w:t> </w:t>
      </w:r>
    </w:p>
    <w:tbl>
      <w:tblPr>
        <w:tblW w:w="5995" w:type="dxa"/>
        <w:jc w:val="left"/>
        <w:tblInd w:w="0" w:type="dxa"/>
        <w:tblLayout w:type="fixed"/>
        <w:tblCellMar>
          <w:top w:w="28" w:type="dxa"/>
          <w:left w:w="28" w:type="dxa"/>
          <w:bottom w:w="28" w:type="dxa"/>
          <w:right w:w="28" w:type="dxa"/>
        </w:tblCellMar>
      </w:tblPr>
      <w:tblGrid>
        <w:gridCol w:w="3181"/>
        <w:gridCol w:w="146"/>
        <w:gridCol w:w="211"/>
        <w:gridCol w:w="736"/>
        <w:gridCol w:w="166"/>
        <w:gridCol w:w="146"/>
        <w:gridCol w:w="211"/>
        <w:gridCol w:w="841"/>
        <w:gridCol w:w="166"/>
        <w:gridCol w:w="191"/>
      </w:tblGrid>
      <w:tr>
        <w:trPr/>
        <w:tc>
          <w:tcPr>
            <w:tcW w:w="3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cash used in operating activities was $84.0 million. This was mainly due to the net loss of $45.9 million. We also had a decrease in refund liability to collaboration partner of $15.4 million, a decrease in accrued liabilities and accrued clinical supply costs of $13.8 million, and a decrease in collaboration payable of $13.6 million. This was offset by a non-cash charge of $5.5 million for stock-based compensation.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2025, cash used in operating activities was $109.8 million. This was mainly due to the net loss of $71.0 million. We also had a decrease in refund liability to collaboration partner of $26.1 million, a decrease in deferred revenue of $11.5 million, and a decrease in accrued liabilities and accrued clinical supply costs of $16.5 million. This was offset by a non-cash charge of $15.4 million for stock-based compensation.</w:t>
      </w:r>
    </w:p>
    <w:p>
      <w:pPr>
        <w:pStyle w:val="TextBody"/>
        <w:bidi w:val="0"/>
        <w:spacing w:before="240" w:after="283"/>
        <w:jc w:val="left"/>
        <w:rPr>
          <w:rFonts w:ascii="Times New Roman" w:hAnsi="Times New Roman"/>
          <w:sz w:val="20"/>
        </w:rPr>
      </w:pPr>
      <w:r>
        <w:rPr>
          <w:rFonts w:ascii="Times New Roman" w:hAnsi="Times New Roman"/>
          <w:b/>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six months ended June 30, 2026, cash provided by investing activities of $78.0 million was primarily related to the maturities of marketable securities of $157.9 million offset by purchases of marketable securities of $79.7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six months ended June 30, 2025, cash provided by investing activities of $121.5 million was primarily related to the maturities of marketable securities of $250.4 million offset by purchases of marketable securities of $131.9 million. </w:t>
      </w:r>
    </w:p>
    <w:p>
      <w:pPr>
        <w:pStyle w:val="TextBody"/>
        <w:bidi w:val="0"/>
        <w:spacing w:before="240" w:after="283"/>
        <w:jc w:val="left"/>
        <w:rPr>
          <w:rFonts w:ascii="Times New Roman" w:hAnsi="Times New Roman"/>
          <w:sz w:val="20"/>
        </w:rPr>
      </w:pPr>
      <w:r>
        <w:rPr>
          <w:rFonts w:ascii="Times New Roman" w:hAnsi="Times New Roman"/>
          <w:b/>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2026, cash provided by financing activities of less than $0.1 million was from the proceeds from the exercise of options to purchase common stock and the purchase of common stock under the 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2025, cash provided by financing activities of $0.1 million was primarily from the proceeds from the purchase of common stock under the employee stock purchase plan.</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Management’s discussion and analysis of our financial condition and results of operations is based on our consolidated financial statements, which have been prepared in accordance with generally accepted accounting principles in the United States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below are critical to understanding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historical and future performance, as these policies relate to the more significant areas involving management’s judgments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than the disclosures below, there have been no material changes to our critical accounting policies and estimates from those described in “Management’s Discussion and Analysis of Financial Condition and Results of Operations” included in our Annual Report on Form 10-K, as filed with the SEC on February 25, 2026. </w:t>
      </w:r>
    </w:p>
    <w:p>
      <w:pPr>
        <w:pStyle w:val="TextBody"/>
        <w:bidi w:val="0"/>
        <w:spacing w:before="240" w:after="283"/>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smaller reporting company, as defined by Rule 12b-2 of the Securities and Exchange Act of 1934 and in Item 10(f)(1) of Regulation S-K, and are not required to provide the information under this item.</w:t>
      </w:r>
    </w:p>
    <w:p>
      <w:pPr>
        <w:pStyle w:val="TextBody"/>
        <w:bidi w:val="0"/>
        <w:spacing w:before="240" w:after="283"/>
        <w:jc w:val="left"/>
        <w:rPr>
          <w:rFonts w:ascii="Times New Roman" w:hAnsi="Times New Roman"/>
          <w:b/>
          <w:color w:val="000000"/>
          <w:sz w:val="20"/>
        </w:rPr>
      </w:pPr>
      <w:bookmarkStart w:id="13" w:name="item_4_controls_procedures"/>
      <w:bookmarkEnd w:id="13"/>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Conclusions Regarding the Effectiveness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June 30, 2026, management, with the participation of our Principal Executive Officer, Principal Financial Officer, and Principal Accounting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Principal Financial Officer, and Principal Accounting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Principal Financial Officer, and Principal Accounting Officer concluded that, as of June 30, 2026, the design and operation of our disclosure controls and procedures were effective at a reasonable assurance level.</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during the quarter ended June 30, 2026, that have materially affected, or are reasonably likely to materially affect, our internal control over financial reporting.</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4" w:name="part_iior_information"/>
      <w:bookmarkEnd w:id="14"/>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b/>
          <w:color w:val="000000"/>
          <w:sz w:val="20"/>
        </w:rPr>
      </w:pPr>
      <w:bookmarkStart w:id="15" w:name="item_1_legal_proceedings"/>
      <w:bookmarkEnd w:id="15"/>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or other legal proceedings can have an adverse impact on us because of legal fees and settlement costs, diversion of management resources, and other factors.</w:t>
      </w:r>
    </w:p>
    <w:p>
      <w:pPr>
        <w:pStyle w:val="TextBody"/>
        <w:bidi w:val="0"/>
        <w:spacing w:before="240" w:after="283"/>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in our common stock involves a high degree of risk. You should carefully consider the risks described below, as well as the other information in this Quarterly Report on Form 10-Q, including our financial statements and the related notes and the section titled “Management’s Discussion and Analysis of Financial Condition and Results of Operations,” and in our other public filings, in evaluating our business.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Summary of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is subject to numerous risks and uncertainties that you should consider before investing in our company, as more fully described below. The principal factors and uncertainties that make investing in our company risky include,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 preclinical drug development and have a limited operating history and no products approved for commercial sale, which may make it difficult to evaluate our current business and predict our future success and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net losses in each year since our inception and anticipate that we will continue to incur net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Drug development is a highly uncertain undertaking and involves a substantial degree of risk.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will need to obtain substantial additional financing to complete the development and any commercialization of our product candidates, and a failure to obtain this necessary capital when needed on acceptable terms, or at all, could force us to delay, limit, reduce, or terminate our commercialization efforts, product development, or other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the significant resources required for the development of our product candidates, and depending on our ability to access capital, we must prioritize development of certain product candidates. Moreover, we may expend our limited resources on programs that do not yield a successful product candidate or fail to capitalize on product candidates or indications that may be more profitable or for which there is a greater likelihood of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of biopharmaceutical products is inherently risky. Our business is heavily dependent on the successful development of our product candidates, which are in various stages of preclinical development. We cannot give any assurance that any of our product candidates will receive regulatory, including marketing, approval, which is necessary before they may be commercialized.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successful in our efforts to continue to create a pipeline of product candidates from our research and drug discovery platform or to develop commercially successful products. If we fail to successfully identify and develop additional product candidates from our research and drug discovery platform, our commercial opportunity may be limited.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successful in our efforts to obtain approval for additional or expanded indications for any product candidates that receive approval for a given indication.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concentrated our research and development efforts on the treatment of neurodegenerative diseases, a field that has seen both limited success in drug development and evolving standards for regulatory approval. Further, our product candidates are based on innovative approaches and technologies, making it difficult to predict the time and cost of product candidate development and subsequent regulatory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encounter substantial delays in our clinical trials or may not be able to conduct or complete our clinical trials on the timelines we expect,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trials may reveal significant adverse events, toxicities, or other side effects and may fail to demonstrate substantial evidence of the safety and efficacy of our product candidates, which would prevent, delay, or limit the scope of regulatory approval and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successful in developing product candidates that effectively compete with therapeutics that are developed or commercialized by our competitors, including therapeutics that affect the same biological targets or pathways.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or reductions in the FDA’s or other government agencies’ management and personnel, or changes in such agencies’ funding, could impact their ability to hire and retain key leadership and other personnel, impact the timing for development or commercialization of new products and services, or otherwise impact those agencies’ performance of historically typical functions upon which the operation of our business may rely, which could negatively impact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depend on collaborations with third parties for the research, development, and commercialization of certain product candidates we may develop. If any such collaborations are not successful, we may not be able to realize the market potential of those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successful in our efforts to carry out our obligations under any collaborations for our product development and research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financial results, and the market price of our common stock could be adversely impacted by the effects of worldwide economic conditions, including macroeconomic downturns, global recessions, increased inflation, supply chain disruptions, trade tariffs or other disruptions in global trade, pandemics or other public health outbreaks, and geopolitical events and conflicts.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our key personnel, and if we are not successful in attracting, motivating, and retaining highly qualified personnel, we may not be able to successfully implement our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Raising additional capital may cause dilution to our existing stockholders, restrict our operations, or require us to relinquish rights to our technologies or product candidates.</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Business, Financial Condition, and Capital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in preclinical drug development and have a limited operating history and no products approved for commercial sale, which may make it difficult to evaluate our current business and predict our future success and viability.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biotechnology company with preclinical stage programs, focused on developing therapeutics for neurodegenerative diseases, including Alzheimer’s disease and Parkinson’s disease. We commenced operations in May 2013. To date, we have financed our operations primarily through equity and debt financings and upfront payments received in connection with the GSK Agreement and previously, our October 2017 collaboration agreement with AbbVie Biotechnology, Ltd. (AbbVie Agreement). We currently have no active clinical trials. We have no products approved for commercial sale and have not generated any revenue from product sales. Drug development is a highly uncertain undertaking and involves a substantial degree of risk.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2026, GSK discontinued the global Phase 2 PROGRESS-AD trial of nivisnebart (AL101/GSK4527226) in individuals with early AD after a pre-specified interim futility analysis conducted by an IDMC, which concluded that the trial was unlikely to meet its primary endpoint of slowing disease progression at completion.</w:t>
      </w:r>
    </w:p>
    <w:p>
      <w:pPr>
        <w:pStyle w:val="TextBody"/>
        <w:bidi w:val="0"/>
        <w:spacing w:before="120" w:after="283"/>
        <w:jc w:val="left"/>
        <w:rPr>
          <w:rFonts w:ascii="Times New Roman" w:hAnsi="Times New Roman"/>
          <w:sz w:val="20"/>
        </w:rPr>
      </w:pPr>
      <w:r>
        <w:rPr>
          <w:rFonts w:ascii="Times New Roman" w:hAnsi="Times New Roman"/>
          <w:color w:val="000000"/>
          <w:sz w:val="20"/>
        </w:rPr>
        <w:t>In October 2025, we decided to stop the open label extension portion of the INFRONT-3 trial and the continuation study of our product candidate latozinemab based on the results of the INFRONT-3 Phase 3 clinical trial evaluating the safety and efficacy of latozinemab in slowing disease progression in individuals with frontotemporal dementia due to a progranulin gene mutation (FTD-</w:t>
      </w:r>
      <w:r>
        <w:rPr>
          <w:rFonts w:ascii="Times New Roman" w:hAnsi="Times New Roman"/>
          <w:i/>
          <w:color w:val="000000"/>
          <w:sz w:val="20"/>
        </w:rPr>
        <w:t>GRN)</w:t>
      </w:r>
      <w:r>
        <w:rPr>
          <w:rFonts w:ascii="Times New Roman" w:hAnsi="Times New Roman"/>
          <w:color w:val="000000"/>
          <w:sz w:val="20"/>
        </w:rPr>
        <w:t>. We previously terminated development of our AL002 product candidate based on the results of the INVOKE-2 Phase 2 clinical trial, terminated development of our AL003 product candidate, and closed the Phase 1 clinical trial for our AL044 product candidate.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not obtained a positive readout from a pivotal clinical trial, obtained marketing approval for any product candidates, manufactured a commercial scale product or arranged for a third party to do so on our behalf, or conducted sales and marketing activities necessary for successful product commercialization. Our limited operating history as a company makes any assessment of our future success and viability subject to significant uncertainty.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encounter risks and difficulties frequently experienced by biotechnology companies in rapidly evolving fields, and we have not yet demonstrated an ability to successfully overcome such risks and difficulties. If we do not address these risks and difficulties successfully, our business will suffer.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incurred significant net losses in each year since our inception and anticipate that we will continue to incur net losses for the foreseeable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net losses in almost every reporting period since our inception. We incurred net losses of $23.0 million and $45.9 million for the three and six months ended June 30, 2026, respectively. We incurred net losses of $30.5 million and $71.0 million for the three and six months ended June 30, 2025, respectively. As of June 30, 2026, we had an accumulated deficit of $1,018.0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invested significant financial resources in research and development activities, including for our preclinical and clinical product candidates. We do not expect to generate revenue from product sales for several years, if at all. The revenue we have generated from our collaboration arrangements with GSK, and previously, AbbVie, has been, and from our collaboration arrangement with GSK, is expected to be, limited in amount.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our product candidates is expensive, and we expect to continue to spend substantial amounts as we fund our early-stage research projects and continue to advance our programs through preclinical and clinical development. Even if we are successful in developing our product candidates and obtaining regulatory approvals, launching and commercializing any product candidate will require substantial additional funding as we continue to advance other candidates in our pipeline.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continue to incur significant expenses and increasingly higher operating losses for the foreseeable future. 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our research and drug discovery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advance our research and development pipeline, including our target, indication, patient, and biomarker selections;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to develop and apply our ABC technology to potentially enhance our current and future product candidates’ penetration of the blood-brain barrier;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progress our current and any future product candidates through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and conduct additional preclinical, clinical, or other studies for our product candidates and future commercial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 with our CDMOs to develop and scale up the manufacturing processes for our product candidates or, in the future, establish and operate a manufacturing facility;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or add contract manufacturers or suppliers for our product candidates and future commercial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approvals and marketing authorizations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sales, marketing, and distribution infrastructure to commercialize any products for which we obtain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milestone, royalty, or other payments due under any license or collaboration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take steps to seek protection of our intellectual property and defend our intellectual property against challenges from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maintain, protect, and enforce our intellectual property portfolio, including intellectual property obtained through license and collaboration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 hire, and retain qualified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additional internal infrastructure to support our continued research and development operations and any planned commercialization efforts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implement additional internal systems and infrastructure related to cybersecurity and artificial intelligence;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meet the requirements and demands of being a public company;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withstand high rates or sustained periods of inflation;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 against any product liability claims or other lawsuits related to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prior losses and expected future losses have had and will continue to have an adverse effect on our stockholders’ equity (deficit) and working capital. In any particular quarter or quarters, our operating results could be below the expectations of securities analysts or investors, which could cause our stock price to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Drug development is a highly uncertain undertaking and involves a substantial degree of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products approved for commercial sale. To obtain revenues from the sales of our product candidates that are significant or large enough to achieve profitability, we must succeed, either alone or with third parties, in developing, obtaining regulatory approval for, manufacturing, and marketing therapies with significant commercial success. Our ability to generate revenue and achieve profitability depends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completing research and preclinical and clinical development of our product candidates, or meeting anticipated timelines for progressing our product candidates through preclinical and clinical development;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regulatory approvals and marketing authorizations for product candidates for which we successfully complete clinical development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a sustainable and scalable manufacturing process for our product candidates and future commercial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commercially viable supply relationships with third parties that can provide adequate products and services to support clinical activities and commercial demand of our product candidates and future commercial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assessing, acquiring, and/or developing new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into which we may enter;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and successfully commercializing product candidates for which we obtain regulatory and marketing approval, whether alone or in collaboration with a partner, including the establishment of any necessary sales, marketing, and distribution infrastructure;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an adequate price for any future commercial products, both in the United States and in foreign countries where our products are commercialized;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adequate reimbursement for our product candidates and future commercial products from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market acceptance of our product candidates and future commercial products as viable treatment options;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addressing any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receiving milestones and other payments under any future collaboration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addressing impacts on our clinical trials resulting from factors related to the effects of U.S. and worldwide economic conditions, including macroeconomic downturns or global recessions stemming from the economic impacts of increased inflation, supply chain disruption, trade tariffs, pandemics or other public health outbreaks, and geopolitical events and conflicts;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protecting, expanding, and enforcing our portfolio of intellectual property rights, including patents, trade secrets, and know-how;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in the face of reductions in force, layoffs, hiring freezes, employee attrition, policy changes for foreign worker visas, or a competitive compensation environment. </w:t>
      </w:r>
    </w:p>
    <w:p>
      <w:pPr>
        <w:pStyle w:val="TextBody"/>
        <w:bidi w:val="0"/>
        <w:spacing w:before="120" w:after="283"/>
        <w:jc w:val="left"/>
        <w:rPr>
          <w:rFonts w:ascii="Times New Roman" w:hAnsi="Times New Roman"/>
          <w:sz w:val="20"/>
        </w:rPr>
      </w:pPr>
      <w:r>
        <w:rPr>
          <w:rFonts w:ascii="Times New Roman" w:hAnsi="Times New Roman"/>
          <w:color w:val="000000"/>
          <w:sz w:val="20"/>
        </w:rPr>
        <w:t>To date, clinical development of five of our product candidates has been terminated. In April 2026, GSK discontinued the global Phase 2 PROGRESS-AD trial of nivisnebart (AL101/GSK4527226) in individuals with early Alzheimer’s disease (AD) after a pre-specified interim futility analysis conducted by an IDMC, which concluded that the trial was unlikely to meet its primary endpoint of slowing disease progression at completion. In October 2025, we decided to stop the open label extension portion of INFRONT-3 and the continuation study of our product candidate latozinemab based on the results of the INFRONT-3 Phase 3 clinical trial evaluating the safety and efficacy of latozinemab in slowing disease progression in individuals with FTD-</w:t>
      </w:r>
      <w:r>
        <w:rPr>
          <w:rFonts w:ascii="Times New Roman" w:hAnsi="Times New Roman"/>
          <w:i/>
          <w:color w:val="000000"/>
          <w:sz w:val="20"/>
        </w:rPr>
        <w:t>GRN</w:t>
      </w:r>
      <w:r>
        <w:rPr>
          <w:rFonts w:ascii="Times New Roman" w:hAnsi="Times New Roman"/>
          <w:color w:val="000000"/>
          <w:sz w:val="20"/>
        </w:rPr>
        <w:t xml:space="preserve">. Latozinemab failed to meet the clinical co-primary endpoint in that trial. In November 2024, our AL002 program was terminated, based on the results of the INVOKE-2 Phase 2 clinical trial evaluating the safety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efficacy of AL002 in slowing disease progression in individuals with early AD, in which AL002 failed to meet the primary endpoint. In 2022, we and AbbVie concluded that further development of our product candidate AL003 was not warranted. Additionally, we decided to close the Phase 1 clinical trial for our AL044 product candidate based on initial pharmacokinetics and tolerability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current or future collaborators’ clinical trials or the development of any of our product candidates. Even if one or more of our product candidates is approved for commercial sale, we anticipate incurring significant costs associated with launching and commercializing any approved product candidate and ongoing compliance efforts.</w:t>
      </w:r>
    </w:p>
    <w:p>
      <w:pPr>
        <w:pStyle w:val="TextBody"/>
        <w:bidi w:val="0"/>
        <w:spacing w:before="240" w:after="283"/>
        <w:jc w:val="left"/>
        <w:rPr>
          <w:rFonts w:ascii="Times New Roman" w:hAnsi="Times New Roman"/>
          <w:sz w:val="20"/>
        </w:rPr>
      </w:pPr>
      <w:r>
        <w:rPr>
          <w:rFonts w:ascii="Times New Roman" w:hAnsi="Times New Roman"/>
          <w:b/>
          <w:i/>
          <w:color w:val="000000"/>
          <w:sz w:val="20"/>
        </w:rPr>
        <w:t>We will need to obtain substantial additional financing to complete the development and any commercialization of our product candidates, and a failure to obtain this necessary capital when needed on acceptable terms, or at all, could force us to delay, limit, reduce, or terminate our commercialization efforts, product development, or other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have required substantial amounts of cash since inception. We expect our expenses relating to latozinemab, nivisnebart, and AL002 to decrease in the foreseeable future as a result of the discontinuation and wind-down of clinical trials for latozinemab, nivisnebart and AL002. However, we continue to invest in research and development activities related to programs in our research and preclinical pipeline and to the advancement of those programs into clinical trials. To date, we have financed our operations primarily through the sale of equity securities and upfront payments received in connection with our collaboration arrangements with GSK, and previously, AbbVie. Developing our product candidates and conducting clinical trials for the treatment of neurodegenerative diseases, including Alzheimer’s disease and Parkinson’s disease, will require substantial amounts of capital. Even if our clinical trials are successful, preparing for and applying for regulatory approval of our product candidates will require a significant amount of capital, and if we do not have sufficient capital, we may be unable to seek regulatory approval, or regulatory approval may be significantly delayed, in any or all desired markets. Likewise, even if our product candidates are approved, commercialization of our product candidates will require a significant amount of capital, and if we do not have sufficient capital, we may be unable to commercialize our approved products, or commercialization of such products may be significantly delayed, in any or all desired markets.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cash, cash equivalents, and marketable securities of $172.8 million, which we anticipate provides runway at least through 2027. Our estimate as to how long we expect our existing cash, cash equivalents, and marketable securities to be available to fund our operations is based on assumptions that may prove to be inaccurate, and we could use our available capital resources sooner than we currently expect. In addition, changing circumstances, including periods of rising inflation, may cause us to increase our spending significantly faster than we currently anticipate, and we may need to spend more money than currently expected because of circumstances beyond our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Global markets recently have experienced volatility and instability in connection with macroeconomic downturns stemming from tariffs and global trade uncertainties, increased inflation, supply chain disruption, and geopolitical events, including the ongoing wars in the Middle East and the ongoing conflict between Russia and Ukraine, among other matters. In addition, the public market for and stock prices of biotechnology companies have experienced significant downturns over the last few years. Our ability to raise money in the public markets may be severely impacted for the foreseeable future due to these factors. Additional capital may not be available when we need it, on terms acceptable to us, or at all. If adequate capital is not available to us on a timely basis, we may be required to significantly delay, scale back, or discontinue our research and development programs or the commercialization of any product candidates, if approved, or be unable to continue or expand our operations, or otherwise capitalize on our business opportunities, as desired, which could materially affect our business, financial condition, results of operations, and growth prospects and cause the price of our common stock to decline.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the extent that we raise additional capital through the sale of equity or convertible debt securities, the ownership interest of our stockholders will be diluted, and the terms of these securities may include liquidation or other preferences that adversely affect the rights of a common stockholder. If we raise additional funds through collaborations, strategic alliances, or licensing or other transactions, we may have to relinquish valuable rights to our technologies, future revenue streams, research programs, or product candidates, or grant licenses on terms that may not be favorable to us. Debt financing, if available, may be on unfavorable terms, including unfavorable interest rates, and may involve agreements that include covenants limiting or restricting our ability to take specific actions, such as incurring additional debt, making capital expenditures, or declaring dividends.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Due to the significant resources required for the development of our product candidates, and depending on our ability to access capital, we must prioritize development of certain product candidates. Moreover, we may expend our limited resources on programs that do not yield a successful product candidate or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continue to develop our research and preclinical pipeline, including our ABC technology platform and ABC-enabled product candidates. Together, the development of these programs and product candidates and this platform requires significant capital investment. Due to the significant resources required, we must focus our programs and product candidates on specific diseases and disease pathways and decide which product candidates to pursue and advance and the amount of resources to allocate to each. One aspect of our drug development strategy is to clinically test and seek regulatory approval for our product candidates in indications in which we believe there is a high probability of generating proof-of-concept data. For certain product candidates, we may choose to expand clinical testing and seek regulatory approvals in other neurodegenerative indications based on genetic and mechanistic overlap with the primary indication.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However, even if our product candidates are able to gain regulatory approval in one indication, there is no guarantee that we will be able to obtain approval in other indications, and we may expend significant resources in seeking such approvals. Our decisions concerning the allocation of research, development, collaboration, management, and financial resources toward particular technologies, product candidates or therapeutic areas may not lead to the development of any viable commercial product and may divert resources away from better opportunities. Similarly, our potential decisions to delay, terminate, or collaborate with third parties in respect of certain programs may subsequently also prove to be suboptimal and could cause us to miss valuable opportunities. If we make incorrect determinations regarding the viability or market potential of any of our programs or product candidates or misread trends in the biopharmaceutical industry, in particular for neurodegenerative diseases, such events could have a material adverse effect on our business, financial condition, and results of operations. As a result, we may fail to capitalize on viable commercial products or profitable market opportunities, be required to forego or delay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 Our reliance on genetics and use of biomarkers to align patient risk profiles with targeted intervention may eventually require us to develop and use companion diagnostics, which could impact product development costs and timelines depending on the specific diagnostic test and any applicable regulatory requirements that would need to be met to enable its use.</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the Discovery, Development, and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Research and development of biopharmaceutical products is inherently risky. Our business is heavily dependent on the successful development of our product candidates, which are in various stages of preclinical development. We cannot give any assurance that any of our product candidates will receive regulatory, including marketing, approval, which is necessary before they can be commercialized.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invested substantially in our efforts and financial resources to identify, procure intellectual property for, and develop our programs, product candidates, and ABC technology platform, and provide general and administrative support for these operations. Our future success is dependent on our ability to successfully develop, obtain regulatory approval for, and then successfully commercialize our product candidates, and we may fail to do so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preclinical studies or clinical trials of our product candidates may not be successfully completed or may not establish sufficient efficacy or safety to merit further clinical development or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product candidate may upon further study be shown to have harmful side effects or other characteristics that indicate it is unlikely to have an acceptable safety profile or be sufficiently effective or otherwise does not meet applicable regulatory criteria;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may develop therapeutics that render our product candidates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may develop and commercialize therapeutics that achieve greater market acceptance than our product candidates, including therapeutics that affect the same biological targets or pathways as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product candidates that we develop may not be sufficiently covered by intellectual property for which we hold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product candidates that we develop may be covered by third parties’ patents or other intellectual property or exclusive rights;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for a product candidate may change so that the continued development of that product candidate is no longer reasonable or commercially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capable of being produced in sufficient quantities for development or commercialization at an acceptable cost,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product candidate obtains regulatory approval, we may be unable to establish sales and marketing capabilities, or successfully market such approved product candidate, to gain market acceptance;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accepted as safe and effective by patients, the medical community, or third-party payors, if applicable.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any of these events occur, we may be forced to abandon our development efforts for a program or programs, which would have a material adverse effect on our business and could potentially cause us to cease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successful in our efforts to further develop our current product candidates. For example, clinical trials of our product candidates may not demonstrate their safety or efficacy, e.g., the trials may not meet their primary endpoints or otherwise demonstrate evidence of clinical benefit, or interim analyses of our clinical trials may result in a decision to terminate such trials due to failure of our product candidates to meet certain criteria. We are not permitted to market or promote any of our product candidates before we receive regulatory approval from the FDA or comparable foreign regulatory authorities, and we may never receive such regulatory approval for any of our product candidates. We have product candidates in development, and all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w:t>
      </w:r>
    </w:p>
    <w:p>
      <w:pPr>
        <w:pStyle w:val="TextBody"/>
        <w:bidi w:val="0"/>
        <w:spacing w:before="120" w:after="283"/>
        <w:jc w:val="left"/>
        <w:rPr>
          <w:rFonts w:ascii="Times New Roman" w:hAnsi="Times New Roman"/>
          <w:sz w:val="20"/>
        </w:rPr>
      </w:pPr>
      <w:r>
        <w:rPr>
          <w:rFonts w:ascii="Times New Roman" w:hAnsi="Times New Roman"/>
          <w:color w:val="000000"/>
          <w:sz w:val="20"/>
        </w:rPr>
        <w:t>We cannot be certain that any of our product candidates will be successful in any future clinical trials. Our future clinical trials of our product candidates may not demonstrate their safety or efficacy, either in the indications currently being tested or in any other indications, or either as single agent therapies or in combination with other therapeutics. For example, we were developing our product candidate latozinemab with GSK to treat patients with FTD-</w:t>
      </w:r>
      <w:r>
        <w:rPr>
          <w:rFonts w:ascii="Times New Roman" w:hAnsi="Times New Roman"/>
          <w:i/>
          <w:color w:val="000000"/>
          <w:sz w:val="20"/>
        </w:rPr>
        <w:t>GRN</w:t>
      </w:r>
      <w:r>
        <w:rPr>
          <w:rFonts w:ascii="Times New Roman" w:hAnsi="Times New Roman"/>
          <w:color w:val="000000"/>
          <w:sz w:val="20"/>
        </w:rPr>
        <w:t>. Latozinemab was an investigational human monoclonal antibody (mAb) designed to block and internalize the sortilin receptor (SORT1) to elevate PGRN levels in the brain. In October 2025, latozinemab failed to meet the clinical co-primary endpoint in the INFRONT-3 Phase 3 trial, and we decided to stop the open label extension portion of that study and the continuation study of latozinemab. On July 6, 2026, GSK provided written notice to the Company terminating the GSK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our AL002 program was terminated based on the results of the INVOKE-2 Phase 2 clinical trial evaluating the safety and efficacy of AL002 in slowing disease progression in individuals with early AD, in which AL002 failed to meet the primary endpoint. In 2022, we and AbbVie concluded that further development of our product candidate AL003 was not warranted. Our collaboration with AbbVie terminated in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any product candidates that have advanced into clinical trials, we may terminate such trials or the clinical program prior to their completion. For example, in April 2026, we and GSK decided to discontinue the PROGRESS-AD Phase 2 clinical trial of nivisnebart in early AD following the pre-specified interim futility analysis. An independent data monitoring committee concluded that the trial was unlikely to meet its primary endpoint of slowing disease progression at completion. In 2023, we decided to close the Phase 1 clinical trial for our AL044 product candidate based on initial pharmacokinetics and tolerability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successfully complete clinical trials, we generally plan to seek regulatory approval to market our product candidates in the United States, the European Union, and in additional foreign countries where we believe there is a viable commercial opportunity. We have never commenced, compiled, or submitted an application seeking regulatory approval to market any product candidate and we may encounter difficulties or delays in doing so, even if such product candidate successfully completed clinical trials. We may never receive regulatory approval, or we may not receive approval in the desired timeframe,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countries regarding safety, efficacy,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or do so within the timeframe we desire. Even if we (or our collaborators or partners) are successful in obtaining approval in one jurisdiction, we cannot ensure that we will obtain approval in any other jurisdiction. If we are unable to obtain approval for our product candidates in multiple jurisdictions, our business, financial condition, results of operations, and our growth prospects could be negatively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receive regulatory approval to market any of our product candidates, whether for the treatment of neurodegenerative diseases or other diseases, we cannot be assured that any such product candidate will be successfully commercialized, widely accepted in the marketplace, or more effective than other commercially available alternatives.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successful in our efforts to continue to develop and apply our ABC platform, to create a pipeline of product candidates from our research and drug discovery platform or to develop commercially successful products. If we fail to successfully identify and develop additional product candidates from our research and drug discovery platform, our commercial opportunity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One of our strategies is to identify and pursue clinical development of additional product candidates. Identifying, developing, obtaining regulatory approval for, and commercializing additional product candidates for the treatment of neurodegenerative and other diseases will require substantial additional funding and are prone to the risks of failure inherent in drug development. We cannot provide any assurance that we will be able to successfully identify or acquire additional product candidates, advance any of these additional product candidates through the development process, successfully commercialize any such additional product candidates, if approved, or assemble sufficient resources to identify, acquire, develop, or, if approved, commercialize additional product candidates. If we are unable to successfully identify, acquire, develop, and commercialize additional product candidates, our commercial opportunity may be limited.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developed and continue to develop our proprietary BBB technology platform (Alector Brain Carrier, or ABC) and have applied it to product candidates in our research and preclinical pipeline. The goal of our ABC technology is to deliver therapeutic candidates at a lower dose and provide deeper blood-brain barrier penetration while optimizing efficacy, safety and cost. If our ABC technology does not function as intended, our future pipeline opportunities may be reduced.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seek to develop product candidates incorporating our ABC technology in our preclinical and research pipeline for a range of neurodegenerative diseases. For example, we are currently pursuing AL137, our brain-penetrant anti-amyloid beta antibody program in AD; AL050, our brain-penetrant GCase enzyme replacement therapy, in Parkinson’s disease; and AL164, our brain-penetrant tau siRNA, in AD, all of which are enabled by ABC using a TfR-based transport mechanism. Those product candidates have complex structures and multiple functional elements, relative to standard antibody candidates that have previously been our main focus. Therefore, those product candidates may pose additional challenges, including with respect to their manufacture and their ability to function as intended. If we are unable to advance those programs or other preclinical or research candidates, or if we encounter significant delays in our anticipated timeline for progressing those candidates, our future pipeline opportunities may be reduced.</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successful in our efforts to obtain approval for additional or expanded indications for any product candidates that receive approval for a given indication.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drug development strategy includes clinically testing and seeking regulatory approval for our product candidates in indications in which we believe we can generate proof-of-concept data. For certain product candidates, we may choose to expand clinical testing and seek regulatory approvals in other neurodegenerative indications based on genetic and mechanistic overlap with the initial indication. Conducting clinical trials for additional indications for our product candidates requires substantial technical, financial, and human capital resources and is prone to the risks of failure inherent in drug development. We cannot provide any assurance that we will be successful in our effort to obtain regulatory approval for our product candidates for additional indications even if we obtain approval for an initial indication.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concentrated a substantial portion of our research and development efforts on the treatment of neurodegenerative diseases, a field that has seen limited success in drug development. Further, our product candidates are based on innovative approaches and technologies to address the complex mechanisms underlying neurodegeneration, which makes it difficult to predict the time and cost of product candidate development and to subsequently obtain regulatory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focusing our research and development efforts on addressing neurodegenerative diseases. Collectively, efforts by biopharmaceutical companies in the field of neurodegenerative diseases have seen limited success in drug development. There are currently limited approved therapeutic options available for patients with Alzheimer’s disease, Parkinson’s disease, and other neurodegenerative diseases. Recently approved therapies for the treatment of Alzheimer’s disease target a specific pathology (amyloid plaques). Our future success is highly dependent on the successful development of our product candidates for treating neurodegenerative diseases. Developing product candidates and, if approved, commercializing our products for treatment of neurodegenerative diseases subject us to a number of challenges, including obtaining disease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modifying activity and efficacious dosing and obtaining regulatory approval from the FDA and other regulatory authorities who have only a limited set of precedents to rely 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approach to developing treatments for neurodegenerative diseases is based on understanding the complex mechanisms underlying neurodegeneration, including the roles of misfolded proteins, deficient proteins, and dysfunctional immune cells and neurons. Our approach further leverages our understanding of the genetic associations with disease. Through this approach, our product candidates seek to remove toxic proteins, replace critical deficient proteins, and restore immune and nerve cells to normal function. One aspect of this approach has been to identify and select targets enriched in microglia and other myeloid immune cells which are genetically associated with neurodegenerative diseases. Another aspect of this approach is to select known or validated targets for neurodegenerative diseases. We identify and develop product candidates that utilize our ABC technology and are designed to cross the blood-brain barrier in sufficient quantity and potency to enable efficacious delivery to the brain and engage the intended target. We seek to identify and develop biomarkers and biomarker assays that can accurately identify signs of a disease or condition, assist us in selecting the right patient population, demonstrate target and pathway engagement, and measure the impact on disease progression of our product candidates. This strategy may not prove to be successful. We cannot be sure that our approach will yield satisfactory therapeutic products that are safe and effective, scalable, or profitable.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encounter substantial delays in our clinical trials or may not be able to conduct or complete our clinical trials on the timelines we expect,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testing is expensive, time consuming, and subject to uncertainty. We cannot guarantee that any clinical trials will be conducted as planned or completed on schedule, if at all. We cannot be sure that submission of an IND or a clinical trial application (CTA) will result in the FDA or EMA, as applicable, allowing clinical trials to begin in a timely manner, if at all. Moreover, even if these trials begin, issues may arise that could suspend or terminate such clinical trials. A failure of one or more clinical trials can occur at any stage of testing, and any of our current or future clinical trials may not be successful. Events that may prevent successful or timely initiation or completion of clinical trials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to generate sufficient preclinical, toxicology, or other in vivo or in vitro data to support the submission of an IND or initiation or continuation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confirming target engagement, patient selection, or other relevant biomarkers to be utilized in preclinical and clinical product candidate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study design;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agreement on acceptable terms with prospective CROs and clinical trial sites, the terms of which can be subject to extensive negotiation and may vary significantly among different CROs and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identifying, recruiting, and training suitable clinical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obtaining required Institutional Review Board (IRB)/Ethics Committee (EC) approval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imposition of delays to clinical trials, including as a result of temporary or permanent clinical hold by regulatory agencies for any number of reasons (see for example our discussions of ARIA and other risks described in this “Risk Factors” section),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after review of an IND or amendment, CTA or amendment, or equivalent application or amendment;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a new safety finding that presents unreasonable risk to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modifications to clinical trial protocols or related documentation;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negative finding from an inspection of our clinical trial operations or study sites;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finding that the investigational protocol or plan is clearly deficient to meet its stated objectives;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identifying, recruiting, and enrolling suitable patients to participate in our clinical trials, and delays caused by patients withdrawing from clinical trials, or failing to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collaborating with patient groups and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by our CROs, other third parties, or us to adhere to clinical trial protocols and other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perform in accordance with the FDA’s or any other regulatory authority’s current good clinical practices (cGCPs) requirements, or applicable EMA or other regulatory guidelines in other countries;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occurrence of adverse events associated with the product candidate that are viewed to outweigh its potential benefits;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and guidance that require amending or submitting new clinical protocols;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standard of care on which a clinical development plan was based, which may require new or additional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of our product candidates being greater than we anticipate, including costs associated with tariffs or other import or export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correspondence from, reviews by, or other interactions with the FDA or regulatory agencies in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our product candidates producing negative or inconclusive results, which may result in our deciding, or regulators requiring us, to conduct additional clinical trials or abandon product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interim analyses of clinical trials that result in a decision to terminate those trials due to failure of our product candidates to meet certain criteria;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manufacturing, testing, releasing, validating, or importing/exporting sufficient stable quantities of our product candidates for use in clinical trials or the inability to do any of the foregoing.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or sooner than anticipated, which could impair our ability to successfully commercialize our product candidates and may harm our business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also encounter delays if a clinical trial is suspended or terminated by us, by the data safety monitoring board for such trial or by the FDA, EMA, or any other regulatory authority, or if the IRBs of the institutions in which such trials are being conducted suspend or terminate the participation of their clinical investigators and sites 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unforeseen safety issues or adverse side effects, failure to demonstrate a benefit from using a product candidate, changes in governmental regulations or administrative actions, decreases in regulatory agency funding, staffing, or operations, lack of adequate funding to continue the clinical trial, and impacts of worldwide economic conditions, including trade tariffs, public health outbreaks, geopolitical events, and international conflicts. Should the FDA or other government agency issue additional guidance that mandates material changes to our clinical trials, e.g., in response to a pandemic or other public health outbreak, the costs of such clinical trials may increase.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 the future advance product candidates into clinical trials and terminate such trials prior to their completion, which could adversely affect our business. Further, FDA’s policy to release in “real time” newly issued Complete Response Letters associated with withdrawn or abandoned applications for approval of drug or biological products, if applicable to any of our product candidates, could materially impact our competitive advantage and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the initiation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encounter difficulties enrolling patients in our clinical trials, and our clinical development activities could thereby be delayed or otherwise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timely completion of clinical trials in accordance with their protocols depends, among other things, on our ability to enroll a sufficient number of patients who remain in the trial until its conclusion. We may experience difficulties in patient enrollment in clinical trials for a variety of reasons,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eligibility criteria defined in the protocol, including biomarker-driven identification and/or certain highly specific criteria related to stage of disease progression, which may limit the patient populations eligible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for our clinical trials to a greater extent than competing clinical trials for the same indication that do not have biomarker-driven patient eligibility criteria;</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of the study population required for analysis of the trial’s primary endpoints;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of patients to a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recruit clinical trial investigators with the appropriate competencies and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enrolling patients in our clinical trials caused by worldwide economic conditions, including pandemics or other public health outbreaks and other geopolitical events;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competing clinical trials for similar therapies or that target patient populations meeting our patient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availability of approved products that target the patient populations that we are seeking to enroll;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clinicians’ and patients’ perceptions of the potential advantages and side effects of the product candidate being studied in relation to other available therapies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patient consents;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that patients enrolled in clinical trials will not complete such trials or that we may not be able to collect data from such patients for any reason.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partners may encounter difficulties or delays in enrollment of our clinical trials, due to the availability of newly approved therapies and competing products. For example, lecanemab received FDA approval for the treatment of Alzheimer’s disease in 2023, and donanemab received FDA approval for the treatment of Alzheimer’s disease in July 2024. As a result, our or our partners’ ability to enroll participants in clinical trials for Alzheimer’s disease may be hampered if potential participants choose to instead avail themselves of approved therapies.</w:t>
      </w:r>
    </w:p>
    <w:p>
      <w:pPr>
        <w:pStyle w:val="TextBody"/>
        <w:bidi w:val="0"/>
        <w:spacing w:before="240" w:after="283"/>
        <w:jc w:val="left"/>
        <w:rPr>
          <w:rFonts w:ascii="Times New Roman" w:hAnsi="Times New Roman"/>
          <w:sz w:val="20"/>
        </w:rPr>
      </w:pPr>
      <w:r>
        <w:rPr>
          <w:rFonts w:ascii="Times New Roman" w:hAnsi="Times New Roman"/>
          <w:b/>
          <w:i/>
          <w:color w:val="000000"/>
          <w:sz w:val="20"/>
        </w:rPr>
        <w:t>Our clinical trials may reveal significant adverse events, toxicities, or other side effects and may fail to demonstrate substantial evidence of the safety and efficacy of our product candidates, which would prevent, delay, or limit the scope of regulatory approval and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sufficiently safe, pure, and potent for use in their target indications. Each product candidate must demonstrate an adequate risk versus benefit profile in its intended patient population and for its intended use.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testing is expensive and can take many years to complete, and its outcome is inherently uncertain. Failure can occur at any time during the clinical trial process. The results of preclinical studies of our product candidates may not be predictive of the results of early-stage or later-stage clinical trials, and results of early-stage clinical trials of our product candidates may not be predictive of the results of later-stage clinical trials. The results of clinical trials in healthy volunteers or in one set of patients or disease indications may not be predictive of those obtained in another.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 elements, and the rate of dropout among clinical trial participants. Open-label or long-term extension studies may also extend the timing and cost of a clinical program substantially.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This is particularly true in neurodegenerative diseases, where failure rates historically have been higher than in many other disease areas. Most product candidates that begin clinical trials are never approved by regulatory authorities for commercialization. For example, in April 2026, we and GSK decided to discontinue the PROGRESS-AD Phase 2 clinical trial of nivisnebart in early AD following a pre-specified interim futility analysis. An independent data monitoring committee concluded that the trial was unlikely to meet its primary endpoint at trial completion. In October 2025, because latozinemab did not meet the clinical co-primary endpoint in the INFRONT-3 Phase 3 clinical trial, we decided to stop the open label portion of that trial and the continuation study for latozinemab. In November 2024, we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decided to stop the long term extension study of our product candidate AL002 after results from the INVOKE-2 Phase 2 clinical trial showed that AL002 failed to meet the primary endpoint.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in our INVOKE-2 Phase 2 clinical trial in Alzheimer’s disease, treatment-emergent MRI findings resembling ARIA were observed. ARIA are MRI findings that may include vasogenic edema, sulcal effusions, microhemorrhages and/or superficial siderosis. To mitigate the associated risks, we stopped enrolling patients that were most at risk and implemented additional monitoring procedures, and the trial continued to completion.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limited experience in designing clinical trials and may be unable to design and execute a clinical trial that generates data sufficient to support continued clinical development or marketing approval of any of our product candidates. We cannot be certain that any of our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even if any of our clinical trials are successfully completed, we cannot guarantee that the FDA or foreign regulatory authorities will interpret the results as we do, and more trials could be required before we submit our product candidates for approval.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candidates, which may also limit its commercial potential. Further, even if regulatory approval is secured for any of our product candidates, we cannot be assured that a federal court will not modify, invalidate, or revoke such approval.</w:t>
      </w:r>
    </w:p>
    <w:p>
      <w:pPr>
        <w:pStyle w:val="TextBody"/>
        <w:bidi w:val="0"/>
        <w:spacing w:before="240" w:after="283"/>
        <w:jc w:val="left"/>
        <w:rPr>
          <w:rFonts w:ascii="Times New Roman" w:hAnsi="Times New Roman"/>
          <w:sz w:val="20"/>
        </w:rPr>
      </w:pPr>
      <w:r>
        <w:rPr>
          <w:rFonts w:ascii="Times New Roman" w:hAnsi="Times New Roman"/>
          <w:b/>
          <w:i/>
          <w:color w:val="000000"/>
          <w:sz w:val="20"/>
        </w:rPr>
        <w:t>We face significant competition in an environment of rapid technological and scientific change. Some competitors have achieved, and there is a possibility that other competitors will achieve, regulatory approval before us. Our competitors’ therapies may be safer, more advanced, or more effective than ours, which may negatively impact our ability to successfully market or commercialize any product candidates we may develop and ultimately harm our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commercialization of new drug products is highly competitive. Moreover, the neurodegenerative field is characterized by strong and increasing competition, with a strong emphasis on intellectual property. We may face competition with respect to any of our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 number of large pharmaceutical and biotechnology companies that are currently pursuing the development of products for the treatment of neurodegenerative diseases, including Alzheimer’s disease and Parkinsons disease. Many of these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For example, in July 2024, the FDA approved donanemab, which was developed by Eli Lilly and Company (Eli Lilly), for the treatment of Alzheimer’s disease. Donanemab targets amyloid plaques by binding to insoluble N-truncated pyroglutamate amyloid beta. In January 2023, the FDA granted accelerated approval, and in July 2023, the FDA granted full approval, to lecanemab, an anti-amyloid beta protofibril antibody for the treatment of Alzheimer’s disease developed by Eisai Co., Ltd. (Eisai) and Biogen Inc. (Biogen). Lecanemab has been approved as a treatment for slowing progression of mild cognitive impairment and mild dementia due to Alzheimer’s disease in Japan, and in April 2025, lecanemab received final marketing authorization in Europe for treating mild cognitive impairment or mild dementia due to Alzheimer’s disease in patients who have only one or no copy of the ApoE4 allele.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competing pharmaceutical and biotechnology companies, such as Denali Therapeutics, Inc. (Denali), F. Hoffman La Roche Ltd. (Roche), Aliada Therapeutics, Inc. (acquired by AbbVie), Eli Lilly, BioArctic, JCR Pharmaceuticals, Korsana, Arrowhead, and Ossianix, who have developed and continue to develop technologies for the transport of products across the blood-brain barrier using transferrin receptor (TfR)-based transfer mechanisms. Other companies may successfully develop technologies for blood-brain barrier transport that are based on mechanisms other than TfR and that effectively compete with TfR-based mechanisms. Our ABC platform, which uses a TfR-based transfer mechanism, faces competition from such third-party technologies.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those competing blood-brain barrier transport technologies are being applied to antibodies and product candidates that act on the same disease targets as we are pursuing. For example, Denali, Korsana, and Roche are advancing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antibody candidates, each of which targets A-beta and incorporates blood-brain barrier transport mechanisms that act through TfR, and Arrowhead is advancing a tau-siRNA candidate with a TfR binding antibody fragment. Other companies, including Bial, Vanqua Bio, Inc., Gain Therapeutics, Inc., Prevail, Spur Therapeutics, Voyager Therapeutics, Inc., Denali, and Roche have clinical or pre-clinical programs targeting GCase through allosteric activation, gene therapy, or enzyme replacement, with the latter approach incorporating TfR-based blood-brain barrier transfer mechanisms. Those and other competitors are pursuing product candidates that act on some of the same targets or through comparable mechanisms of action as we are pursuing.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Several companies are employing nucleic acid-based strategies, such as anti-sense oligonucleotides and siRNA, directed to neurodegenerative disease targets in conjunction with TfR-based blood-brain barrier technologies. Certain of those companies, including Eli Lilly, Arrowhead, Novartis, Denali, Roche and Manifold Bio, are applying this approach to some of the same targets that we are pursuing, including tau and alpha-synuclein.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 or potential competitors may develop products with a market advantage due to their mode of delivery, such as oral small molecule or subcutaneous formulation. For example, Eisai received FDA approval for a subcutaneous formulation of lecanemab in August 2025, and Bial, Vanqua Bio, and Gain Therapeutics are developing small molecule allosteric activators of GCase.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enrollment in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neurodegenerative disease indications, which could give such products significant regulatory and market timing advantages over any of our product candidates. Our competitors also may obtain FDA, EMA, or other regulatory approval for their products more rapidly than we may obtain approval for ours, including through fast track designation, priority review, accelerated approval or breakthrough therapy designation, and may obtain orphan drug exclusivity from the FDA for indications our product candidates are targeting,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could face litigation or other proceedings with respect to the scope, ownership, validity, and/or enforceability of our patents relating to our competitors’ products. Furthermore, our competitors may allege that our products infringe, misappropriate, or otherwise violate their intellectual property. The availability of our competitors’ products could limit the demand, and the price we are able to charge, for any products that we may develop and commercialize.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manufacture of our product candidates is complex, and we may encounter difficulties in production. If we or any of our third-party manufacturers encounter such difficulties, or fail to meet rigorously enforced regulatory standards, our ability to provide supply of our product candidates for clinical trials or our products, if approved for patients, could be delayed or stopped, or we may be unable to maintain a commercially viable cost structure.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processes involved in manufacturing our product candidates are complex, expensive, highly-regulated, and subject to multiple risks. Manufacturing certain product candidates, such as non-antibody protein product candidates or product candidates incorporating ABC and other active components, may be especially challenging and may require complex and integrated supply chains and CDMO networks. Further, as product candidates are developed from preclinical studies through late-stage clinical trials towards approval and commercialization, it is common that various aspects of the development program, such as manufacturing methods, are altered along the way in an effort to scale processes and optimize results. Such changes carry the risk that they will not achieve these intended objectives, and any of these changes could cause our product candidates to perform differently and affect the results of planned clinical trials or other future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conduct clinical trials of our product candidates, or supply commercial products, if approved, we will need to manufacture them in large quantities. Our CDMOs may be unable to successfully produce or increase the manufacturing scale or capacity for any of our product candidates in a timely or cost-effective manner, or at all. In addition, quality issues may arise during scale-up activities or in connection with production of commercial supply. If any of the foregoing occurs, the development, testing, and clinical trials of that product candidate may be delayed or become infeasible, and/or regulatory approval or commercial launch of any resulting product may be delayed or not obtained in any or all jurisdictions in which such approval or launch is intended, which could significantly harm our business. The same risks would apply to our own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manufacturing facilities, should we in the future decide to build our own manufacturing capacity, which would carry significant risks in terms of being able to plan, design, and execute on a complex project to build manufacturing facilities in a timely and cost-efficient manner. Likewise, the same risks would apply to a collaboration partner manufacturing our product candidates or commercial products, if approved, using their CDMOs or their own facilities, and that partner may be unable to maintain a commercially viable cost structure.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manufacturing process for any products that we may develop is subject to FDA, EMA, and other foreign regulatory authority approval processes and continuous oversight, and we will need to contract with manufacturers who can meet all applicable FDA, EMA, and other foreign regulatory authority requirements, including complying with current good manufacturing practices (cGMPs) on an ongoing basis. Further, the manufacturers that we or our collaboration partners work with will be subject to any future legislation by Congress or other government action that may curtail the ability of foreign CDMOs to provide services to U.S. biotechnology companies. In addition, tariffs may be imposed on products that are manufactured by foreign CDMOs and imported into the U.S. to incentivize manufacturing activity in the U.S. versus abroad. If we or our third-party manufacturers are unable to reliably produce products to specifications acceptable to the FDA, EMA, or other regulatory authorities, we may not obtain or maintain the approvals we need to commercialize such products. Even if we obtain regulatory approval for any of our product candidates, there is no assurance that either we or our CDMOs will be able to manufacture the approved product to specifications acceptable to the FDA, EMA, or other regulatory authorities, to produce it in sufficient quantities to meet the requirements for the 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candidates, impair commercialization efforts, increase our cost of goods, and have an adverse effect on our business, financial condition, results of operations, and growth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commercial activities with our collaborators for, some of our product candidates if and when they are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risks involved with both establishing our own commercial capabilities and entering into arrangements with third parties to perform these services. For example, recruiting and training a sales force or reimbursement specialists are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Factors that may inhibit our efforts to commercialize any approved product on our own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recruit and retain adequate numbers of effective sales, marketing, reimbursement, customer service, medical affairs, and other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sales personnel to obtain access to physicians or persuade adequate numbers of physicians to prescribe any future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negotiate arrangements for formulary access, reimbursement, and other acceptance by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price our products at a sufficient price point to ensure an adequate and attractive level of profitability, and our ability to recognize revenue from such prices;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restricted or closed distribution channels that make it difficult to distribute our products to segments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lack of complementary products to be offered by sales personnel, which may put us at a competitive disadvantage relative to companies with more extensive product lines;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costs and expenses associated with creating an independent commercialization organization.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enter into arrangements with third parties to perform sales, marketing, commercial support, and distribution services, our product or royalty revenue or the profitability of such revenue may be lower than if we were to market and sell any product we may develop ourselves. In addition, we may not be successful in entering into arrangements with third parties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any product candidates we develop receive marketing approval, they may fail to achieve the degree of market acceptance by physicians, patients, healthcare payors, and others in the medical community necessary for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commercial success of any of our products will depend upon its degree of market acceptance by physicians, patients, third-party payors, and others in the medical community. Even if any product candidate we develop receives marketing approval, it may nonetheless fail to gain sufficient market acceptance by physicians, patients, healthcare payors, and others in the medical community. The degree of market acceptance of any product candidate we may develop, if approved for commercial sale,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as demonstrated in clinical trials and published in peer-reviewed journals;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offer our products for sale at competitive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sufficient third-party coverage or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offer appropriate patient access programs, such as co-pay assistance;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physicians recommend our products to their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convenience and ease of dosing and administration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the product candidate is approved by the FDA, EMA, or other regulatory agencies;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labeling or product insert requirements of the FDA, EMA, or other comparable foreign regulatory authorities, including any limitations, contraindications, or warnings contained in a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how the product is distributed;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publicity concerning our products or competing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marketing and distribution support;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product candidates we develop do not achieve an adequate level of acceptance, we may not generate significant revenue, and we may not become profitable. </w:t>
      </w:r>
    </w:p>
    <w:p>
      <w:pPr>
        <w:pStyle w:val="TextBody"/>
        <w:bidi w:val="0"/>
        <w:spacing w:before="240" w:after="283"/>
        <w:jc w:val="left"/>
        <w:rPr>
          <w:rFonts w:ascii="Times New Roman" w:hAnsi="Times New Roman"/>
          <w:sz w:val="20"/>
        </w:rPr>
      </w:pPr>
      <w:r>
        <w:rPr>
          <w:rFonts w:ascii="Times New Roman" w:hAnsi="Times New Roman"/>
          <w:b/>
          <w:i/>
          <w:color w:val="000000"/>
          <w:sz w:val="20"/>
        </w:rPr>
        <w:t>Any products we or a collaboration partner commercialize may become subject to unfavorable pricing regulations, third-party reimbursement practices, or healthcare reform initiatives, which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regulations that govern marketing approvals, pricing, and reimbursement for new drugs vary widely from country to country. In the United States, recently enacted or potential future legislation or other government action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continued governmental control even after initial approval is granted. As a result, a product candidate might obtain marketing approval in a particular country, but then be subject to price regulations that delay or render commercially inviable commercial launch of the product, possibly for lengthy time periods, and negatively impact the revenue otherwise expected from the sale of the product in that country, either by us or by a collaboration partner. Adverse pricing limitations may hinder our ability to recoup our investment in one or more product candidates, even if any product candidates we may develop obtain marketing approval.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available only to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significant delays in obtaining reimbursement for newly approved drugs, and coverage may be more limited than the purposes for which the medicine is approved by the FDA, EMA,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 and future Centers for Medicare and Medicaid Services (CMS) coverage restrictions on classes of drugs that encompass our product candidates, including our candidates for treating Alzheimer’s disease, could have a material adverse impact on our ability to commercialize our product candidates, if approved, generate revenue and attain profitability. It is unclear how future CMS coverage decisions and policies will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the current administration has issued an executive order focused on decreasing prescription drug prices, which directs the Secretary of Health and Human Services (HHS) to establish a mechanism through which American patients can buy drugs directly from manufacturers who sell at a most-favored-nation price. The order further directs the U.S. Trade Representative and Secretary of Commerce to take action to ensure foreign countries are not engaged in practices that purposefully and unfairly undercut market prices and drive price hikes in the United States. If HHS sets most-favored-nation pricing targets for prescription drugs or increases generic and biosimilar drug entry sooner than expected, then those actions could have a material adverse effect on our ability to set adequate pricing, recoup our investment in R&amp;D, and commercialize our product candidates, if approved. We cannot predict the full impact of this executive order, its implementation, or other measures that may be implemented by the current administration related to drug pricing.</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 candidates for which we intend to seek approval may face biosimilar competition sooner than anticipated.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are successful in achieving regulatory approval to commercialize a product candidate ahead of our competitors, our product candidates may face competition from biosimilar products. In the United States, our product candidates are regulated by the FDA as biologic products and we intend to seek approval for these product candidates pursuant to the BLA pathway. BPCIA created an abbreviated pathway for the approval of biosimilar and interchangeable biologic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years after the original branded product was approved under a BLA.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any of our product candidates approved as a biologic product under a BLA should qualify for the 12-year period of exclusivity. However, there is a risk that this exclusivity could be shortened due to Congressional action or otherwise, or that the FDA will not consider our product candidates to be reference products entitled to the 12-year period of exclusivity, potentially creating the opportunity for competition sooner than anticipated. Moreover, the extent to which a biosimilar product, once approved, will be substituted for any one of our reference products in a way that is analogous to traditional generic substitution for non-biologic products is not yet clear, and will depend on a number of marketplace and regulatory factors that are still developing. In addition, a competitor could decide to forego the biosimilar approval path and submit a full BLA after completing its own preclinical studies and clinical trials. In such cases, any exclusivity to which we may be eligible under the BPCIA would not prevent the competitor from marketing its product as soon as it is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Europe, the European Commission has granted marketing authorizations for several biosimilar products pursuant to a set of general and product class-specific guidelines for biosimilar approvals issued over the past few years. In Europe, a competitor may reference data supporting approval of an innovative biological product subject to various limitations that impact the marketing exclusivity period. In addition, companies may be developing biosimilar products in other countries that could compete with our products,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competitors are able to obtain marketing approval for biosimilars referencing our product candidates, if approved, such product candidates may become subject to competition from such biosimilars, with the attendant competitive pressure and potential adverse consequences. Such competitive products may be able to immediately compete with us in each indication for which our product candidates may have received approval.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Any legal proceedings or claims involving or against us could be costly and time-consuming to defend and could harm our reputation regardless of the outcome.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become subject to legal proceedings and claims that arise in the ordinary course of business, including intellectual property, data privacy, product liability, employment, class action or derivative, whistleblower and other litigation claims, and governmental and other regulatory investigations and proceedings. Such matters can be time-consuming, divert management’s attention and resources, cause us to incur significant expenses or liability, or require us to change our business practices. In addition, the expense of litigation and the timing of this expense from period to period are difficult to estimate, subject to change, and could adversely affect our financial condition and results of operations. Because of the potential risks, expenses, and uncertainties of litigation, we may, from time to time, settle disputes, even where we have meritorious claims or defenses, by agreeing to settlement agreements. Any of the foregoing could adversely affect our business, financial condition, and results of operations.</w:t>
      </w:r>
    </w:p>
    <w:p>
      <w:pPr>
        <w:pStyle w:val="TextBody"/>
        <w:bidi w:val="0"/>
        <w:spacing w:before="240" w:after="283"/>
        <w:jc w:val="left"/>
        <w:rPr>
          <w:rFonts w:ascii="Times New Roman" w:hAnsi="Times New Roman"/>
          <w:sz w:val="20"/>
        </w:rPr>
      </w:pPr>
      <w:r>
        <w:rPr>
          <w:rFonts w:ascii="Times New Roman" w:hAnsi="Times New Roman"/>
          <w:b/>
          <w:i/>
          <w:color w:val="000000"/>
          <w:sz w:val="20"/>
        </w:rPr>
        <w:t>If product liability lawsuits are brought against us, we may incur substantial liabilities and may be required to limit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or in countries outside the United States under the applicable legal regimes. If we cannot successfully defend ourselves against product liability claims, we may incur substantial liabilities or be required to limit testing and commercialization of our product candidates. Even successful defense or negotiations of a settlement would require significant financial and management resources. Regardless of the merits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or interrupted demand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and inability to continue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of investigations by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exhaustion of any available insurance and our capital resources;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product candidate.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Regulatory Approval and Other Legal Compliance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regulatory approval processes of the FDA, EMA,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required to obtain approval by the FDA, EMA,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an application for or obtained regulatory approval for any product candidate, and it is possible that none of our existing product candidates or any product candidates we may seek to develop in the future will ever obtain regulatory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development of our product candidates and/or regulatory approval may be delayed for reasons beyond our control. For example, the U.S. federal government has experienced and may in the future experience major reductions in the federal workforce, shutdowns or budget sequestrations, which has resulted and could result in significant reductions to the FDA’s budget, employees, and/or operations, which may lead to slower response times and longer review periods, potentially affecting our ability to progress development of our product candidates or obtain regulatory approval for our product candidates. FDA and other regulatory authorities may also experience delays or limited resources due to the effects of worldwide economic conditions, including tariffs and global trade disruptions, pandemics or other public health outbreaks, other geopolitical events, conflicts or other reasons. To the extent FDA and other regulatory authorities experience any delays or limited resources in reviewing our regulatory applications or requests for meetings and/or guidance, and inspection of manufacturing facilities prior to regulatory approval, we may experience significant delays in our anticipated timelines for our clinical studies and/or for seeking regulatory approvals, which could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Applications for our product candidates could fail to receive regulatory approval in an initial or subsequent indication for many reasons,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disagree with the design, implementation, or the interpretation of the results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determine that our product candidates are not safe and effective, only moderately or insufficiently effective or have undesirable or unintended side effects, toxicities, or other characteristics that preclude our obtaining marketing approval or prevent or limit commercial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population studied in the clinical program may not be sufficiently broad or representative to assure efficacy and safety in the full population for which we seek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EMA, or comparable foreign regulatory authorities may disagree with our interpretation of data from preclinical studies or clinical trials;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an NDA, BLA, or other submission or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FDA, EMA, or comparable foreign regulatory authorities that a product candidate’s risk-benefit ratio, on its own or when compared to the standard of care, is acceptable;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fail to approve the manufacturing processes, test procedures, and specifications, or facilities of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policies or regulations of the FDA, EMA, or comparable foreign regulatory authorities may significantly change in a manner rendering our clinical data insufficient for approval or resulting in delays in our regulatory approval, as seen, for example, in connection with the FDA’s approval of Biogen’s Aduhelm in Alzheimer’s disease amid questions regarding the underlying data, as well as the government investigation of the FDA’s approval process for Aduhelm.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lengthy approval process, as well as the unpredictability of the results of clinical trials, may result in our failing to obtain regulatory approval to market any of our product candidates, which would significantly harm our business, results of operations, and growth prospects.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addition, the FDA and other regulatory authorities may change their policies, issue additional regulations or revise existing regulations, any of which could delay our ability to obtain approvals, increase the costs of compliance or restrict our ability to maintain any regulatory approvals we may have obtained. In June 2024, the Supreme Court overturned their 1984 decision that gave rise to the </w:t>
      </w:r>
      <w:r>
        <w:rPr>
          <w:rFonts w:ascii="Times New Roman" w:hAnsi="Times New Roman"/>
          <w:i/>
          <w:color w:val="000000"/>
          <w:sz w:val="20"/>
        </w:rPr>
        <w:t>Chevron</w:t>
      </w:r>
      <w:r>
        <w:rPr>
          <w:rFonts w:ascii="Times New Roman" w:hAnsi="Times New Roman"/>
          <w:color w:val="000000"/>
          <w:sz w:val="20"/>
        </w:rPr>
        <w:t xml:space="preserve"> doctrine. That doctrine gave deference to regulatory agencies such as FDA, rather than the courts, to interpret relevant statutes where the law is ambiguous. As a result of the Supreme Court’s rejection of the </w:t>
      </w:r>
      <w:r>
        <w:rPr>
          <w:rFonts w:ascii="Times New Roman" w:hAnsi="Times New Roman"/>
          <w:i/>
          <w:color w:val="000000"/>
          <w:sz w:val="20"/>
        </w:rPr>
        <w:t>Chevron</w:t>
      </w:r>
      <w:r>
        <w:rPr>
          <w:rFonts w:ascii="Times New Roman" w:hAnsi="Times New Roman"/>
          <w:color w:val="000000"/>
          <w:sz w:val="20"/>
        </w:rPr>
        <w:t xml:space="preserve"> doctrine, more companies and other stakeholders may bring lawsuits against the FDA to challenge longstanding FDA decisions and policies, which could undermine the FDA’s authority, lead to uncertainties in the industry, and disrupt the FDA’s normal operations, potentially resulting in the delay of the FDA’s review of our regulatory submissions. We cannot predict the full impact of this decision on us or the pharmaceutical and biotechnology industries in 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changes in the current administration’s focus and policies, departure of senior leadership at the FDA and other agencies under HHS, reductions in agency funding and staffing at HHS, government shutdowns, lapses in government appropriations, and changes in the staffing and resourcing levels at the FDA may impact the FDA’s operations, including the FDA’s ability to meet current review, approval, and inspection schedules, as well as our ongoing correspondence with the FDA, including correspondence regarding progression to the next phases of development. Likewise, restructuring, downsizing, and decreased funding of federal agencies including the FDA may result in our not realizing all the benefits of Breakthrough Designation and Fast Track designation, particularly benefits related to priority review, frequent communications with the FDA, and intensive guidance from the FDA, to the extent such benefits are applicable to any of our product candidates. Any of the above impacts could in turn delay our anticipated timelines, which can increase the cost of clinical development of our product candidates. Other policy changes may lead to fewer agency guidance documents or to changes in our clinical development plans, which could result in delays, additional expenses, or refusals to approve products. Further, FDA’s “real-time” release of newly issued Complete Response Letters associated with withdrawn or abandoned applications, if applicable to any of our product candidates, can materially impact our competitive advantage and intellectual property. It is unclear how our industry and our clinical programs will be impacted by policies or regulations implemented under the current administration and FDA commissioner or other executive orders. To the extent the agency’s reduction in force and other agency changes lead to disruptions in the FDA’s operations, our interactions, correspondence, and regulatory review processes with the FDA may be delayed.</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 candidates may cause undesirable side effects or have other properties that could halt their clinical development, prevent their regulatory approval, limit their commercial potential, or result in significant negative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events or other undesirable side effects caused by our product candidates could cause us or regulatory authorities to interrupt, delay, or halt clinical trials and could result in a more restrictive label or the delay or denial of regulatory approval by the FDA, EMA, or other comparable foreign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Drug-related side effects could affect patient recruitment, the ability of enrolled patients to complete the study, and/or result in potential product liability claims. We are required to maintain product liability insurance pursuant to certain of our development and commercialization agreements. We may not be able to maintain insurance coverage at a reasonable cost or in sufficient amounts to protect us against losses due to liability. A successful product liability claim or series of claims brought against us could adversely affect our results of operations, business, and reputation. In addition, regardless of merit or eventual outcome, product liability claims may result in impairment of our business reputation, withdrawal of clinical trial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treatment-emergent MRI findings resembling ARIA were observed in our INVOKE-2 Phase 2 clinical trial. ARIA are MRI findings that may include vasogenic edema, sulcal effusions, microhemorrhages and/or superficial siderosis. In INVOKE-2, most cases resembling ARIA were asymptomatic and non-serious. We mitigated ARIA-related risks by discontinuing enrollment of patients who were most at risk based on their genotype, and we implemented additional monitoring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approvals of such product and cause us to recall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additional warnings on the label;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way the product is administered, monitor patients over the course of treatment, or conduct additional clinical trials or post-approval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create a Risk Evaluation and Mitigation Strategy plan, which could include a medication guide outlining the risks of such side effects for distribution to patients, a communication plan for healthcare providers, pre-prescription screening or ongoing monitoring for adverse events (such as ARIA-like events), and/or other elements, such as boxed warning on the packaging (for example, as required for lecanemab), to assure safe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acceptance of the particular product candidate, if approved, and could significantly harm our business, financial condition, results of operations, and growth prospects.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Data on our future product candidates resulting from clinical trials conducted outside the United States may not be accepted by the FDA, EMA, and applicable foreign regulatory authorities.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conduct future clinical trials outside the United States, including in Europe, Latin America, Australia, or Asia. The acceptance of study data from clinical trials conducted outside the United States or another jurisdiction by the FDA, EMA,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and (ii) the trials were performed by clinical investigators of recognized competence and pursuant to cGCP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 United States or the applicable jurisdiction, as regulatory authorities in different jurisdictions may impose different requirements for approval, including requirements with respect to trial design or trial diversity.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 Our reliance on genetic screening and use of biomarkers to align patient risk profiles with targeted intervention may eventually require us to develop and use companion diagnostics, which could likewise require generation of data that would be acceptable to FDA, EMA, or any applicable foreign regulatory authority.</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or EMA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regulatory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foreign regulatory approvals and compliance with foreign regulatory requirements could result in significant delays, difficulties, and costs for us and could delay or prevent the introduction of our products in certain countries. If we or any partner we work with fails to comply with the regulatory requirements in international markets or fails to receive applicable marketing approvals, our target market will be reduced, and our ability to realize the full market potential of our product candidates will be harmed.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obtain regulatory approval for a product candidate, our products will remain subject to extensive post-marketing requirements and regulatory scrutiny.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Manufacturers and manufacturers’ facilities are required to comply with extensive requirements imposed by the FDA, EMA,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NDA, BLA, or marketing authorization application (MAA). Accordingly, we and others with whom we work must continue to expend time, money, and effort in all areas of regulatory compliance, including manufacturing, production, and quality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regulatory approvals that we receive for our product candidates will be subject to limitations on the approved indicated uses for which the product may be marketed and promoted or to the conditions of approval (including any requirement to implement a Risk Evaluation and Mitigation Strategy), or contain requirements for potentially costly post-marketing testing. We will be required to report certain adverse reactions and production problems, if any, to the FDA, EMA, and comparable foreign regulatory authorities. Any new legislation or other government action addressing drug safety issues could result in delays in product development or commercialization, or increased costs to ensure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NDA,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 warning letters that would result in adverse publicity and potentially cause disruptions to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civil or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or withdraw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any of our ongoing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refuse to approve pending applications or supplements to approved applications submitted by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restrictions on our operations, including closing our contract manufacturers’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seize or detain products;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a product recall.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seek orphan drug designation for our product candidates, but we may be unable to obtain such designations or to maintain the benefits associated with orphan drug status, including market exclusivity, which may cause our revenue, if any, to be reduced.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of that drug or biologic. Orphan drug designation must be requested before submitting an NDA or BLA. In the United States, orphan drug designation entitles a party to financial incentives such as opportunities for grant funding towards clinical trial costs, tax advantages, and user-fee waivers. After the FDA grants orphan drug designation, the generic identity of the drug and its potential orphan use are disclosed publicly by the FDA. Orphan drug designation does not convey any advantage in, or shorten the duration of, the regulatory review and approval process. While certain of our prior candidates had orphan drug designation for treatment of FTD, we may be unable to reap the benefits associated with orphan drug status. In addition, we may be unable to obtain orphan drug designation for any additional product candidates, if we seek such designation.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product that has orphan drug designation subsequently receives the first FDA approval for a particular active ingredient for the disease for which it has such designation, the product is entitled to orphan drug exclusivity. This means that the FDA may not approve any other NDA or BLA application to market the same drug or biologic for the same indication for seven years, except in limited circumstances such as if the same drug or biologic shows clinical superiority to the product with orphan exclusivity, if the FDA revokes the orphan drug designation, or if the FDA finds that the holder of the orphan exclusivity has not assured the availability of sufficient quantities of the orphan product to meet the needs of patients with the disease or condition for which the drug was designated. Even if the FDA approves orphan drug status for one of our product candidates for treatment of FTD, the FDA can still approve other drugs that have a different active ingredient for use in treating FTD. Furthermore, orphan drug exclusivity does not prevent the FDA from approving another marketing application for the same drug product for a different indication before the expiration of the orphan exclusivity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litigation in 2021, an appellate court disagreed with the FDA’s longstanding position that orphan drug exclusivity only applies to the approved use or indication within an eligible disease, and not to all uses or indications within the entire designated disease or condition. This court decision created uncertainty in the application of orphan drug exclusivity. In January 2023, the FDA published a notice in the Federal Register to clarify that while the agency complies with the applicable court ruling, the FDA intends to continue tying the scope of orphan-drug exclusivity to the uses or indications for which a drug is approved, which permits other sponsors to obtain approval of a drug for new uses or indications within the same orphan designated disease or condition that has not yet been approved. It is unclear how future litigation, such as a result of executive orders that impose a freeze on hiring, federal funding, and external communications, and return-to-office policy, legislation, agency decisions, and administrative actions will impact the scope of orphan drug exclusivity.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Healthcare legislative and executive measures aimed at reducing healthcare costs may have a material adverse effect on our business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payors, whether domestic or foreign, or governmental or commercial, are developing increasingly sophisticated methods of controlling healthcare costs. In both the United States and certain foreign jurisdictions, there have been a number of legislative, executive, and regulatory changes to the healthcare system that could impact our ability to sell our products profitably.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particular, in 2010, the Patient Protection and Affordable Care Act, or Affordable Care Act (ACA) was enacted, which, among other things, subjected biologic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new annual fees and taxes for certain branded prescription drugs, and provided incentives to programs that increase the federal government’s comparative effectiveness research. In June 2021, the United States Supreme Court held that Texas and other challengers had no legal standing to challenge the ACA, dismissing the case without specifically ruling on the constitutionality of the ACA. Accordingly, the ACA remains in effect in its current form. It is unclear how this Supreme Court decision, future litigation, or healthcare measures promulgated by administrative or legislative action will impact our business, financial condition, and results of operations. Complying with any new legislation or other changes in healthcare regulation could be time-intensive and expensive, resulting in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American Rescue Plan Act of 2021, the statutory cap on Medicaid Drug Rebate Program rebates that manufacturers pay to state Medicaid programs were eliminated. Elimination of this cap may require pharmaceutical manufacturers to pay more in rebates than they receive on the sale of approved products, which could have a material impact on our business.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In March 2023, CMS published its first guidance on how negotiations will be conducted, starting in 2026 for high expenditure drugs as determined and selected by Health and Human Services. In June 2023, CMS issued a revised guidance for the Medicare Drug Price Negotiation Program under the Inflation Reduction Act. In August 2024, CMS released the first set of negotiated prices for ten drugs under the Medicare Drug Price Negotiation Program for 2026. Various industry stakeholders, including pharmaceutical companies have initiated lawsuits against the federal government asserting that the price negotiation provisions of the Inflation Reduction Act are unconstitutional. With the Supreme Court’s June 2024 decision that overturning the Chevron doctrine, the Inflation Reduction Act as well as other administration decisions of HHS, including those of CMS, may be subject to increased litigation and judicial scrutiny.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the current administration has issued executive orders focused on decreasing prescription drug prices, including directing the Secretary of Health and Human Services to establish a mechanism through which American patients can buy drugs directly from manufacturers who sell at a most-favored-nation (MFN) price and directing the U.S. Trade Representative and Secretary of Commerce to take action to ensure foreign countries are not engaged in practices that purposefully and unfairly undercut market prices and drive price hikes in the United States. The OBBBA includes provisions that will impact the U.S. healthcare system in various ways, including by cuts to Medicaid and introducing new participant work and eligibility requirements for Medicaid coverage, which are expected to significantly change the administration and applicability of Medicaid coverage. In November 2025, CMS announced a voluntary initiative called the GENEROUS Model (GENErating cost Reductions fOr U.S. Medicaid Model) to introduce the option of most-favored-nation pricing to the Medicaid program, whereby a drug manufacturer may voluntarily offer supplemental rebates to participating state Medicaid programs for a manufacturer’s covered outpatient drugs. In June 2026, CMS issued a proposed rule that would codify policies established in guidance documents for the Medicare Drug Price Negotiation Program for initial price applicability year 2029 and beyond. CMS plans to release additional guidance to implement policies related to the effectuation of the maximum fair price for the Medicare Drug Price Negotiation Program for 2028, consistent with the Inflation Reduction Act.</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Such MFN pricing agreements and other government measures that use most-favored-nation pricing targets for prescription drugs, including the use of international pricing references to set drug prices in the United States, or increased and earlier generic and biosimilar drug entry, can have a material adverse effect on our industry, including the ability to set adequate pricing for new drugs to recover research and development costs, and the ability to attract potential investors and potential buyers in the future. We cannot predict the full impact of these and other measures that may be implemented by the current administration related to drug pricing. The impact of ongoing judicial challenges against provisions of the Inflation Reduction Act as well as future legislative, executive, and administrative actions under the current presidential administration, including changes in leadership at HHS, CMS, and FDA, and new agency rules implemented by the government on us and the pharmaceutical industry as a whole is unclear. The implementation of cost containment measures or other healthcare reforms may prevent us from being able to generate revenue, attain profitability, or commercialize our product candidates if approved.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states have proposed or enacted legislation that seeks to indirectly or directly regulate pharmaceutical drug pricing, such as by requiring biopharmaceutical manufacturers to publicly report proprietary pricing information or to place a maximum price ceiling on pharmaceutical products purchased by state agencies. For example, a number of states are considering or have recently enacted state drug price transparency and reporting laws that could substantially increase our compliance burdens and expose us to greater liability under such state laws once we begin commercialization after obtaining regulatory approval for any of our products candidates. Such initiatives and legislation may affect the prices we may obtain or demand for any of our product candidates for which we may obtain regulatory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2022, CMS released a national policy for coverage of aducanumab and any future monoclonal antibodies directed against amyloid approved by the FDA with an indication for use in treating Alzheimer’s disease. CMS reiterated this policy in January 2023 in connection with the accelerated approval of lecanemab. According to the two-part National Coverage Determination (NCD), Medicare will cover monoclonal antibodies that target amyloid (or plaque) for the treatment of Alzheimer’s disease that receive traditional approval from the FDA under coverage with evidence development. Following full approval of lecanemab in July 2023, CMS reiterated that it would broadly cover the medication while continuing to gather data. Additionally, for drugs that the FDA has not determined to have shown a clinical benefit or that received an accelerated approval, Medicare will provide coverage in FDA or National Institutes of Health approved clinical trials. In February 2023, CMS again reiterated these policies in rejecting a petition from the Alzheimer’s Association to provide wider coverage for lecanemab. In June 2023, CMS announced that Medicare will cover new Alzheimer’s drugs with traditional FDA approval when a physician and clinical team participate in CMS’ registry to collect evidence on how these drugs work in the real world. Current and future CMS coverage restrictions on classes of drugs that encompass our product candidates could have a material adverse impact on our ability to commercialize our product candidates, if approved, generate revenue and attain profitability. It is unclear how future CMS coverage decisions and policies will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 number of states are considering or have recently enacted state drug price transparency and reporting laws that could substantially increase our compliance requirements and expose us to greater liability under such state laws once we begin commercialization after obtaining regulatory approval for any of our products. Further, the FDA has recently authorized the state of Florida to develop a program to import certain prescription drugs from Canada for a limited period to help reduce drug costs, provided that Florida’s Agency for Health Care Administration meets the requirements set forth by the FDA. Other states may follow Florida.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unable to predict the future course of federal or state healthcare legislation or actions in the United States directed at broadening the availability of healthcare and containing or lowering the cost of healthcare. These and any further changes in the law or regulatory framework that reduce our revenue or increase our costs could also have a material and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continuing efforts of the government, insurance companies, managed care organizations, and other payors of healthcare services to contain or reduce costs of healthcare and/or impose price controls may adversely affect: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for our product if we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receive or set a price that we believe is fair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taxes that we are required to pay;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capital.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One Big Beautiful Bill Act (OBBBA), includes provisions that will impact the United States healthcare system in various ways, including budget cuts to Medicaid and introducing new participant work and eligibility requirements for Medicaid coverage, which are expected to significantly change the administration and applicability of Medicaid coverage. The OBBBA also expanded exemptions for orphan designated drugs for Medicare drug price negotiations, which is expected to incentivize development of orphan designated drugs or increase competition for drug development in orphan diseases or conditions. Although the full impact of the OBBBA on the healthcare system and our business is uncertain, the resulting changes may increase the cost and complexity of completing clinical development of and launching any product candidates for which we may receive regulatory approval or increase our competition in the marketplace, any of which could adversely affect our business and prospects. We expect that the above healthcare reform measures and others that have been and may be adopted in the future, such as the OBBBA, may result in additional reductions in Medicare and other healthcare funding, more rigorous coverage criteria, lower reimbursement, and new payment methodologies. Any reduction in reimbursement from Medicare or other government programs may result in a similar reduction in payments from private payors. This could lower the price that we receive for any approved product. There may be further federal and state legislation, regulations, and other actions designed to control pharmaceutical and biological product pricing, including price or patient reimbursement constraints, discounts, restrictions on certain product access and marketing cost disclosure and transparency measures.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 In addition, increased scrutiny by the U.S. Congress of the FDA’s approval process may significantly delay or prevent marketing approval, as well as subject us to more stringent product labeling and post-marketing testing and other requirements.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employees, independent contractors, consultants, commercial partners, and vendors may engage in misconduct or other improper activities, including noncompliance with regulatory standards and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fraud, misconduct, or other illegal activity by our employees, independent contractors, consultants, commercial partners, and vendors. Misconduct by these parties could include intentional, reckless, and negligent conduct that fails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 with the laws of the FDA, EMA, and other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true, complete, and accurate information to the FDA, EMA, and other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 with clinical or manufacturing standards;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comply with healthcare fraud and abuse laws in the United States and similar foreign fraudulent misconduct laws;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report financial information or data accurately or disclose unauthorized activities to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We have adopted a code of business conduct and ethics and other policies, but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comply with healthcare laws, we could face substantial penalties and our business, operations, and financial conditions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obtain FDA approval for any of our product candidates and begin commercializing those products in the United States, our operations will be subject to various federal and state fraud and abuse laws. The laws that may impact our operations include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Among other things the federal Anti-Kickback Statute prohibits persons from knowingly and willfully soliciting, receiving, offering, or paying any remuneration (including any kickback, bribe, or rebate), directly or indirectly, overtly or covertly, in cash or in kind, to induce, or in return for, either the referral of an individual,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civil and criminal false claims laws and civil monetary penalty laws, including the False Claims Act, impose criminal and civil penalties, including through civil “qui tam” or “whistleblower” actions,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 Similar to the federal Anti-Kickback Statute, a person or entity does not need to have actual knowledge of these statutes or specific intent to violate them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(HIPAA)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of 2009 (HITECH) and their respective implementing regulations,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 Sunshine Act, created under the ACA, and its implementing regulations, require applicable manufacturers of drugs, devices, biologicals, and medical supplies for which payment is available under Medicare, Medicaid, or the Children’s Health Insurance Program to report annually to the U.S. Department of Health and Human Services under the Open Payments Program, information related to payments and other transfers of value made to covered recipients, including physicians (defined to include doctors, dentists, optometrists, podiatrists and chiropractors), certain non-physician healthcare professionals (such as nurse practitioners and physician assistants, among others) and teaching hospitals, and information regarding ownership and investment interests held by physicians (as defined by law)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consumer protection and unfair competition laws broadly regulate marketplace activities and activities that potentially harm consumers.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and foreign laws and regulations, such as state and foreign anti-kickback, false claims, consumer protection, and unfair competition laws may apply to pharmaceutical business practices, including but not limited to, research, distribution, sales, and marketing arrangements, as well as submitting claims involving healthcare items or services reimbursed by any third-party payer, including commercial insurers.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State laws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laws also require drug manufacturers to file reports with states regarding pricing and marketing information, such as the tracking and reporting of gifts, compensations and other remuneration, and items of value provided to healthcare professionals and entities.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State and foreign laws also govern the privacy and security of health information in certain circumstances, such as Washington’s My Health, My Data Act, which, among other things, provides for a private right of action. Many of these laws differ from each other in significant ways and may not have the same effect, thus complicating compliance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breadth of these laws and the narrowness of the statutory exceptions and safe harbors available, it is possible that some of our business activities could, despite our efforts to comply, be subject to challenge under one or more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civil, criminal, and administrative penalties, damages, disgorgement,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or any contract manufacturers and suppliers we engage fail to comply with environmental, health, and safety laws and regulations, we could become subject to fines or penalties or incur costs that could have a material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is subject to complex and evolving U.S. and foreign laws and regulations relating to security, privacy and data protection. These laws and regulations are subject to change and uncertain interpretation, and could result in claims, changes to our business practices, or monetary penalties, and otherwise may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wide variety of state, national, and international laws and regulations apply to security and cybersecurity requirements and the collection, use, retention, protection, disclosure, transfer, and other processing of personal data, including the data obtained in our clinical trials. These laws and regulations include the General Data Protection Regulation (GDPR) in the European Union and similar requirements in other jurisdictions, as well as privacy laws and regulations within the United States. These laws and regulations are evolving and may result in ever-increasing regulatory and public scrutiny and escalating levels of enforcement and sanctions. We are continually working to comply with these laws and regulations, and we have devoted, and anticipate needing to continue to devote, significant additional resources to our compliance efforts. It is possible that new legislation, regulations, or other government action may impose, or purport to impose, new or modified obligations and requirements on us and similarly situated companies, and these laws or regulations may be interpreted and applied in a manner that is inconsistent from jurisdiction to jurisdiction, that can result in new or modified compliance obligations or that may be inconsistent with our policies and practices. Our actual or perceived failure to adequately comply with applicable laws, regulations, or other actual or asserted obligations relating to security, privacy, and data protection, to protect our systems, personal data, and other data we process or maintain, or to obtain appropriate consent with respect to our use, processing, disclosure or transfer of personal data, including data obtained in our clinical trials, could result in regulatory fines, investigations and enforcement actions, penalties and other liabilities, claims for damages by affected individuals, and damage to our reputation, and could impact our ability to use, disclose, transfer, or otherwise process data obtained in our clinical trials, any of which could materially affect our business, financial condition, results of operations, and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or reductions in the FDA’s or other government agencies’ management and personnel, or changes in such agencies’ funding, could impact their ability to hire and retain key leadership and other personnel, impact the timing for development or commercialization of new products and services, or otherwise impact those agencies’ performance of historically typical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agency reorganizations, ability to hire and retain key personnel and accept the payment of user fees, and statutory, regulatory, and policy changes. Average review times at the agency have fluctuated in recent years as a result and may increase due to recent reductions in FDA staffing. In addition, government funding of other government agencies on which our operations may rely, including those that fund research and development activities, is subject to the political process, which is inherently fluid and unpredictable. Changes at the FDA and other agencies may also slow the time necessary for new drugs to be reviewed and/or approved by necessary government agencies, which would adversely affect our business. Changes in the leadership at federal agencies under the current presidential administration, as well as executive orders and actions, such as staffing cuts, hiring freezes, regulatory freeze pending review by the new administration, and a freeze on external communications and federal funding, may also impact our clinical development and business operations and that of our partners or collaborators. The U.S. government has experienced budgetary shutdowns and certain regulatory agencies, such as the FDA, have had to furlough critical FDA and other government employees and stop critical activities. In the event of a prolonged government shutdown, or if regulatory agencies continue to experience workforce reductions,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Our business activities may be subject to the Foreign Corrupt Practices Act (FCPA), similar anti-bribery and anti-corruption laws, and other regulations.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activities may be subject to the FCPA and similar anti-bribery or anti-corruption laws, regulations, or rules of other countries in which we operate,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engage in our clinical trials or prescribe pharmaceuticals are employed by their government, and the purchasers of pharmaceuticals are government entities; therefore, our dealings with these investigators, prescribers and purchasers are subject to regulation under the FCPA.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past, the SEC and Department of Justice increased their FCPA enforcement activities with respect to biotechnology and pharmaceutical companies. There is no certainty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and financial condition.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Reliance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expect to depend on collaborations with third parties for the research, development, and commercialization of certain of the product candidates we may develop. If any such collaborations are not successful, we may not be able to realize the market potential of those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used and may in the future use third-party collaborators for the research, development, and commercialization of certain product candidates we may develop, and those collaborations may not be successful. On July 6, 2026, GSK provided written notice to the Company terminating the GSK Agreement, following the discontinuation of the development of latozinemab and nivisnebart based on the results of the INFRONT-3 Phase 3 clinical trial and the PROGRESS-AD Phase 2 interim analysis for those product candidates, respectively. Adimab can terminate its agreement with us in the event of our uncured materials breaches, and subject to certain notice requirements. In January 2025, AbbVie decided to terminate the AbbVie Agreement after the INVOKE-2 Phase 2 clinical trial evaluating the safety and efficacy of AL002 in slowing disease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progression in individuals with early AD failed to meet the primary endpoint. In the event that any of our third-party collaborators discontinues its collaboration with us, we may not be able to find a suitable alternative collaboration partner or partners, or we may need to obtain and expend additional and unanticipated capital to maintain our current development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likely collaborators for any other collaboration arrangements include large and mid-sized pharmaceutical companies, regional and national pharmaceutical companies, biotechnology companies, and academic institutions. Such arrangements with any third parties generally provide us with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our current collaborations or any collaboration that we may enter into.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involving our research programs, or any product candidates we may develop, pose risks to us,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generally have significant discretion in determining the efforts and resources that they will apply to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decide to delay or not pursue development and commercialization of any product candidates we develop or may elect not to continue or renew development or commercialization programs, for example, based on clinical trial results, changes in the collaborator’s strategic focus or available funding, the collaborator’s assessment regarding the commercial viability of the product candidate, or external factors such as an acquisition that diverts resources or creates competing priorities or collaborators may elect to fund or commercialize a competing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delay clinical trials, provide insufficient funding for a clinical trial program, provide insufficient quantities of materials for a clinical trial program, stop a clinical trial or abandon a product candidate, repeat or conduct new clinical trials, or require a new formulation of a product candidate for clinical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collaborations may be terminated in their entirety or with respect to certain product candidates or technologies and, if so terminated, may result in a need for additional capital to pursue further development or commercialization of the applicable product candidates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obtain, maintain, enforce, or defend intellectual property or proprietary rights relating to our product candidates or research programs or may use our proprietary information in such a way as to expose us to potential litigation or other intellectual property related proceedings, including proceedings challenging the scope, ownership, validity, and enforceability of our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own or co-own intellectual property covering our product candidates or research and development programs that results from our collaboration with them, and in such cases, we may not have the exclusive right to commercialize such intellectual property or such product candidates or research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need the cooperation of our collaborators to enforce or defend any intellectual property we contribute to or that arises out of our collaborations, which may not be provided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collaborators may control certain interactions with regulatory authorities, which may impact our ability to obtain and maintain regulatory approval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the collaborators and us that result in the delay or termination of the research, development, or commercialization of our product candidates or research programs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 candidates or research programs if the collaborators believe that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restrict us from researching, developing, or commercializing certain products or technologies without their involvement;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with manufacturing, marketing, or distribution rights to one or more product candidates may not commit sufficient resources to the manufacture, marketing, or distribution of such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lose certain valuable rights under circumstances identified in our collaborations, including if we undergo a change of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grant sublicenses to our technology or product candidates or undergo a change of control, and the sublicensees or new owners may decide to take the collaboration in a direction which is not in our best interest;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become bankrupt, which may significantly delay our research or development programs, or may cause us to lose access to valuable technology, know-how, or intellectual property of the collaborator relating to our products, product candidates, or research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reductions in federal funding, such as research grants, to academic and other institutions may result in reduced opportunities to collaborate with such institutions;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key personnel at our collaborators may leave, which could negatively impact our ability to productively work with our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require us to incur short and long-term expenditures, issue securities that dilute our stockholders, or disrupt our management and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our collaborators do not satisfy their obligations under our agreements with them, if they terminate our collaborations with them, or if we fail to satisfy our obligations to our collaborators, we may not be able to develop or commercialize product candidates as planned;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terms of a collaboration agreement may be amended in a manner that could negatively impact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require us to share in development and commercialization costs pursuant to budgets that we do not fully control, and our failure to share in such costs could have a detrimental impact on the collaboration or our ability to share in revenue generated under the collaboration;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agreements may not lead to development or commercialization of product candidates in the most efficient manner or at all;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present or future collaborator of ours were to be involved in a business combination, such as a merger or acquisition, the continued pursuit and emphasis on our development or commercialization program under such collaboration could be delayed, diminished, or terminated.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AbbVie, after reviewing the CD33 collaboration program with us, decided to terminate the CD33 collaboration program, under which AL003 was being developed. AbbVie later decided to terminate the TREM2 collaboration program, under which AL002 was being developed, resulting in termination of the AbbVie Agreement. Prior to its discontinuation for futility, the PROGRESS-AD Phase 2 trial with nivisnebart was being conducted by GSK and GSK is winding down the study. Alector is responsible for up to $140.5 million of the costs of such study. As such, the timing at which the costs of winding down the study are outside of Alector’s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face significant competition in seeking appropriate collaborations. For example,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revenue. </w:t>
      </w:r>
    </w:p>
    <w:p>
      <w:pPr>
        <w:pStyle w:val="TextBody"/>
        <w:bidi w:val="0"/>
        <w:spacing w:before="120" w:after="283"/>
        <w:jc w:val="left"/>
        <w:rPr>
          <w:rFonts w:ascii="Times New Roman" w:hAnsi="Times New Roman"/>
          <w:sz w:val="20"/>
        </w:rPr>
      </w:pPr>
      <w:r>
        <w:rPr>
          <w:rFonts w:ascii="Times New Roman" w:hAnsi="Times New Roman"/>
          <w:color w:val="000000"/>
          <w:sz w:val="20"/>
        </w:rPr>
        <w:t>We may not realize the benefit of collaborations if we or our collaborator are unable to successfully develop a product candidate and commercialize it upon approval or integrate a product candidate into existing operations and company culture. For example, in January 2025, AbbVie decided to terminate the TREM2 collaboration program, which resulted in termination of the AbbVie Agreement, after the INVOKE-2 Phase 2 clinical trial evaluating the safety and efficacy of AL002 in slowing disease progression in individuals with early AD failed to meet the primary endpoint. Therefore, we did not receive a $250.0 million milestone payment for AbbVie’s opting into the AL002 program or any future payments, and all rights to the TREM2 program have reverted back to us. In October 2025, we announced that latozinemab failed to meet the clinical co-primary endpoint in the INFRONT-3 Phase 3 clinical trial. As a result, we will not be seeking approval for and commercializing latozinemab in FTD-</w:t>
      </w:r>
      <w:r>
        <w:rPr>
          <w:rFonts w:ascii="Times New Roman" w:hAnsi="Times New Roman"/>
          <w:i/>
          <w:color w:val="000000"/>
          <w:sz w:val="20"/>
        </w:rPr>
        <w:t>GRN</w:t>
      </w:r>
      <w:r>
        <w:rPr>
          <w:rFonts w:ascii="Times New Roman" w:hAnsi="Times New Roman"/>
          <w:color w:val="000000"/>
          <w:sz w:val="20"/>
        </w:rPr>
        <w:t xml:space="preserve">, and certain milestone payments ($160 million for the first US commercial sale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and $90 million for the first commercial sale in two or more EU countries) will not be achieved through commercialization of latozinemab in FTD-</w:t>
      </w:r>
      <w:r>
        <w:rPr>
          <w:rFonts w:ascii="Times New Roman" w:hAnsi="Times New Roman"/>
          <w:i/>
          <w:color w:val="000000"/>
          <w:sz w:val="20"/>
        </w:rPr>
        <w:t>GRN</w:t>
      </w:r>
      <w:r>
        <w:rPr>
          <w:rFonts w:ascii="Times New Roman" w:hAnsi="Times New Roman"/>
          <w:color w:val="000000"/>
          <w:sz w:val="20"/>
        </w:rPr>
        <w:t>, and our receipt of such milestones will therefore be delayed, or may not occur at all. On July 6, 2026, GSK provided written notice to the Company terminating the GSK Agreement. Therefore we will not receive up to an additional $1.5 billion in clinical development, regulatory, and commercial launch-related milestone payments, an equal share of profits and losses in the United States, and tiered royalties outside the United States, as we had been eligible for under that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Many of the risks relating to product development, regulatory approval, and commercialization described in this “Risk Factors” section also apply to the activities of our collaborators and any negative impact on our collaborators may adversely affect us. </w:t>
      </w:r>
    </w:p>
    <w:p>
      <w:pPr>
        <w:pStyle w:val="TextBody"/>
        <w:bidi w:val="0"/>
        <w:spacing w:before="240" w:after="283"/>
        <w:jc w:val="left"/>
        <w:rPr>
          <w:rFonts w:ascii="Times New Roman" w:hAnsi="Times New Roman"/>
          <w:sz w:val="20"/>
        </w:rPr>
      </w:pPr>
      <w:r>
        <w:rPr>
          <w:rFonts w:ascii="Times New Roman" w:hAnsi="Times New Roman"/>
          <w:b/>
          <w:i/>
          <w:color w:val="000000"/>
          <w:sz w:val="20"/>
        </w:rPr>
        <w:t>We expect to rely on third parties to conduct our clinical trials and some aspects of our research and preclinical testing, and those third parties may not perform satisfactorily, including failing to meet deadlines for the completion of such trials, research, or testing.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expect to continue to rely on third parties, such as laboratory service providers and other vendors, CROs, clinical data management organizations, medical institutions, and clinical investigators, to conduct some aspects of our research and preclinical testing and our clinical trials. Any of these third parties may terminate their engagements with us or be unable to fulfill their contractual obligations. If we need to enter into alternative arrangements, it would delay our research, preclinical and clinical development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For example, if our CROs or clinical sites deviate from the clinical protocol or cGCPs, then such deviations could have serious negative impacts on our trials, including exclusion of patients or sites from our trials, which could put patients at risk or make assessment of the clinical endpoints infeasible or inconclusive. Moreover, the FDA requires us to comply with cGCPs for conducting, recording, and reporting the results of clinical trials to assure that data and reported results are credible, reproducible, and accurate and that the rights, integrity, and confidentiality of trial participants are protected. We also are required to register ongoing clinical trials and post the results of completed clinical trials on government-sponsored databases within certain timeframes. We may also be exposed to additional liabilities if our contracted third parties engage in activities associated with improper use of information obtained in the course of patient recruitment for our clinical trials, cGCP noncompliance or noncompliance under applicable privacy laws, which could result in regulatory sanctions and cause serious harm to our reputation and business operations. Failure to do so can result in fines, adverse publicity, and civil and criminal sanctions.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these third parties do not successfully carry out their contractual duties, meet expected deadlines, or comply with regulatory requirements or our stated protocols, we will not be able to obtain, or may be delayed in obtaining, data to advance development of any of our product candidates or to achieve marketing approvals for any of our product candidates and we will not be able to, or may be delayed in our efforts to, successfully commercialize our medicines.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expect to rely on other third parties to store and distribute drug supplies for our clinical trials. Any performance failure on the part of our distributors, including with the shipment of any drug supplies, could delay clinical development or marketing approval of any product candidates we may develop or commercialization of our medicines, producing additional losses and depriving us of potential revenue.</w:t>
      </w:r>
    </w:p>
    <w:p>
      <w:pPr>
        <w:pStyle w:val="TextBody"/>
        <w:bidi w:val="0"/>
        <w:spacing w:before="240" w:after="283"/>
        <w:jc w:val="left"/>
        <w:rPr>
          <w:rFonts w:ascii="Times New Roman" w:hAnsi="Times New Roman"/>
          <w:sz w:val="20"/>
        </w:rPr>
      </w:pPr>
      <w:r>
        <w:rPr>
          <w:rFonts w:ascii="Times New Roman" w:hAnsi="Times New Roman"/>
          <w:b/>
          <w:i/>
          <w:color w:val="000000"/>
          <w:sz w:val="20"/>
        </w:rPr>
        <w:t>We contract with third parties for the manufacture of materials for our research programs, preclinical studies, clinical trials, and for commercialization of any product candidates that we may develop. Additionally, potential partners may in the future have certain product manufacturing rights under their respective agreements.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manufacturing facilities. We currently rely on CDMOs for the manufacture of our materials for research, preclinical studies and clinical trials and expect to continue to do so for research, preclinical studies, clinical trials, and for commercial supply of any product candidates that we may develop. We currently have established relationships with several CDMOs for the manufacture of each of our product candidates. We may be unable to establish any further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agreements with CDMOs or to do so on acceptable terms. Even if we are able to establish agreements with third-party manufacturers, reliance on CDMOs entails additional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the manufacturing agreement by the third party;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agreement by the third party at a time that is costly or inconvenient for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possible site closure or other change by the third party that would require adjustments to our production processes, location or otherwise;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 party for regulatory compliance, quality assurance, safety, and pharmacovigilance and related reporting;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produce required volume in a timely manner and to quality standards.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manufacturers may not be able to comply with cGMP regulations or similar regulatory requirements outside the United States. Our failure, or the failure of our CDMOs or collaboration partners,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medicines that we may develop may compete with other product candidates and products for access to manufacturing facilities. There are a limited number of manufacturers that operate under cGMP regulations and that might be capable of manufacturing for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performance failure on the part of our existing or future third-party manufacturers could delay clinical development or marketing approval.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anticipated future dependence upon others for the manufacture of any product candidates we may develop may adversely affect our future profit margins and our ability to commercialize any medicines that receive marketing approval on a timely and competitive basis.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and the CDMO partners on which we rely, depend on third-party suppliers for key raw materials used in our manufacturing processes, and the loss of these third-party suppliers or their inability to supply us with adequate raw materials, could harm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the CDMO partners on which we rely depend on third-party suppliers for the supply of the raw materials required for the production of our product candidates, and we expect to continue to depend on third-party manufacturers for the commercial supply of any of our product candidates for which we obtain marketing approval. Their dependence on these third-party suppliers and the challenges faced in obtaining adequate supplies of raw materials involve several risks, including supply chain issues caused by the effects of worldwide economic conditions, including pandemics and other public health outbreaks, national security concerns, export or import restrictions, trade tariffs, or other geopolitical events, limited control over pricing, the availability of such materials, the quality of such materials, and delivery schedules. To the extent our business relies on customers, vendors, or suppliers in countries where the U.S. government has imposed any of these or other trade restrictions, our business may experience a material adverse effect. As a small company, our negotiation leverage is limited, and we are likely to get lower priority than our competitors who are larger than we are. We do not have long-term supply agreements, and we purchase our required drug product on a development manufacturing services agreement or purchase order basis. We cannot be certain that suppliers will continue to provide the quantities of these raw materials that are required or satisfy the anticipated specifications and quality requirements. Any supply interruption in limited or sole sourced raw materials, including those caused by the effects of worldwide economic conditions including pandemics and other public health outbreaks, geopolitical events, export or import restrictions, or trade tariffs, could materially harm our ability to manufacture our product candidates until a new source of supply, if any, can be identified and qualified. In such an event, we may be unable to find a sufficient alternative supply channel in a reasonable time or on commercially reasonable terms. Any performance failure on the part of the suppliers could delay the development and potential commercialization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including limiting supplies necessary for clinical trials and regulatory approvals, which would have a material adverse effect on our business.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obtain and maintain patent protection for any product candidates we develop, our competitors could develop and commercialize products similar or identical to ours, and our ability to successfully commercialize any product candidates we may develop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large part on our ability to obtain and maintain patent protection in the United States and other countries with respect to our proprietary product candidates and other technologies we may develop. We seek to protect our proprietary position by filing patent applications in the United States and abroad relating to our core programs and product candidates, as well as other technologies that are important to our business. As our product candidates enter and progress through clinical development, we continue to pursue intellectual property protection with respect to certain aspects of those product candidates. For example, we have filed or intend to file patent applications on aspects of our technology and core product candidates; however, there can be no assurance that any such patent applications will issue as granted patents. Furthermore, in cases in which we have only filed provisional patent applications on certain aspects of our technology and product candidates, each of those provisional patent applications is not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core programs and product candidates, as well as other technologies that are important to our business, and instead may need to rely on filing patent applications with claims covering a method of use and/or method of manufacture for protection of such core programs, product candidates, and other technologies. There can be no assurance that any such patent applications will issue as granted patents, and even if they do issue, such patent claims may be insufficient to prevent third parties, such as our competitors, from utilizing our technology. Moreover, if we decide to abandon certain patent applications or cease maintaining issued patents relating to programs or product candidates that are no longer important to our business, there is a risk that our interest in such programs or product candidates may resume at a future time, e.g., due to new information available to us or in the field, and our intellectual property rights with respect to those programs or product candidates may be weakened due to the abandonment of or failure to maintain such patent applications and patents, respectively. Any failure to obtain or maintain patent protection with respect to our core programs and product candidates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any of our patent applications, or those of our collaborators, do not issue as patents in any jurisdiction, we may not be able to compete effectively.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either the patent laws or their interpretation in the United States and other countries may diminish our ability to protect our inventions, obtain, maintain, and enforce our intellectual property rights and, more generally, could affect the value of our intellectual property or narrow the scope of our patents or those of our collaborators with respect to our product candidates. With respect to both our intellectual property and that of our collaborators related to our product candidates, we cannot predict whether the patent applications we and our collaborators are currently pursuing will issue as patents in any particular jurisdiction or whether the claims of any issued patents will provide sufficient protection from competitors or other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prosecution process is expensive, time-consuming, and complex, and we or our collaborators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CDMOs,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Furthermore,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collaborators were first to file for patent protection of such inventions.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If the scope of any patent protection we obtain is not sufficiently broad, or if we lose any of our patent protection, our ability to prevent our competitors from commercializing similar or identical technology and product candidates would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or our collaborators’ pending and future patent applications may not result in patents being issued which protect our product candidates or other technologies or which effectively prevent others from commercializing competitive technologies and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the coverage claimed in a patent application can be significantly reduced before the patent is issued, and its scope can be reinterpreted after issuance. Even if patent applications we or our collaborators license or own currently or in the future issue as patents, they may not issue in a form that will provide us with any meaningful protection, prevent competitors or other third parties from competing with us, or otherwise provide us with any competitive advantage. Any patents to which we or our collaborators have rights may be challenged, narrowed, circumvented, or invalidated by third parties. Consequently, we do not know whether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issuance of a patent is not conclusive as to its inventorship, scope, validity, or enforceability, and our patents may be challenged in the courts or patent offices in the United States and abroad. We or our collaborators may be subject to a third-party pre-issuance submission of prior art to the United States Patent and Trademark Office (USPTO) or foreign patent offices or become involved in opposition, derivation, revocation, reexamination, post-grant and </w:t>
      </w:r>
      <w:r>
        <w:rPr>
          <w:rFonts w:ascii="Times New Roman" w:hAnsi="Times New Roman"/>
          <w:i/>
          <w:color w:val="000000"/>
          <w:sz w:val="20"/>
        </w:rPr>
        <w:t>inter partes</w:t>
      </w:r>
      <w:r>
        <w:rPr>
          <w:rFonts w:ascii="Times New Roman" w:hAnsi="Times New Roman"/>
          <w:color w:val="000000"/>
          <w:sz w:val="20"/>
        </w:rPr>
        <w:t xml:space="preserve"> review, inventorship dispute, or interference proceedings or other similar proceedings challenging our or our collaborators’ patent rights. An adverse determination in any such submission, proceeding, or litigation could reduce the scope of, or invalidate or render unenforceable, such patent rights, allow third parties to commercialize our product candidates or other technologies and compete directly with us, without payment to us. Moreover, we, or any one of our collaborators, may have to participate in post-grant challenge proceedings, such as oppositions in a foreign patent office, in which a third party challenges the features of patentability with respect to our or our collaborators’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for our product candidates and other technologies. Such proceedings also may result in substantial cost and require significant time from our scientists and management, even if the eventual outcome is favorable to us. If we or our collaborators are unsuccessful in any such proceeding or other inventorship dispute, we may be required to obtain and maintain licenses from third parties. Such licenses may not be available on commercially reasonable terms or at all, or may be non-exclusive. If we are unable to obtain and maintain such licenses, we may need to cease the development, manufacture, and commercialization of one or more of the product candidates we may develop. The loss of exclusivity or the narrowing of our owned and licensed patent claims could limit our ability to stop others from using or commercializing similar or identical technology and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rights to exclude others for a sufficient period of time from commercializing products similar or identical to ours.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our patents and patent applications may be co-owned with third parties. In addition, collaborators or future licensors may co-own their patents and patent applications with other third parties with whom we do not have a direct relationship. Our rights to certain of these patents and patent applications may be dependent, in part, on inter-institutional or other operating agreements between the joint owners of such patents and patent applications, who are not parties to our license agreements. If our collaborators or future licensors do not have exclusive control of the grant of licenses under any such third-party co-owners’ interest in such patents or patent applications or we are otherwise unable to secure such exclusive rights, such co-owners may be able to license their rights to other third parties, including our competitors, and our competitors could market competing products and technology to the extent such products and technology are not also covered by our intellectual property.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Our rights to develop and commercialize are subject, in part, to the terms and conditions of agreements with others, including terms and conditions regarding intellectual property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rely on certain patent rights and proprietary technology from third parties that are important or necessary to the development of our product candidates, and development and commercialization of our product candidates may be subject to the terms and conditions of collaboration agreements with third parties. Such agreements may not provide exclusive rights to use certain intellectual property and technology retained by the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 In addition, subject to the terms of any such agreements, we may not have the right to control the preparation, filing, prosecution, and maintenance, and we may not have the right to control the enforcement and defense of certain patents and patent applications relating to or affecting our development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be certain that patents and patent applications as to which preparation, filing, prosecution, maintenance, enforcement, or defense are controlled by our collaborators will be prepared, filed, prosecuted, maintained, enforced, and defended in a manner consistent with the best interests of our business. If our collaborators fail to prosecute, maintain, enforce, and defend such patents, or lose rights to those patents or patent applications, our rights to such patents may be reduced or eliminated, our right to develop and commercialize any of our product candidates that are the subject of such rights could be adversely affected, and we may have a reduced ability to prevent competitors from making, using, and selling competing products. In addition, even where we have the right to control prosecution of patent applications we have licensed to and from collaborators, we may still be adversely affected or prejudiced by actions or inactions of our collaborators that took place prior to the date upon which we assumed control of patent prosecution.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Furthermore, our or our collaborators’ patents may be subject to a reservation of rights by one or more third parties. For example, we received an award from the National Institute of Health in support of our research into the production and characterization of novel therapeutic antibodies against the neurotrophic factor PGRN degrading receptor SORT1, which led to the development of latozinemab and nivisnebart. As a result,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for public use under federal regulations, or to give preference to U.S. industry. In addition, our rights in such inventions may be subject to certain requirements to manufacture products embodying such inventions in facilities in the United States in certain circumstances and if the U.S. government does not waive this requirement. Any exercise by the U.S. government of its rights, including denial of a request for a waiver of the above requirements to manufacture certain products in facilities in the United States, or by any third party of its reserved rights, could have a material adverse effect on our competitive position, business, financial condition, results of operations, and prospects, including our plans and timing for potential commercialization.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the government may implement new policies and guidelines that impose certain risks on our intellectual property. On July 28, 2023, President Biden issued an Executive Order that emphasized a preference for domestic manufacturing for subject inventions under the Bayh Dole Act (Bayh Dole). On December 7, 2023, the National Institutes of Science and Technology (NIST) published a draft framework for expanding the use of the government’s march-in rights under Bayh Dole. In August 2025, the U.S. Department of Commerce under the Trump administration initiated a comprehensive review of Harvard University’s federally funded research programs and expressly reserved the government’s right to exercise its march-in authority with respect to Harvard’s patent portfolio. If the U.S. government exercises its march-in rights for any of our subject inventions under its policy, this action could have a material adverse effect on our competitive position, business, financial condition, results of operations, and prospects, including our plans and timing for potential commercialization.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comply with our obligations in the agreements under which we option or license intellectual property rights from our collaborators or future licensors or otherwise experience disruptions to our business relationships with our collaborators or future licensors, we could lose intellectual property rights that are important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entered into agreements with our collaborators to option or license certain intellectual property and may need to obtain additional intellectual property rights from others to advance our research or allow commercialization of product candidates we may develop. It is possible that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each of our agreements with collaborators do, and we expect our future agreements will, impose various economic, development, diligence, commercialization, and other obligations on us. Certain of our collaboration agreements may require us to meet development timelines, or to exercise commercially reasonable efforts to develop and commercialize licensed products. In spite of our efforts, our collaborators might conclude that we have materially breached our obligations under such agreements and might therefore terminate or seek damages under the agreements, thereby removing or limiting our ability to develop and commercialize products and technology covered by these agreements. If termination of these agreements causes us to lose the rights to certain patents or other intellectual property, or if the underlying patents fail to provide the intended exclusivity,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disputes may arise regarding intellectual property subject to a collaboration agreement,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the option or license rights granted under the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our technology and processes infringe on intellectual property of the collaborator that is not subject to the option or license rights granted under the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sublicensing of patent and other rights under our collaborative development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diligence obligations under the agreement and what activities satisfy those diligence obligations;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inventorship and ownership of inventions and know-how resulting from the joint creation or use of intellectual property by our collaborators and us and our other partners.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agreements under which we currently have rights to option or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our current arrangements on commercially acceptable terms, we may be unable to successfully develop and commercialize the affected product candidates, which could have a material adverse effect on our business, financial conditions, results of operations, and growth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able to protect our intellectual property and proprietary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and defending patents on our product candidates and other technologies in all countries throughout the world would be prohibitively expensive, and the laws of foreign countries may not protect our rights to the same extent as the laws of the United States.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Consequently, we may not be able to prevent third parties from practicing our inventions in all countries outside the United States, or from selling or importing products made using our inventions in or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counterclaims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patents. If we, our collaborators, or any of our future licensors is forced to grant a license to third parties with respect to any patents relevant to our business, our competitive position may be impaired, and our business, financial condition, results of operations, and prospects may be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 fees on patents and applications will be due to the USPTO and various government patent agencies outside of the United States over the lifetime of our owned or licensed patents and applications. In certain circumstances, we rely on our collaborators or licensing partners to pay these fees due to U.S. and non-U.S. patent agencies. The USPTO and various non-U.S. government agencies require compliance with several procedural, documentary, fee payment, and other similar provisions during the patent application process. We also are dependent on our collaborators or licensors to take the necessary action to comply with these requirements with respect to our licensed intellectual property. In some cases, an inadvertent lapse can be cured by payment of a late fee or by other means in accordance with the applicable rules.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growth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ongoing conflict between Russia and Ukraine, including the sanctions targeting Russia, could interfere with filing of patent applications, prosecution of applications, and maintenance of issued patents in Russia, Ukraine, and via the Eurasian Patent Office. For example, the conflict and sanctions could interfere with payment of filing fees, extension fees, and annuities. The conflict and sanctions could also interfere with enforcement or defense of patents issued in Russia, Ukraine, and via the Eurasian Patent Office. Similarly, the ongoing conflicts in the Middle East could interfere with our ability to prosecute, maintain, enforce and defend patents in Israel. These conflicts and associated sanctions could therefore increase the uncertainties and costs surrounding the prosecution of our patent applications and the enforcement or defense of any future issued patents, all of which could have a material adverse effect on our business, financial condition, results of operations, and prospects.</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U.S. patent law could diminish the value of patents in general, thereby impairing our ability to protect our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For example, under the Leahy-Smith America Invents Act (the America Invents Act), the first inventor to file a patent application in the United States is entitled to the patent on an invention regardless of whether another party was the first to invent the claimed invention. Therefore, a third party that filed a patent application in the USPTO after March 2013, but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us, could be awarded a patent covering an invention of ours even if we had made the invention before it was made by such third party. This possibility requires us to be cognizant of the time from invention to the time of filing a patent application. Because patent applications in the United States and most other countries are confidential for a period of time after filing or until issuance, we cannot be certain that we were the first to file any patent application related to our product candidates or other technologies.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Certain procedures at the USPTO under the America Invents Act could affect the way patent applications are prosecuted and also may affect patent litigation. These include allowing third-party submission of prior art to the USPTO during patent prosecution and additional procedures to attack the validity of a patent by USPTO administered post-grant proceedings, including post-grant review, </w:t>
      </w:r>
      <w:r>
        <w:rPr>
          <w:rFonts w:ascii="Times New Roman" w:hAnsi="Times New Roman"/>
          <w:i/>
          <w:color w:val="000000"/>
          <w:sz w:val="20"/>
        </w:rPr>
        <w:t>inter partes</w:t>
      </w:r>
      <w:r>
        <w:rPr>
          <w:rFonts w:ascii="Times New Roman" w:hAnsi="Times New Roman"/>
          <w:color w:val="000000"/>
          <w:sz w:val="20"/>
        </w:rPr>
        <w:t xml:space="preserve">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presented in a district court action. Accordingly, a third party may attempt to use the USPTO procedures to invalidate our patent claims that would not have been invalidated if challenged by the third party as a defendant in a district court action. Therefore, the America Invents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patent positions of companies in the development and commercialization of pharmaceuticals are particularly uncertain. Rulings from the U.S. Supreme Court and the U.S. Court of Appeals for the Federal Circuit have narrowed the scope of patent protection available in certain circumstances and weakened the rights of patent owners in certain situations. Certain rulings, for example, have applied the enablement and written description requirements to limit the scope of claims covering antibodies and other inventions relating to biologic therapeutics. These rulings have created uncertainty with respect to the validity and enforceability of patents, once obtained, for example, with respect to written description and enablement requirements.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w:t>
      </w:r>
    </w:p>
    <w:p>
      <w:pPr>
        <w:pStyle w:val="TextBody"/>
        <w:bidi w:val="0"/>
        <w:spacing w:before="240" w:after="283"/>
        <w:jc w:val="left"/>
        <w:rPr>
          <w:rFonts w:ascii="Times New Roman" w:hAnsi="Times New Roman"/>
          <w:sz w:val="20"/>
        </w:rPr>
      </w:pPr>
      <w:r>
        <w:rPr>
          <w:rFonts w:ascii="Times New Roman" w:hAnsi="Times New Roman"/>
          <w:b/>
          <w:i/>
          <w:color w:val="000000"/>
          <w:sz w:val="20"/>
        </w:rPr>
        <w:t>Issued patents covering our product candidates and other technologies could be found invalid or unenforceable if challenged in court or before administrative bodies in the United States or abroad.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If we initiated legal proceedings against a third party to enforce a patent covering our product candidates or other technologies,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Third parties may raise claims challenging the validity or enforceability of our patents before administrative bodies in the United States or abroad, even outside the context of litigation. Such mechanisms include re-examination, post-grant review, </w:t>
      </w:r>
      <w:r>
        <w:rPr>
          <w:rFonts w:ascii="Times New Roman" w:hAnsi="Times New Roman"/>
          <w:i/>
          <w:color w:val="000000"/>
          <w:sz w:val="20"/>
        </w:rPr>
        <w:t>inter partes</w:t>
      </w:r>
      <w:r>
        <w:rPr>
          <w:rFonts w:ascii="Times New Roman" w:hAnsi="Times New Roman"/>
          <w:color w:val="000000"/>
          <w:sz w:val="20"/>
        </w:rPr>
        <w:t xml:space="preserve"> review, derivation proceedings, and equivalent proceedings in foreign jurisdictions (e.g., opposition proceedings). Such proceedings could result in the revocation of, cancellation of, or amendment to our patents in such a way that they no longer cover our product candidates or other technologies. The outcome following legal assertions of invalidity and unenforceability is unpredictable. With respect to the validity question, for example, we cannot be certain that there is no invalidating prior art, of which we or our licensing partners and the patent examiner were unaware during prosecution. If a third party were to prevail on a legal assertion of invalidity or unenforceability, we would lose at least part, and perhaps all, of the patent protection on our product candidates or other technologies. Such a loss of patent protection would have a material adverse impact on our business, financial condition, results of operations, and growth prospects.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do not obtain patent term extension and data exclusivity for any product candidates we may develop,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any FDA marketing approval of any product candidates we may develop, one or more of our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Protection Certificate. However, we may not be granted an extension in the United States and/or foreign countries and territories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shorter than what we request, our competitors may obtain approval of competing products following our patent expiration, and our business, financial condition, results of operations, and growth prospects could be materially harmed.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claims challenging the inventorship of our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claims that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or were involved in developing our product candidates or other technologies. Litigation may be necessary to defend against these and other claims challenging inventorship or ownership of our patents, trade secrets, or other intellectual property. If the defense of any such claims fails, in addition to paying monetary damages, we may lose valuable intellectual property rights, such as exclusive ownership of, or right to use, intellectual property that is important to our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growth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seeking patents for our product candidates and other technologies, we also rely on trade secrets and confidentiality agreements to protect our unpatented know-how, technology, and other proprietary information and to maintain our competitive position. We consider trade secrets and know-how to be one of our primary sources of intellectual property. Trade secrets and know-how can be difficult to protect. We expect our trade secrets and know-how to over time be disseminated within the industry through independent development, the publication of journal articles describing the methodology, and the movement of personnel from academic to industry scientific positions.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seek to protect these trade secrets and other proprietary technology, in part, by entering into non-disclosure and confidentiality agreements with parties who have access to them, such as our employees, corporate and academic collaborators, outside scientific collaborators, CROs, CDMOs,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obtain adequate remedies for such breaches.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FDA’s policy to release in “real time” newly issued Complete Response Letters associated with withdrawn or abandoned applications for approval of drug or biological products, if applicable to any of our product candidates, could materially impact our intellectual property by publicly disclosing our trade secrets or other confidential information in the absence of an opportunity to redact or otherwise protect such information contained in such applications.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successful in obtaining, through acquisitions or otherwise, necessary rights to our product candidates or other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pharmaceutical companies, biotechnology companies, and academic institutions that are competing with us in the field of neurodegeneration therapy may have patents and have filed and are likely filing patent applications potentially relevant to our business. In order to avoid infringing these third-party patents, we may find it necessary or prudent to obtain licenses to such patents from such third-party intellectual property holders. We may also require licenses from third parties for certain technologies for use with future product candidates. In addition, with respect to any patents we co-own with third parties, we may wish to obtain licenses to such co-owners’ interest to such patents. However, we may be unable to secure such licenses or otherwise acquire any rights to compositions, methods of use, processes, or other intellectual property rights from third parties that we identify as necessary for our future product candidates. 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have a material adverse effect on our business, financial condition, results of operations, and growth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claims that our employees, consultants, or advisors have wrongfully used or disclosed alleged trade secrets of their current or former employers or claims asserting ownership of what we regard as our own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growth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Third-party claims of intellectual property infringement, misappropriation, or other violation against us or our collaborators may prevent or delay the development and commercialization of our product candidates and other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field of discovering treatments for neurodegenerative diseases is highly competitive and dynamic. Due to the focused research and development that is taking place by various companies, including us and our competitors, in this field, the intellectual property landscape is in flux, and it may remain uncertain in the future. As such, there may be significant intellectual property related litigation and proceedings relating to our, and other third party, intellectual property and proprietary rights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our and our collaborators’ ability to develop, manufacture, market, and sell any product candidates that we develop and to use our proprietary technologies without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and we may become subject to, or threatened with, such actions in the future, regardless of their merit. In addition, we may undertake costly administrative proceedings for challenging third party patents, including post-grant, derivation, and reexamination proceedings before the USPTO or oppositions and other comparable proceedings in foreign jurisdictions.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Numerous U.S. and foreign issued patents and pending patent applications owned by third parties exist in the fields in which we are developing our product candidates. As the biotechnology and pharmaceutical industries expand and more patents are issued, the risk increases that our product candidates and other technologies may give rise to claims of infringement of the patent rights of others. We cannot be assured that our product candidates and other technologies that we have developed, are developing, or may develop in the future will not infringe existing or future patents owned by third parties. There may be third party patent applications that may issue or patents that have already issued and that a third party, for example, a competitor in the fields in which we are developing product candidates and other technologies, might assert are infringed by our current or future product candidates or other technologies, including claims to compositions, formulations, methods of manufacture or methods of use or treatment that cover our product candidates or other technologies. It is also possible that patents owned by third parties of which we are aware, but which we do not believe are relevant to our product candidates or other technologies, could be found to be infringed by our product candidates or other technologies. In addition, because patent applications can take many years to issue, there may be currently pending patent applications that may later result in issued patents that our product candidates or other technologies may infringe.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have patents or obtain patents in the future and claim that the manufacture, use or sale of our product candidates or other technologies infringes upon these patents. In the event that any third-party claims that we infringe their patents or that we are otherwise employing their proprietary technology without authorization and initiates litigation against us, even if we believe such claims are without merit, a court of competent jurisdiction could hold that such patents are valid, enforceable, and infringed by our product candidates or other technologies. In this case, the holders of such patents may be able to block our ability to manufacture or commercialize the applicable product candidate or technology unless we obtain a license under the applicable patents, or until such patents expire or are finally determined to be held invalid or unenforceable. Such a license may not be available on commercially reasonable terms or at all. Even if we are able to obtain a license, the license would likely obligate us to pay license fees or royalties or both, and the rights granted to us might be nonexclusive, which could result in our competitors gaining access to the same intellectual property. If we are unable to obtain a necessary license to a third-party patent on commercially reasonable terms, we may be unable to commercialize our product candidates or other technologies, or such commercialization efforts may be significantly delayed, which could in turn significantly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Defense of infringement claims, regardless of their merit, would involve substantial litigation expense and would be a substantial diversion of management and other employee resources from our business, and may impact our reputation. In the event of a successful claim of infringement against us, we may be enjoined from further developing or commercializing our infringing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In that event, we would be unable to further develop and commercialize our product candidates or other technologies, which could harm our business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results of operations, and growth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become involved in lawsuits to protect or enforce our patents and other intellectual property rights or to defend against allegations of patent infringement, which could be expensive, time 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our patents or the patents of our licensing partners, or we may be required to defend against claims of infringement. In addition, our patents or the patents of our licensing partners also may become involved in inventorship or validity disputes. To counter or defend against such claims can be expensive and time consuming. In an infringement proceeding, a court may decide that a patent in which we have an interest is invalid or unenforceable, the other party’s use of our patented technology falls under the safe harbor to patent infringement under 35 U.S.C. §271(e)(1), or may refuse to stop the other party from using the technology at issue on the grounds that our patents do not cover the technology in question and are therefore not infringed.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growth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products that are similar to our product candidates or utilize similar technology but that are not covered by the claims of the patents that we license or may own;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licensors or collaborators, might not have been the first to invent the claimed inventions covered by the issued patents or pending patent applications that we license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current or future licensors or collaborators, might not have been the first to file patent applications covering certain of our or their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our owned or licensed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current or future pending owned or licensed patent applications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hold rights to may be held invalid or unenforceable, including as a result of legal challenges by our competitors or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or other third parties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harm our business;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choose not to file a patent application in order to maintain certain trade secrets or know-how, and a third party may subsequently file a patent application covering such intellectual property.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Should any of these events occur, they could have a material adverse effect on our business, financial condition, results of operations, and growth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compete in the highly competitive biotechnology and pharmaceutical industries depends upon our ability to attract, motivate, and retain highly qualified managerial, scientific, and medical personnel. We are highly dependent on our leadership, including our Chief Executive Officer, Dr. Arnon Rosenthal. The loss of the services provided by any of our executive officers, other key employees, and other scientific and medical advisors, and our inability to either find suitable replacements in the event of such loss or to attract senior management personnel to fill open positions could result in delays in the development of our product candidates and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conduct our operations at our facility in South San Francisco, California, a region that is headquarters to many other biotechnology companies as well as many academic and research institutions, which may limit our ability to hire competitively and retain highly qualified personnel from or outside of our region.</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To induce valuable employees to remain at our company, in addition to salary and cash incentives, we have provided and will continue to provide restricted stock units, stock option grants, and/or other equity awards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If we are unable to attract, retain, and incentivize quality personnel on acceptable terms, or at all, it may cause our business and operating results to suffer. </w:t>
      </w:r>
    </w:p>
    <w:p>
      <w:pPr>
        <w:pStyle w:val="TextBody"/>
        <w:bidi w:val="0"/>
        <w:spacing w:before="120" w:after="283"/>
        <w:jc w:val="left"/>
        <w:rPr>
          <w:rFonts w:ascii="Times New Roman" w:hAnsi="Times New Roman"/>
          <w:sz w:val="20"/>
        </w:rPr>
      </w:pPr>
      <w:r>
        <w:rPr>
          <w:rFonts w:ascii="Times New Roman" w:hAnsi="Times New Roman"/>
          <w:b/>
          <w:i/>
          <w:color w:val="000000"/>
          <w:sz w:val="20"/>
        </w:rPr>
        <w:t>We will need to effectively manage the size and capabilities of our organization.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financial performance and our ability to continue to develop and, if approved, commercialize our product candidates will depend, in part, on our ability to effectively manage any future growth.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Our near-term financial performance and development plans also require that we manage our personnel, and in each of 2024 and 2025 we committed to plans to reduce our workforce to better align our resources with our strategic priorities. We initiated a reduction in force in October 2025 that impacted approximately 47% of our workforce. Total incremental restructuring charges associated with the reduction in force are approximately $7.0 million, consisting primarily of severance and related termination benefits. Cash payments related to these expenses were paid out during the first half of 2026. We previously initiated reductions in force effective March 2025 and effective November 2024.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Any future reductions in or restructurings of our workforce may generate severance and other costs that may cause our business and operating results to suffer. Future reductions in force or restructuring of our workforce may occur as a result of market downturns, uncertainty in capital markets, or other macroeconomic changes, or may occur if we are unable to obtain additional capital to develop our product candidates or fund operations or if our future clinical trials are not successful. Future reductions in force may require the company to manage significant personnel and operational changes, which may negatively impact our business.</w:t>
      </w:r>
    </w:p>
    <w:p>
      <w:pPr>
        <w:pStyle w:val="TextBody"/>
        <w:bidi w:val="0"/>
        <w:jc w:val="left"/>
        <w:rPr>
          <w:rFonts w:ascii="Times New Roman" w:hAnsi="Times New Roman"/>
          <w:color w:val="000000"/>
          <w:sz w:val="20"/>
        </w:rPr>
      </w:pPr>
      <w:r>
        <w:rPr>
          <w:rFonts w:ascii="Times New Roman" w:hAnsi="Times New Roman"/>
          <w:color w:val="000000"/>
          <w:sz w:val="20"/>
        </w:rPr>
        <w:t xml:space="preserve">We currently rely, and for the foreseeable future will continue to rely, in substantial part on certain independent contractors, advisors, and consultants to provide certain services. There can be no assurance that the services of these independent contractors, advisors, and consultants will continue to be available to us on a timely basis when needed, or that we can find qualified replacements. In addition, if we are unable to effectively manage our outsourced activities or if the quality or accuracy of the services provided is compromised for any reason, our research, preclinical development and clinical trials may be negatively impacted, and we may not be able to advance our programs or obtain regulatory approval of or successfully commercialize our product candidates or otherwise advance our business. There can be no assurance that we will be able to manage our existing independent contractors, advisors or consultants or find other competent outside contractors and consultants on economically reasonable terms, if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able to effectively manage our organization by retaining key employees, consultants and contractors, we may not be able to successfully implement the tasks necessary to further our research and preclinical development activities. Moreover, clinical trials may be negatively impacted, and we may not be able to obtain regulatory approval of or successfully commercialize our product candidates. Accordingly, we may not achieve our research, development, and commercialization goals.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engaged in strategic collaborations and may in the future engage in acquisitions, collaborations, or strategic partnerships, which may increase our capital requirements, dilute our stockholders, cause us to incur additional debt or assume contingent liabilities, and subject us to other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engaged in strategic collaborations in the past, such as our strategic collaborations with GSK, and previously, AbbVie, and we may engage in various acquisitions, collaborations, and strategic partnerships in the future, including licensing or acquiring complementary products, intellectual property rights, technologies, or businesses. Any acquisition, collaboration, or strategic partnership may entail numerous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operating expenses and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volatility with respect to the financial reporting related to such arrangements, such as our expected variability in the recognition of revenue each quarter from the GSK Agreement based on the percentage-of-completion basis under the applicable accounting rules;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assumption of indebtedness or contingent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goodwill impairment resulting from such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issuance of our equity securities which would result in dilution to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assimilation of operations, intellectual property, products, and product candidates of an acquired company by our partners, including difficulties associated with integrating new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diversion of our management’s attention from our existing product programs and initiatives in pursuing such an acquisition, collaboration or strategic partnership;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risks of retention of key employees, the loss of key personnel, and uncertainties in our ability to maintain key business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and uncertainties associated with the other party to such a transaction, including the prospects of that party and their existing products or product candidates and regulatory approvals, that may impact their ability to fulfill their obligations under such transaction;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risks that the other party to such a transaction may exercise its rights under the applicable agreement in a way that negatively impacts us;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generate revenue from acquired or partnered intellectual property, technology, and/or products sufficient to meet our objectives or even to offset the associated transaction and maintenance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we undertake such a transaction, we may issue dilutive securities, assume or incur debt obligations, incur large one-time expenses, and acquire intangible assets that could result in significant future amortization expense.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experienced cyberattacks in the past, and our internal computer systems, and those used by third parties with which we engage, such as research institution collaborators, clinical trial sites, and CROs or other vendors, contractors or consultants, may fail or suffer other breakdowns, outages, cyberattacks, information security breaches or releases or loss of sensitive data that could compromise the confidentiality, integrity, and availability of such systems and data, result in material disruptions of our research or development programs and business operations, risk disclosure of confidential, financial, or proprietary information, and affect our reputation.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experienced cyberattacks in the past that have not had a material effect on our business operations, and we face the risk of future cyberattacks that may or may not have a material effect. Despite the implementation of security measures, our internal computer systems and those of third parties with which we engage, such as research institution collaborators, clinical trial sites, and CROs and other vendors, contractors and consultants, may be vulnerable to damage, interruption, or other disruption from various causes, including computer viruses and other malicious code, and may be vulnerable to unauthorized access. Likewise, data privacy or security breaches or incidents, or breaches or other incidents undertaken or otherwise caused by employees or others, may pose a risk that sensitive data, including our intellectual property, trade secrets, or personal information of our employees, patients, customers, or other business partners, may be exposed to unauthorized persons or to the public or may otherwise be misused. As the cyber-threat landscape evolves, especially as certain of our employees have engaged in remote or hybrid work and bad actors use AI to automate attacks, these attacks are growing in frequency, sophistication, and intensity, and are becoming increasingly difficult to detect, mitigate, and defend against. Such threats are prevalent, continue to rise, and come from a variety of sources, including traditional computer “hackers,” threat actors, “hacktivists,” organized criminal threat actors, personnel (such as through theft or misuse), sophisticated nation states, and nation-state-supported actors. During times of war and other conflicts, we and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counterparties, including third parties upon which we rely, may be vulnerable to a heightened risk of these attacks. Such attacks might involve the use of sophisticated malware, including ransomware or various types of service denial tactics. They can be initiated through harmful websites or by leveraging phishing strategies, social engineering tactics, or credential stuffing. This might also include brute force attacks, along with other contemporary malicious methods which are always changing.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breakdown, cyberattack, or other information security breach or incident occurs, it could cause damage to or interruptions or other disruptions in our operations or those of third parties, with which we engage, and could result in damage to, the loss or unavailability of, or misappropriation or other unauthorized use or processing of, sensitive data, including personal information and confidential information, such as our intellectual property or financial information, and a material disruption of our research and development programs and our business operations could result. For example, the loss or unavailability of, or damage to, clinical trial data from completed, ongoing, or future clinical trials could result in delays in our regulatory approval efforts and significantly increase our costs to recover or reproduce the data. Likewise, we rely on third-party research institution and collaborators, clinical trial sites, and CROs and other vendors, consultants and contractors for research and development of our product candidates, and we rely on other third parties, such as CDMOs and CROs, to manufacture our product candidates and to conduct clinical trials, respectively. Supply-chain attacks against third-party actors like these have increased in frequency and severity, and we cannot guarantee that third-party infrastructure in our supply chain or our third-party partners’ supply chains have not been or will not be compromised. Cyberattacks, security breaches and incidents, and disruptions, interruptions, and similar events relating to their computer systems and operations could also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and our business counterparties, including third parties on which we rely, may be unable to anticipate or prevent outages or to anticipate or prevent techniques used to obtain unauthorized access to or to compromise our or our business counterparties’ systems because such techniques change frequently and are generally not detected until after an incident has occurred. We may be unable to anticipate or prevent any breakdowns or other outages due to a failure of software, software updates or other events that may cause disruptions to our systems or data. There can be no assurance that we and our business counterparties will be successful in efforts to detect, prevent, or fully recover systems or data from all breakdowns, service interruptions or other disruptions, attacks, or compromises of, or security breaches or incidents impacting, systems that could adversely affect our business and operations and/or result in the loss or unavailability of, or damage to, critical or sensitive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disruption or security breach or incident resulting in loss or unavailability of, or damage to, our data or systems, or those of third parties on which we rely, or inappropriate use, disclosure, or modification of personal, sensitive, confidential or proprietary information, could result in our being subject to claims, demands, and litigation, investigations and other regulatory proceedings, and fines and other liabilities, as well as in delays to further development and commercialization of our product candidates. While we have invested, and continue to invest, in the protection of our data and information technology infrastructure, there can be no assurance that our efforts will prevent service disruptions, or prevent or identify vulnerabilities or security breaches or incidents, that could adversely affect our business and operations or result in the loss, unavailability, or corruption of, or inappropriate access to or use of, confidential, personal, or other sensitive information or company resources. Any such interruptions, breaches or incidents, or the perception that any have occurred, could result in financial, legal, business, or reputational harm to us. In addition, our liability insurance may not be sufficient in type or amount to cover us against claims related to security breaches, cyberattacks and other privacy and security breaches or incidents.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240" w:after="283"/>
        <w:jc w:val="left"/>
        <w:rPr>
          <w:rFonts w:ascii="Times New Roman" w:hAnsi="Times New Roman"/>
          <w:sz w:val="20"/>
        </w:rPr>
      </w:pPr>
      <w:r>
        <w:rPr>
          <w:rFonts w:ascii="Times New Roman" w:hAnsi="Times New Roman"/>
          <w:b/>
          <w:i/>
          <w:color w:val="000000"/>
          <w:sz w:val="20"/>
        </w:rPr>
        <w:t>The use of new and evolving technologies, such as AI, in our operations may require us to expend resources and may present risks and challenges that can impact our business, including by posing security and other risks to our proprietary and personal information, any of which may result in reputational harm and liability, or otherwise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to integrate AI into our operations, and this innovation presents risks and challenges that could affect its adoption, and therefore our business. Although AI has the potential to help advance our business, there are risks involved in utilizing AI, and no assurance can be provided that the use of AI will enhance our business or assist our business in becoming more efficient or profitable. The use of certain AI technology can give rise to intellectual property risks, including compromises to proprietary intellectual property and intellectual property infringement and misappropriation. Other known risks of AI currently include inaccuracy, bias, toxicity, data privacy and cybersecurity issues, and data provenance disputes.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AI may have errors or inadequacies that are not easily detectable. AI may also be subject to data herding and interconnectedness (i.e., multiple market participants utilizing the same data). If the data used to train AI or the content, analyses, or recommendations that AI applications assist in producing are or are alleged to be deficient, inaccurate, incomplete, overbroad or biased, our business, financial condition, and results of operations may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we expect to see increasing government and supranational regulation related to AI use, which may also significantly increase the burden and cost of research, development and compliance in this area. For example, the EU’s Artificial Intelligence Act (AI Act), which imposes significant obligations on providers and deployers of AI systems, entered into force on August 1, 2024 and, with some exceptions, will become effective 24 months thereafter. The rapid evolution of AI will require the expenditure of resources to design, develop, test and/or maintain our technology and products to help ensure that AI is implemented in accordance with applicable laws and regulations and in a socially responsible manner and to minimize any real or perceived unintended harmful impacts. The legal landscape and subsequent legal protection for the use of AI remains uncertain, and development of the law in this area could impact our ability to enforce our proprietary rights or protect against infringing uses. If we do not have sufficient rights to use the data on which AI relies or to the outputs produced by AI applications, we may incur liability through the violation of certain laws, third-party privacy or other rights or contracts to which we are a party. Our use of AI applications may also, in the future, result in cybersecurity incidents that implicate personal data. Any such cybersecurity incidents related to our use of AI applications could adversely affect our reputation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collaborators or other third-party service providers may also incorporate AI tools into their own offerings, and the providers of those AI tools may not meet existing or rapidly evolving regulatory or industry standards, including with respect to intellectual property, data privacy, and cybersecurity. Further, bad actors around the world use increasingly sophisticated methods, including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or otherwise adversely impact our business.</w:t>
      </w:r>
    </w:p>
    <w:p>
      <w:pPr>
        <w:pStyle w:val="TextBody"/>
        <w:bidi w:val="0"/>
        <w:spacing w:before="240" w:after="283"/>
        <w:jc w:val="left"/>
        <w:rPr>
          <w:rFonts w:ascii="Times New Roman" w:hAnsi="Times New Roman"/>
          <w:sz w:val="20"/>
        </w:rPr>
      </w:pPr>
      <w:r>
        <w:rPr>
          <w:rFonts w:ascii="Times New Roman" w:hAnsi="Times New Roman"/>
          <w:b/>
          <w:i/>
          <w:color w:val="000000"/>
          <w:sz w:val="20"/>
        </w:rPr>
        <w:t>Business disruptions, including as a result of geopolitical events, could seriously harm our future revenue and financial condition and increase our costs and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and those of our collaborators, CROs, CDMOs, suppliers, and other contractors and consultants, could be subject to events beyond our control, such as pandemics or the spread of disease, earthquakes, power shortages, telecommunications failures, software outages or other system failures, water shortages, floods, hurricanes, typhoons, fires, extreme weather conditions, medical epidemics, pandemics, regional health issues, geopolitical events, including the ongoing conflicts between Russia and Ukraine and in the Middle East, and other natural or man-made disasters or business interruptions, for which we are either totally or partly uninsured. In addition, we rely on our third-party research institution collaborators for conducting research and development of our product candidates, and they may be affected by government shutdowns or withdrawn funding. We rely on third-party manufacturers to produce and process our product candidates. Our ability to obtain supplies of our product candidates could be disrupted if the operations of these suppliers are affected by a man-made or natural disaster, geopolitical events, global pandemics, or other business interruption. The occurrence of any of these business disruptions could seriously harm our operations and financial condition and increase our costs and expenses. Moreover, if there is a significant pandemic or public health outbreak that poses a threat to our ability to conduct our business operations as planned, there can be no assurance that we will be able to avoid a material impact on our business from the pandemic or its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majority of our operations including our corporate headquarters are located in a facility in South San Francisco, California. Damage or extended periods of interruption to our corporate, development, or research facilities due to fire, natural disaster, global pandemics, power loss, communications failure, unauthorized entry, earthquakes or other events that impact the use of our facilities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w:t>
      </w:r>
    </w:p>
    <w:p>
      <w:pPr>
        <w:pStyle w:val="TextBody"/>
        <w:bidi w:val="0"/>
        <w:spacing w:before="240" w:after="283"/>
        <w:jc w:val="left"/>
        <w:rPr>
          <w:rFonts w:ascii="Times New Roman" w:hAnsi="Times New Roman"/>
          <w:sz w:val="20"/>
        </w:rPr>
      </w:pPr>
      <w:r>
        <w:rPr>
          <w:rFonts w:ascii="Times New Roman" w:hAnsi="Times New Roman"/>
          <w:b/>
          <w:i/>
          <w:color w:val="000000"/>
          <w:sz w:val="20"/>
        </w:rPr>
        <w:t>Our business is subject to economic, political, regulatory, and other risks associated with international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is subject to risks associated with conducting business internationally. Some of our CDMOs and clinical trial sites, for example, are located outside the United States. Accordingly, our future results could be harmed by a variety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economic weakness, including recession, inflation, or political instability in non-U.S.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differing and changing regulatory requirements in non-U.S. countries;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compliance with non-U.S. laws and regulations (including, e.g., laws and regulations relating to export to the U.S. of human genomic data or data and biological samples derived from clinical trials or research conducted outside the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non-U.S. regulations and customs, tariffs, and trade barriers;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non-U.S. currency exchange rates and currency controls;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a specific country’s or region’s political or economic environment;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shipping of biologics/drugs;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trade protection measures, import or export licensing requirements, trade tariffs, or other restrictive actions by U.S. or non-U.S. governments;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negative consequences from changes in tax laws (including the provisions of the federal tax legislation titled the Inflation Reduction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workforce uncertainty in countries where labor unrest is more common than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associated with staffing and managing international operations, including differing labor relations;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liability under the FCPA, UK Bribery Act, or comparable foreign 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geo-political actions, including war and terrorism, or natural disasters including earthquakes, typhoons, floods, droughts, extreme temperatures, and fires.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and other risks associated with our planned international operations may materially adversely affect our ability to attain profitable operations. Further, there is currently significant uncertainty about the current presidential administration’s policies and priorities, which could affect future relationships between the United States and various other countries, most significantly China, the European Union, and other trading partners, with respect to trade policies, treaties, tariffs, taxes, and other limitations on cross-border operations. For example, the National Defense Authorization Act of 2026, which includes Section 851 regarding the prohibition on contracting with certain biotechnology providers (the BIOSECURE Act), may ultimately limit certain U.S. biotechnology companies from using equipment or services produced or provided by Chinese biotechnology companies or their affiliates that meet the designation criteria of the new law. Moreover, both the United States and China have implemented significant trade tariffs against each other’s imports. Separately, a Department of Justice rule effective in April 2025, along with subsequent action by the FDA, prohibits or restricts transfer of sensitive personal data, including health data, biometric data, and human genomic data, and patient biological materials to China and other “countries of concern” in the interests of national security. As a result of these and other laws and regulations, or the impact on trade relations between the United States and China or other countries, our business may be seriously harmed if we are unable to obtain or use services or products from existing service providers, including those of contract development and manufacturing organizations, or if alternative service providers cannot be secured at an acceptable cost or at all. Likewise, if foreign policy measures, such as those described above, cause broader disruption in drug manufacturing and related industries that impact drug development, clinical trials, and drug product availability or pricing, then our business, liquidity, financial condition, and/or results of operations would be materially and adversely affected.</w:t>
      </w:r>
    </w:p>
    <w:p>
      <w:pPr>
        <w:pStyle w:val="TextBody"/>
        <w:bidi w:val="0"/>
        <w:spacing w:before="240" w:after="283"/>
        <w:jc w:val="left"/>
        <w:rPr>
          <w:rFonts w:ascii="Times New Roman" w:hAnsi="Times New Roman"/>
          <w:sz w:val="20"/>
        </w:rPr>
      </w:pPr>
      <w:r>
        <w:rPr>
          <w:rFonts w:ascii="Times New Roman" w:hAnsi="Times New Roman"/>
          <w:b/>
          <w:i/>
          <w:color w:val="000000"/>
          <w:sz w:val="20"/>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had federal and state net operating loss (NOL) carryforwards of approximately $375.6 million and $419.1 million, respectively. Federal NOL carryforwards have an indefinite life but cannot offset more than 80% of taxable income. Pursuant to Internal Revenue Code Sections 382 and 383, annual use of the Company’s net operating loss and research and development credit carryforwards may be limited in the event that a cumulative change in ownership of more than 50% occurs within a three-year period. We may have experienced such an ownership change in the past, and may also experience ownership changes in the future as a result of subsequent shifts in our stock ownership, some of which are outside our control. As a result, our ability to use our pre-change NOL carryforwards and other pre-change tax attributes to offset post-change taxable income or taxes may be subject to limitation. Additionally, California has recently enacted a temporary suspension on the use of state NOL carryforwards in the taxable years beginning in 2024, 2025, and 2026, which would adversely affect our company if we earn taxable income in the impacted taxable years. Our NOL carryforwards may also be subject to other state tax limitations.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tax laws or in their implementation or interpretation may adversely affect our business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or may become subject to income and non-income taxes in the United States under federal, state, and local jurisdictions and in certain foreign jurisdictions in which we operate. Tax laws, regulations and administrative practices in these jurisdictions may be subject to significant change, with or without advance notice. For example, on January 1, 2022, a provision of the Tax Cuts and Jobs Act of 2017 (TCJA) went into effect that eliminates the option to deduct domestic research and development costs in the year incurred and instead requires taxpayers to amortize such costs over five years for domestic costs and 15 years for foreign costs. The OBBBA, which was enacted on July 4, 2025, made a number of changes to U.S. federal income tax law, including permanently suspending the requirement to capitalize and amortize domestic research and development costs and permitting such deductions on a current basis. The Company is currently assessing the impact of this new legislation, but does not anticipate it will have a material impact on the results of operations. Changes in tax laws, regulations, or rulings, changes in interpretations of existing laws and regulations, or changes in accounting principles could negatively or materially affect our financial position, cash flows and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left"/>
        <w:rPr>
          <w:rFonts w:ascii="Times New Roman" w:hAnsi="Times New Roman"/>
          <w:sz w:val="20"/>
        </w:rPr>
      </w:pPr>
      <w:r>
        <w:rPr>
          <w:rFonts w:ascii="Times New Roman" w:hAnsi="Times New Roman"/>
          <w:b/>
          <w:i/>
          <w:color w:val="000000"/>
          <w:sz w:val="20"/>
        </w:rPr>
        <w:t>The market price of our common stock may continue to be volatile, which could result in substantial losses for investors.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our common stock is listed on The Nasdaq Global Select Market, the market for our shares has demonstrated varying levels of trading activity. The trading price of our common stock has been and may continue to be highly volatile and could be subject to wide fluctuations in response to various factors, some of which are beyond our control.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Some of the factors that may cause the market price of our common stock to fluctuate or decline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existing or new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results of clinical trials for our current product candidates and any future product candidates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commencement or termination of collaborations for our product development and research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achieve development, regulatory, or commercialization milestones under our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or discontinuation of any of our product development and research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preclinical studies, clinical trials, or regulatory approvals of product candidates of our competitors, or announcements about new research programs or product candidates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the United States and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patent applications, issued patents,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expenses related to any of our research programs, clinical development programs, or product candidates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our efforts to develop additional product candidates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as to financial results, development timelines,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 or expectation of additional financing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our common stock by us, our insiders, or other stockholders, such as if we use our at-the-market facility;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expiration of market standoff or lock-up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variations in our financial results or those of companies that are perceived to be similar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estimates or recommendations by securities analysts, if any, that cover our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pharmaceutical and biotechnology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political, industry, and market conditions, including a rising rate of inflation, a period of economic recession, or increased international conflict;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other factors described in this “Risk Factors” section.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Broad market and industry factors, such as inflationary concerns, may seriously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If securities 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relies in part on the research and reports that industry or financial analysts publish about us or our business. If one or more of the analysts covering our business cease to cover us or downgrade their evaluations of our stock or if we fail to meet their operating results estimates for us, the price of our stock could decline. If one or more of these analysts cease to cover our stock, we could lose visibility in the market for our stock, which in turn could cause our stock price to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Sales of substantial amounts of our common stock in the public markets, or the perception that such sales might occur, could cause the market price of our common stock to decline significantly, even if our business is doing well.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holders of shares of our common stock may, in the future, have rights that may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Any sales of securities by these stockholders could have a material adverse effect on the market price for our common stock.</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we fail to comply with the continued listing requirements of the Nasdaq Stock Market, it could result in our common stock being delisted, which could adversely affect the market price and liquidity of our securities and could have other adverse effects.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common stock is currently listed for trading on The Nasdaq Global Select Market. We must satisfy Nasdaq’s continued listing requirements, including a minimum bid price for our common stock of $1.00 per share. Given the current market environment and despite our cash position, our common stock has traded for less than $1.00 per share during the second quarter of 2025, and our aggregate market capitalization at various times over the last several quarters has valued below the total value of our cash, cash equivalents, and investments. If we do not meet these requirements, we risk possible delisting from Nasdaq, which could have a material adverse effect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delisting could make it more difficult to buy or sell our securities and to obtain accurate quotations, and the price of our common stock could be adversely affected. In addition, a delisting would impair our ability to raise capital through the public markets, could deter broker-dealers from making a market in or otherwise seeking or generating interest in our securities, and might deter certain institutions and persons from investing in our securities.</w:t>
      </w:r>
    </w:p>
    <w:p>
      <w:pPr>
        <w:pStyle w:val="TextBody"/>
        <w:bidi w:val="0"/>
        <w:spacing w:before="240" w:after="283"/>
        <w:jc w:val="left"/>
        <w:rPr>
          <w:rFonts w:ascii="Times New Roman" w:hAnsi="Times New Roman"/>
          <w:sz w:val="20"/>
        </w:rPr>
      </w:pPr>
      <w:r>
        <w:rPr>
          <w:rFonts w:ascii="Times New Roman" w:hAnsi="Times New Roman"/>
          <w:b/>
          <w:i/>
          <w:color w:val="000000"/>
          <w:sz w:val="20"/>
        </w:rPr>
        <w:t>Raising additional capital may cause dilution to our existing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additional capital through a combination of public and private equity offerings, debt financings, strategic partnerships and alliances, and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or debt securities, the ownership interest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stockholders will be diluted, and the terms may include liquidation or other preferences that adversely affect the rights of stockholders.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We have an omnibus shelf registration statement on Form S-3 with the SEC, which became effective on April 30, 2026, which permits us to issue up to $400 million in common stock, other equity securities and/or debt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November 7, 2023, we entered into an at-the-market sales agreement with TD Securities (USA) LLC, formerly known as Cowen and Company, LLC (TD Cowen) pursuant to which we may offer and sell from time to time through TD Cowen up to $125,000,000 of shares of our common stock, in such share amounts as we may specify by notice to TD Securities (the 2023 Sales Agreement). As of June 30, 2026, we have issued 7,110,162 shares and received approximately $20.0 million in net proceeds from the sale of securities pursuant to the 2023 Sales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January 17, 2024, we entered into an underwriting agreement with Cantor, pursuant to which we offered and sold 10,869,566 shares of the Company’s common stock at a price per share of $6.57 paid by Cantor.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 </w:t>
      </w:r>
    </w:p>
    <w:p>
      <w:pPr>
        <w:pStyle w:val="TextBody"/>
        <w:bidi w:val="0"/>
        <w:spacing w:before="120" w:after="283"/>
        <w:jc w:val="left"/>
        <w:rPr>
          <w:rFonts w:ascii="Times New Roman" w:hAnsi="Times New Roman"/>
          <w:sz w:val="20"/>
        </w:rPr>
      </w:pPr>
      <w:r>
        <w:rPr>
          <w:rFonts w:ascii="Times New Roman" w:hAnsi="Times New Roman"/>
          <w:color w:val="000000"/>
          <w:sz w:val="20"/>
        </w:rPr>
        <w:t>On May 7, 2026, we entered into an at-the-market sales agreement with TD Cowen, pursuant to which we may offer and sell from time to time through TD Cowen up to $125,000,000 of shares of our common stock, in such share amounts as we may specify by notice to TD Cowen (the 2026 Sales Agreement). Immediately prior to the effectiveness of the 2026 Sales Agreement, we and TD Cowen terminated the 2023 Sales Agreemen</w:t>
      </w:r>
      <w:r>
        <w:rPr>
          <w:rFonts w:ascii="sans-serif" w:hAnsi="sans-serif"/>
          <w:color w:val="000000"/>
          <w:sz w:val="22"/>
        </w:rPr>
        <w:t>t</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on November 14, 2024, we entered into the Loan Agreement with Lenders and Hercules pursuant to which we could access up to two tranches of term loans in an aggregate principal amount of up to $50,000,000, subject to the satisfaction of certain conditions. We borrowed $10,000,000 principal amount of the first tranche of Term Loans on the closing date of the Loan Agreement. On July 8, 2026, the Company entered into a payoff letter with Hercules and paid the final payoff amount. All obligations under the Loan Agreement were paid in full, all liens and security interests granted to secure such obligations were terminated, and the Loan Agreement and related loan documents were terminated.</w:t>
      </w:r>
    </w:p>
    <w:p>
      <w:pPr>
        <w:pStyle w:val="TextBody"/>
        <w:bidi w:val="0"/>
        <w:spacing w:before="240" w:after="283"/>
        <w:jc w:val="left"/>
        <w:rPr>
          <w:rFonts w:ascii="Times New Roman" w:hAnsi="Times New Roman"/>
          <w:sz w:val="20"/>
        </w:rPr>
      </w:pPr>
      <w:r>
        <w:rPr>
          <w:rFonts w:ascii="Times New Roman" w:hAnsi="Times New Roman"/>
          <w:b/>
          <w:i/>
          <w:color w:val="000000"/>
          <w:sz w:val="20"/>
        </w:rPr>
        <w:t>Our principal stockholders and management own a significant percentage of our stock and will be able to exercise significant influence over matters subject to stockholder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directors, executive officers, holders of more than 5% of our outstanding stock and their respective affiliates beneficially own 22.5% of our outstanding common stock as of July 31, 2026.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incurred and will continue to incur significant additional costs as a result of operating as a public company, and our management will be required to devote substantial time to new compliance initiatives and corporate governance practices.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have incurred and will continue to incur significant legal, accounting, and other expenses that we did not incur as a private company. The Sarbanes-Oxley Act, the Dodd-Frank Wall Street Reform, and Consumer Protection Act, the listing requirements of Nasdaq, and other applicable securities rules and regulations impose various requirements on public companies, including establishment and maintenance of effective disclosure and financial controls and corporate governance practices. We have hired accounting, finance, and other personnel in connection with our being, and our efforts to comply with the requirements of being, a public company, and our management and other personnel have devoted and will continue to devote a substantial amount of time towards maintaining compliance with these requirements. These requirements have increased our legal and financial compliance costs and will make some activities more time-consuming and costly. For example, we expect that the rules and regulations applicable to us as a public company may make it more difficult and more expensive for us to maintain director and officer liability insurance, which could make it more difficult for us to attract and retain qualified members of our board of directors. We are currently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Similarly, regulatory and governing bodies may propose and ultimately adopt new rules and regulations. As a result, we may experience continuing uncertainty regarding compliance matters and associated costs necessitated by ongoing revisions to disclosure and governance practices.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maintain effective internal controls, our business, financial position, and results of operations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are subject to reporting and other obligations under the Exchange Act, including the requirements of Sarbanes-Oxley Act Section 404(a), which require annual management assessments of the effectiveness of our internal control over financial reporting. Section 404(b) of the Sarbanes-Oxley Act also requires our independent auditors to attest to, and report on, this management assessment.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of 2002. These reporting and other obligations place significant demands on our management and administrative and operational resources, including accounting resources. If we are not able to comply with the requirements of Section 404 or if we or our independent registered public accounting firm are unable to attest to the effectiveness of our internal control over financial reporting,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operations are subject to the effects of inflation.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United States has previously experienced historically high levels of inflation. If the inflation rate increases in the future, particularly due to trade tariffs imposed by the United States on global trade partners, it will affect our expenses, such as employee compensation and research and development charges. Even if the rate of inflation does not increase, past inflation may still affect our expenses, such as employee compensation and research and development charges. Research and development expenses account for a significant portion of our operating expenses. Such increased charges may not be readily recoverable during the period of time that we are bringing the product candidates to market. To the extent inflation results in rising interest rates and has other adverse effects on the market, it may adversely affect our consolidated financial condition and results of operations.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Market conditions and changing circumstances, some of which may be beyond our control, could impair our ability to access our existing cash, cash equivalents and investments and to timely pay key vendors and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and changing circumstances, some of which may be beyond our control, could impair our ability to access our existing cash, cash equivalents and investments and to timely pay key vendors and others. For example, on March 10, 2023, Silicon Valley Bank (SVB), where we maintained certain immaterial deposit accounts at the time, was placed into receivership with the Federal Deposit Insurance Corporation (FDIC), which resulted in all funds held at SVB being temporarily inaccessible by SVB’s customers. If other banks and financial institutions with whom we have banking relationships enter receivership or become insolvent in the future, we may be unable to access, and we may lose, some or all of our existing cash, cash equivalents and investments to the extent those funds are not insured or otherwise protected by the FDIC. In addition, in such circumstances we might not be able to timely pay key vendors and others. We regularly maintain cash balances that are not insured or are in excess of the FDIC’s insurance limit. Any delay in our ability to access our cash, cash equivalents and investments (or the loss of some or all of such funds) or to timely pay key vendors and others could have a material adverse effect on our operations and cause us to need to seek additional capital sooner than planned.</w:t>
      </w:r>
    </w:p>
    <w:p>
      <w:pPr>
        <w:pStyle w:val="TextBody"/>
        <w:bidi w:val="0"/>
        <w:spacing w:before="240" w:after="283"/>
        <w:jc w:val="left"/>
        <w:rPr>
          <w:rFonts w:ascii="Times New Roman" w:hAnsi="Times New Roman"/>
          <w:sz w:val="20"/>
        </w:rPr>
      </w:pPr>
      <w:r>
        <w:rPr>
          <w:rFonts w:ascii="Times New Roman" w:hAnsi="Times New Roman"/>
          <w:b/>
          <w:i/>
          <w:color w:val="000000"/>
          <w:sz w:val="20"/>
        </w:rPr>
        <w:t>We do not expect to pay any dividends for the foreseeable future. Investors may never obtain a return on their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Investors should not rely on an investment in our common stock to provide dividend income. We do not anticipate that we will pay any dividends to holders of our common stock in the foreseeable future. Instead, we plan to retain any earnings to maintain and expand our existing operations. In addition, any future credit facility may contain terms prohibiting or limiting the amount of dividends that may be declared or paid on our common stock. Accordingly, investors must rely on sales of their common stock after price appreciation, which may never occur, as the only way to realize any return on their investment.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Delaware law and provisions in our amended and restated certificate of incorporation and bylaws might discourage, delay, or prevent a change in control of our company or changes in our management and, therefore, depress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in our amended and restated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that our board of directors is divided into three classes, Class I, Class II, and Class III, with each class serving staggered three-year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vacancies on our board of directors may be filled only by a majority of directors then in office, even though less than a quorum;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our directors may only be removed for cause;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eliminate cumulative voting in the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issue shares of preferred stock and determine the price and other terms of those shares, including preferences and voting rights, without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our board of directors with the exclusive right to elect a director to fill a vacancy or newly created directorship;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permit stockholders to only take actions at a duly called annual or special meeting and not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stockholders from calling a special meeting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that stockholders give advance notice to nominate directors or submit proposals for consideration at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by a majority vote, to amend the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affirmative vote of at least 66 2/3% or more of the outstanding shares of common stock to amend many of the provisions described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Section 203 of the General Corporation Law of the State of Delaware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Our amended and restated bylaws provide that the Court of Chancery of the State of Delaware is the exclusive forum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derivative action or proceeding brought on our behalf;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of breach of fiduciary duty;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asserting a claim against us arising under the DGCL, our amended and restated certificate of incorporation or our amended and restated bylaws;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action asserting a claim against us that is governed by the internal-affairs doctrine.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provision would not apply to suits brought to enforce a duty or liability created by the Exchange Act or any other claim for which the U.S. federal courts have exclusive jurisdiction.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amended and restated bylaws further provide that the federal district courts of the United States will be the exclusive forum for resolving any complaint asserting a cause of action arising under the Securities Act. 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bookmarkStart w:id="17" w:name="item_2"/>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8" w:name="item_3"/>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9" w:name="item_4"/>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20" w:name="item_5"/>
      <w:bookmarkEnd w:id="20"/>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None.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None.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During our last fiscal quarter, no officer or director (as defined in Rule 16a-1(f) under the Exchange Act) adopted or terminated a “Rule 10b5-1 trading arrangement” or a “non-Rule 10b5-1 trading arrangement” (each as defined in Item 408 of Regulation S-K).</w:t>
      </w:r>
    </w:p>
    <w:p>
      <w:pPr>
        <w:pStyle w:val="TextBody"/>
        <w:bidi w:val="0"/>
        <w:spacing w:before="240" w:after="283"/>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center"/>
        <w:rPr>
          <w:rFonts w:ascii="Times New Roman" w:hAnsi="Times New Roman"/>
          <w:b/>
          <w:color w:val="000000"/>
          <w:sz w:val="20"/>
        </w:rPr>
      </w:pPr>
      <w:r>
        <w:rPr>
          <w:rFonts w:ascii="Times New Roman" w:hAnsi="Times New Roman"/>
          <w:b/>
          <w:color w:val="000000"/>
          <w:sz w:val="20"/>
        </w:rPr>
        <w:t>Exhibit Index</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760"/>
        <w:gridCol w:w="6249"/>
        <w:gridCol w:w="443"/>
        <w:gridCol w:w="773"/>
        <w:gridCol w:w="578"/>
        <w:gridCol w:w="687"/>
        <w:gridCol w:w="715"/>
      </w:tblGrid>
      <w:tr>
        <w:trPr/>
        <w:tc>
          <w:tcPr>
            <w:tcW w:w="760" w:type="dxa"/>
            <w:tcBorders/>
            <w:vAlign w:val="center"/>
          </w:tcPr>
          <w:p>
            <w:pPr>
              <w:pStyle w:val="TableContents"/>
              <w:bidi w:val="0"/>
              <w:spacing w:before="0" w:after="283"/>
              <w:jc w:val="left"/>
              <w:rPr>
                <w:sz w:val="4"/>
                <w:szCs w:val="4"/>
              </w:rPr>
            </w:pPr>
            <w:r>
              <w:rPr>
                <w:sz w:val="4"/>
                <w:szCs w:val="4"/>
              </w:rPr>
            </w:r>
          </w:p>
        </w:tc>
        <w:tc>
          <w:tcPr>
            <w:tcW w:w="624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ind w:left="0" w:right="0" w:firstLine="22"/>
              <w:jc w:val="left"/>
              <w:rPr>
                <w:sz w:val="4"/>
                <w:szCs w:val="4"/>
              </w:rPr>
            </w:pPr>
            <w:r>
              <w:rPr>
                <w:sz w:val="4"/>
                <w:szCs w:val="4"/>
              </w:rPr>
            </w:r>
          </w:p>
        </w:tc>
      </w:tr>
      <w:tr>
        <w:trPr/>
        <w:tc>
          <w:tcPr>
            <w:tcW w:w="76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ind w:left="0" w:right="0" w:firstLine="22"/>
              <w:jc w:val="left"/>
              <w:rPr>
                <w:sz w:val="4"/>
                <w:szCs w:val="4"/>
              </w:rPr>
            </w:pPr>
            <w:r>
              <w:rPr>
                <w:sz w:val="4"/>
                <w:szCs w:val="4"/>
              </w:rPr>
            </w:r>
          </w:p>
        </w:tc>
        <w:tc>
          <w:tcPr>
            <w:tcW w:w="6249"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ind w:left="0" w:right="0" w:firstLine="22"/>
              <w:jc w:val="left"/>
              <w:rPr>
                <w:sz w:val="4"/>
                <w:szCs w:val="4"/>
              </w:rPr>
            </w:pPr>
            <w:r>
              <w:rPr>
                <w:sz w:val="4"/>
                <w:szCs w:val="4"/>
              </w:rPr>
            </w:r>
          </w:p>
        </w:tc>
        <w:tc>
          <w:tcPr>
            <w:tcW w:w="2481" w:type="dxa"/>
            <w:gridSpan w:val="4"/>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ind w:left="0" w:right="0" w:firstLine="22"/>
              <w:jc w:val="center"/>
              <w:rPr>
                <w:rFonts w:ascii="Times New Roman" w:hAnsi="Times New Roman"/>
                <w:b/>
                <w:color w:val="000000"/>
                <w:sz w:val="14"/>
              </w:rPr>
            </w:pPr>
            <w:r>
              <w:rPr>
                <w:rFonts w:ascii="Times New Roman" w:hAnsi="Times New Roman"/>
                <w:b/>
                <w:color w:val="000000"/>
                <w:sz w:val="14"/>
              </w:rPr>
              <w:t>Incorporated by Reference</w:t>
            </w:r>
          </w:p>
        </w:tc>
        <w:tc>
          <w:tcPr>
            <w:tcW w:w="715"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ind w:left="0" w:right="0" w:firstLine="22"/>
              <w:jc w:val="left"/>
              <w:rPr/>
            </w:pPr>
            <w:r>
              <w:rPr/>
              <w:t> </w:t>
            </w:r>
          </w:p>
        </w:tc>
      </w:tr>
      <w:tr>
        <w:trPr/>
        <w:tc>
          <w:tcPr>
            <w:tcW w:w="760"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88"/>
              <w:jc w:val="both"/>
              <w:rPr>
                <w:rFonts w:ascii="Times New Roman" w:hAnsi="Times New Roman"/>
                <w:b/>
                <w:color w:val="000000"/>
                <w:sz w:val="14"/>
              </w:rPr>
            </w:pPr>
            <w:r>
              <w:rPr>
                <w:rFonts w:ascii="Times New Roman" w:hAnsi="Times New Roman"/>
                <w:b/>
                <w:color w:val="000000"/>
                <w:sz w:val="14"/>
              </w:rPr>
              <w:t>Number</w:t>
            </w:r>
          </w:p>
        </w:tc>
        <w:tc>
          <w:tcPr>
            <w:tcW w:w="6249"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b/>
                <w:color w:val="000000"/>
                <w:sz w:val="14"/>
              </w:rPr>
            </w:pPr>
            <w:r>
              <w:rPr>
                <w:rFonts w:ascii="Times New Roman" w:hAnsi="Times New Roman"/>
                <w:b/>
                <w:color w:val="000000"/>
                <w:sz w:val="14"/>
              </w:rPr>
              <w:t>Exhibit Title</w:t>
            </w:r>
          </w:p>
        </w:tc>
        <w:tc>
          <w:tcPr>
            <w:tcW w:w="44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b/>
                <w:color w:val="000000"/>
                <w:sz w:val="14"/>
              </w:rPr>
            </w:pPr>
            <w:r>
              <w:rPr>
                <w:rFonts w:ascii="Times New Roman" w:hAnsi="Times New Roman"/>
                <w:b/>
                <w:color w:val="000000"/>
                <w:sz w:val="14"/>
              </w:rPr>
              <w:t>Form</w:t>
            </w:r>
          </w:p>
        </w:tc>
        <w:tc>
          <w:tcPr>
            <w:tcW w:w="77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b/>
                <w:color w:val="000000"/>
                <w:sz w:val="14"/>
              </w:rPr>
            </w:pPr>
            <w:r>
              <w:rPr>
                <w:rFonts w:ascii="Times New Roman" w:hAnsi="Times New Roman"/>
                <w:b/>
                <w:color w:val="000000"/>
                <w:sz w:val="14"/>
              </w:rPr>
              <w:t>File No.</w:t>
            </w:r>
          </w:p>
        </w:tc>
        <w:tc>
          <w:tcPr>
            <w:tcW w:w="578"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b/>
                <w:color w:val="000000"/>
                <w:sz w:val="14"/>
              </w:rPr>
            </w:pPr>
            <w:r>
              <w:rPr>
                <w:rFonts w:ascii="Times New Roman" w:hAnsi="Times New Roman"/>
                <w:b/>
                <w:color w:val="000000"/>
                <w:sz w:val="14"/>
              </w:rPr>
              <w:t>Exhibit</w:t>
            </w:r>
          </w:p>
        </w:tc>
        <w:tc>
          <w:tcPr>
            <w:tcW w:w="687" w:type="dxa"/>
            <w:tcBorders>
              <w:bottom w:val="single" w:sz="6" w:space="0" w:color="000000"/>
              <w:right w:val="single" w:sz="6" w:space="0" w:color="000000"/>
            </w:tcBorders>
            <w:tcMar>
              <w:top w:w="0" w:type="dxa"/>
              <w:left w:w="0" w:type="dxa"/>
            </w:tcMar>
            <w:vAlign w:val="center"/>
          </w:tcPr>
          <w:p>
            <w:pPr>
              <w:pStyle w:val="TableContents"/>
              <w:bidi w:val="0"/>
              <w:ind w:left="0" w:right="0" w:firstLine="22"/>
              <w:jc w:val="center"/>
              <w:rPr>
                <w:rFonts w:ascii="Times New Roman" w:hAnsi="Times New Roman"/>
                <w:b/>
                <w:color w:val="000000"/>
                <w:sz w:val="14"/>
              </w:rPr>
            </w:pPr>
            <w:r>
              <w:rPr>
                <w:rFonts w:ascii="Times New Roman" w:hAnsi="Times New Roman"/>
                <w:b/>
                <w:color w:val="000000"/>
                <w:sz w:val="14"/>
              </w:rPr>
              <w:t>Filing</w:t>
            </w:r>
          </w:p>
          <w:p>
            <w:pPr>
              <w:pStyle w:val="TableContents"/>
              <w:bidi w:val="0"/>
              <w:spacing w:before="66" w:after="283"/>
              <w:ind w:left="0" w:right="0" w:firstLine="22"/>
              <w:jc w:val="center"/>
              <w:rPr>
                <w:rFonts w:ascii="Times New Roman" w:hAnsi="Times New Roman"/>
                <w:b/>
                <w:color w:val="000000"/>
                <w:sz w:val="14"/>
              </w:rPr>
            </w:pPr>
            <w:r>
              <w:rPr>
                <w:rFonts w:ascii="Times New Roman" w:hAnsi="Times New Roman"/>
                <w:b/>
                <w:color w:val="000000"/>
                <w:sz w:val="14"/>
              </w:rPr>
              <w:t>Date</w:t>
            </w:r>
          </w:p>
        </w:tc>
        <w:tc>
          <w:tcPr>
            <w:tcW w:w="715" w:type="dxa"/>
            <w:tcBorders>
              <w:bottom w:val="single" w:sz="6" w:space="0" w:color="000000"/>
              <w:right w:val="single" w:sz="6" w:space="0" w:color="000000"/>
            </w:tcBorders>
            <w:tcMar>
              <w:top w:w="0" w:type="dxa"/>
              <w:left w:w="0" w:type="dxa"/>
            </w:tcMar>
            <w:vAlign w:val="center"/>
          </w:tcPr>
          <w:p>
            <w:pPr>
              <w:pStyle w:val="TableContents"/>
              <w:bidi w:val="0"/>
              <w:ind w:left="0" w:right="0" w:firstLine="22"/>
              <w:jc w:val="center"/>
              <w:rPr>
                <w:rFonts w:ascii="Times New Roman" w:hAnsi="Times New Roman"/>
                <w:b/>
                <w:color w:val="000000"/>
                <w:sz w:val="14"/>
              </w:rPr>
            </w:pPr>
            <w:r>
              <w:rPr>
                <w:rFonts w:ascii="Times New Roman" w:hAnsi="Times New Roman"/>
                <w:b/>
                <w:color w:val="000000"/>
                <w:sz w:val="14"/>
              </w:rPr>
              <w:t>Filed</w:t>
            </w:r>
          </w:p>
          <w:p>
            <w:pPr>
              <w:pStyle w:val="TableContents"/>
              <w:bidi w:val="0"/>
              <w:spacing w:before="66" w:after="283"/>
              <w:ind w:left="0" w:right="0" w:firstLine="22"/>
              <w:jc w:val="center"/>
              <w:rPr>
                <w:rFonts w:ascii="Times New Roman" w:hAnsi="Times New Roman"/>
                <w:b/>
                <w:color w:val="000000"/>
                <w:sz w:val="14"/>
              </w:rPr>
            </w:pPr>
            <w:r>
              <w:rPr>
                <w:rFonts w:ascii="Times New Roman" w:hAnsi="Times New Roman"/>
                <w:b/>
                <w:color w:val="000000"/>
                <w:sz w:val="14"/>
              </w:rPr>
              <w:t>Herewith</w:t>
            </w:r>
          </w:p>
        </w:tc>
      </w:tr>
      <w:tr>
        <w:trPr/>
        <w:tc>
          <w:tcPr>
            <w:tcW w:w="760"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86"/>
              <w:jc w:val="both"/>
              <w:rPr>
                <w:rFonts w:ascii="Times New Roman" w:hAnsi="Times New Roman"/>
                <w:color w:val="000000"/>
                <w:sz w:val="20"/>
              </w:rPr>
            </w:pPr>
            <w:r>
              <w:rPr>
                <w:rFonts w:ascii="Times New Roman" w:hAnsi="Times New Roman"/>
                <w:color w:val="000000"/>
                <w:sz w:val="20"/>
              </w:rPr>
              <w:t>3.1</w:t>
            </w:r>
          </w:p>
        </w:tc>
        <w:tc>
          <w:tcPr>
            <w:tcW w:w="6249"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left"/>
              <w:rPr/>
            </w:pPr>
            <w:hyperlink r:id="rId2">
              <w:r>
                <w:rPr>
                  <w:rStyle w:val="InternetLink"/>
                  <w:rFonts w:ascii="Times New Roman" w:hAnsi="Times New Roman"/>
                  <w:color w:val="0000FF"/>
                  <w:sz w:val="20"/>
                  <w:u w:val="single"/>
                </w:rPr>
                <w:t>Amended and Restated Certificate of Incorporation of the Registrant.</w:t>
              </w:r>
            </w:hyperlink>
          </w:p>
        </w:tc>
        <w:tc>
          <w:tcPr>
            <w:tcW w:w="44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color w:val="000000"/>
                <w:sz w:val="20"/>
              </w:rPr>
            </w:pPr>
            <w:r>
              <w:rPr>
                <w:rFonts w:ascii="Times New Roman" w:hAnsi="Times New Roman"/>
                <w:color w:val="000000"/>
                <w:sz w:val="20"/>
              </w:rPr>
              <w:t>8-K</w:t>
            </w:r>
          </w:p>
        </w:tc>
        <w:tc>
          <w:tcPr>
            <w:tcW w:w="77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color w:val="000000"/>
                <w:sz w:val="20"/>
              </w:rPr>
            </w:pPr>
            <w:r>
              <w:rPr>
                <w:rFonts w:ascii="Times New Roman" w:hAnsi="Times New Roman"/>
                <w:color w:val="000000"/>
                <w:sz w:val="20"/>
              </w:rPr>
              <w:t>001-38792</w:t>
            </w:r>
          </w:p>
        </w:tc>
        <w:tc>
          <w:tcPr>
            <w:tcW w:w="578"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color w:val="000000"/>
                <w:sz w:val="20"/>
              </w:rPr>
            </w:pPr>
            <w:r>
              <w:rPr>
                <w:rFonts w:ascii="Times New Roman" w:hAnsi="Times New Roman"/>
                <w:color w:val="000000"/>
                <w:sz w:val="20"/>
              </w:rPr>
              <w:t>3.1</w:t>
            </w:r>
          </w:p>
        </w:tc>
        <w:tc>
          <w:tcPr>
            <w:tcW w:w="68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color w:val="000000"/>
                <w:sz w:val="20"/>
              </w:rPr>
            </w:pPr>
            <w:r>
              <w:rPr>
                <w:rFonts w:ascii="Times New Roman" w:hAnsi="Times New Roman"/>
                <w:color w:val="000000"/>
                <w:sz w:val="20"/>
              </w:rPr>
              <w:t>2/11/2019</w:t>
            </w:r>
          </w:p>
        </w:tc>
        <w:tc>
          <w:tcPr>
            <w:tcW w:w="715"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r>
      <w:tr>
        <w:trPr/>
        <w:tc>
          <w:tcPr>
            <w:tcW w:w="760"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86"/>
              <w:jc w:val="both"/>
              <w:rPr>
                <w:rFonts w:ascii="Times New Roman" w:hAnsi="Times New Roman"/>
                <w:color w:val="000000"/>
                <w:sz w:val="20"/>
              </w:rPr>
            </w:pPr>
            <w:r>
              <w:rPr>
                <w:rFonts w:ascii="Times New Roman" w:hAnsi="Times New Roman"/>
                <w:color w:val="000000"/>
                <w:sz w:val="20"/>
              </w:rPr>
              <w:t>3.2</w:t>
            </w:r>
          </w:p>
        </w:tc>
        <w:tc>
          <w:tcPr>
            <w:tcW w:w="6249"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left"/>
              <w:rPr/>
            </w:pPr>
            <w:hyperlink r:id="rId3">
              <w:r>
                <w:rPr>
                  <w:rStyle w:val="InternetLink"/>
                  <w:rFonts w:ascii="Times New Roman" w:hAnsi="Times New Roman"/>
                  <w:color w:val="0000FF"/>
                  <w:sz w:val="20"/>
                  <w:u w:val="single"/>
                </w:rPr>
                <w:t>Amended and Restated Bylaws of the Registrant.</w:t>
              </w:r>
            </w:hyperlink>
          </w:p>
        </w:tc>
        <w:tc>
          <w:tcPr>
            <w:tcW w:w="44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color w:val="000000"/>
                <w:sz w:val="20"/>
              </w:rPr>
            </w:pPr>
            <w:r>
              <w:rPr>
                <w:rFonts w:ascii="Times New Roman" w:hAnsi="Times New Roman"/>
                <w:color w:val="000000"/>
                <w:sz w:val="20"/>
              </w:rPr>
              <w:t>8-K</w:t>
            </w:r>
          </w:p>
        </w:tc>
        <w:tc>
          <w:tcPr>
            <w:tcW w:w="77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color w:val="000000"/>
                <w:sz w:val="20"/>
              </w:rPr>
            </w:pPr>
            <w:r>
              <w:rPr>
                <w:rFonts w:ascii="Times New Roman" w:hAnsi="Times New Roman"/>
                <w:color w:val="000000"/>
                <w:sz w:val="20"/>
              </w:rPr>
              <w:t>001-38792</w:t>
            </w:r>
          </w:p>
        </w:tc>
        <w:tc>
          <w:tcPr>
            <w:tcW w:w="578"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color w:val="000000"/>
                <w:sz w:val="20"/>
              </w:rPr>
            </w:pPr>
            <w:r>
              <w:rPr>
                <w:rFonts w:ascii="Times New Roman" w:hAnsi="Times New Roman"/>
                <w:color w:val="000000"/>
                <w:sz w:val="20"/>
              </w:rPr>
              <w:t>3.1</w:t>
            </w:r>
          </w:p>
        </w:tc>
        <w:tc>
          <w:tcPr>
            <w:tcW w:w="68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color w:val="000000"/>
                <w:sz w:val="20"/>
              </w:rPr>
            </w:pPr>
            <w:r>
              <w:rPr>
                <w:rFonts w:ascii="Times New Roman" w:hAnsi="Times New Roman"/>
                <w:color w:val="000000"/>
                <w:sz w:val="20"/>
              </w:rPr>
              <w:t>6/15/2023</w:t>
            </w:r>
          </w:p>
        </w:tc>
        <w:tc>
          <w:tcPr>
            <w:tcW w:w="715"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r>
      <w:tr>
        <w:trPr/>
        <w:tc>
          <w:tcPr>
            <w:tcW w:w="760"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86"/>
              <w:jc w:val="left"/>
              <w:rPr>
                <w:rFonts w:ascii="Times New Roman" w:hAnsi="Times New Roman"/>
                <w:color w:val="000000"/>
                <w:sz w:val="20"/>
              </w:rPr>
            </w:pPr>
            <w:r>
              <w:rPr>
                <w:rFonts w:ascii="Times New Roman" w:hAnsi="Times New Roman"/>
                <w:color w:val="000000"/>
                <w:sz w:val="20"/>
              </w:rPr>
              <w:t>10.1</w:t>
            </w:r>
          </w:p>
        </w:tc>
        <w:tc>
          <w:tcPr>
            <w:tcW w:w="6249"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left"/>
              <w:rPr/>
            </w:pPr>
            <w:hyperlink r:id="rId4">
              <w:r>
                <w:rPr>
                  <w:rStyle w:val="InternetLink"/>
                  <w:rFonts w:ascii="Times New Roman" w:hAnsi="Times New Roman"/>
                  <w:color w:val="0000FF"/>
                  <w:sz w:val="20"/>
                  <w:u w:val="single"/>
                </w:rPr>
                <w:t>Sales Agreement dated May 7, 2026, by and between Alector, Inc., and TD Securities (USA) LLC</w:t>
              </w:r>
            </w:hyperlink>
          </w:p>
        </w:tc>
        <w:tc>
          <w:tcPr>
            <w:tcW w:w="443" w:type="dxa"/>
            <w:tcBorders>
              <w:bottom w:val="single" w:sz="6" w:space="0" w:color="000000"/>
              <w:right w:val="single" w:sz="6" w:space="0" w:color="000000"/>
            </w:tcBorders>
            <w:tcMar>
              <w:top w:w="0" w:type="dxa"/>
              <w:left w:w="0" w:type="dxa"/>
            </w:tcMar>
            <w:vAlign w:val="center"/>
          </w:tcPr>
          <w:p>
            <w:pPr>
              <w:pStyle w:val="TableContents"/>
              <w:bidi w:val="0"/>
              <w:ind w:left="0" w:right="0" w:firstLine="22"/>
              <w:jc w:val="center"/>
              <w:rPr>
                <w:rFonts w:ascii="Times New Roman" w:hAnsi="Times New Roman"/>
                <w:color w:val="000000"/>
                <w:sz w:val="20"/>
              </w:rPr>
            </w:pPr>
            <w:r>
              <w:rPr>
                <w:rFonts w:ascii="Times New Roman" w:hAnsi="Times New Roman"/>
                <w:color w:val="000000"/>
                <w:sz w:val="20"/>
              </w:rPr>
              <w:t>8-K</w:t>
            </w:r>
          </w:p>
          <w:p>
            <w:pPr>
              <w:pStyle w:val="TableContents"/>
              <w:bidi w:val="0"/>
              <w:spacing w:before="0" w:after="283"/>
              <w:ind w:left="0" w:right="0" w:firstLine="22"/>
              <w:jc w:val="left"/>
              <w:rPr/>
            </w:pPr>
            <w:r>
              <w:rPr/>
              <w:t> </w:t>
            </w:r>
          </w:p>
        </w:tc>
        <w:tc>
          <w:tcPr>
            <w:tcW w:w="773" w:type="dxa"/>
            <w:tcBorders>
              <w:bottom w:val="single" w:sz="6" w:space="0" w:color="000000"/>
              <w:right w:val="single" w:sz="6" w:space="0" w:color="000000"/>
            </w:tcBorders>
            <w:tcMar>
              <w:top w:w="0" w:type="dxa"/>
              <w:left w:w="0" w:type="dxa"/>
            </w:tcMar>
            <w:vAlign w:val="center"/>
          </w:tcPr>
          <w:p>
            <w:pPr>
              <w:pStyle w:val="TableContents"/>
              <w:bidi w:val="0"/>
              <w:ind w:left="0" w:right="0" w:firstLine="22"/>
              <w:jc w:val="center"/>
              <w:rPr>
                <w:rFonts w:ascii="Times New Roman" w:hAnsi="Times New Roman"/>
                <w:color w:val="000000"/>
                <w:sz w:val="20"/>
              </w:rPr>
            </w:pPr>
            <w:r>
              <w:rPr>
                <w:rFonts w:ascii="Times New Roman" w:hAnsi="Times New Roman"/>
                <w:color w:val="000000"/>
                <w:sz w:val="20"/>
              </w:rPr>
              <w:t>001-38792</w:t>
            </w:r>
          </w:p>
          <w:p>
            <w:pPr>
              <w:pStyle w:val="TableContents"/>
              <w:bidi w:val="0"/>
              <w:spacing w:before="0" w:after="283"/>
              <w:ind w:left="0" w:right="0" w:firstLine="22"/>
              <w:jc w:val="left"/>
              <w:rPr/>
            </w:pPr>
            <w:r>
              <w:rPr/>
              <w:t> </w:t>
            </w:r>
          </w:p>
        </w:tc>
        <w:tc>
          <w:tcPr>
            <w:tcW w:w="578" w:type="dxa"/>
            <w:tcBorders>
              <w:bottom w:val="single" w:sz="6" w:space="0" w:color="000000"/>
              <w:right w:val="single" w:sz="6" w:space="0" w:color="000000"/>
            </w:tcBorders>
            <w:tcMar>
              <w:top w:w="0" w:type="dxa"/>
              <w:left w:w="0" w:type="dxa"/>
            </w:tcMar>
            <w:vAlign w:val="center"/>
          </w:tcPr>
          <w:p>
            <w:pPr>
              <w:pStyle w:val="TableContents"/>
              <w:bidi w:val="0"/>
              <w:ind w:left="0" w:right="0" w:firstLine="22"/>
              <w:jc w:val="center"/>
              <w:rPr>
                <w:rFonts w:ascii="Times New Roman" w:hAnsi="Times New Roman"/>
                <w:color w:val="000000"/>
                <w:sz w:val="20"/>
              </w:rPr>
            </w:pPr>
            <w:r>
              <w:rPr>
                <w:rFonts w:ascii="Times New Roman" w:hAnsi="Times New Roman"/>
                <w:color w:val="000000"/>
                <w:sz w:val="20"/>
              </w:rPr>
              <w:t>1.1</w:t>
            </w:r>
          </w:p>
          <w:p>
            <w:pPr>
              <w:pStyle w:val="TableContents"/>
              <w:bidi w:val="0"/>
              <w:spacing w:before="0" w:after="283"/>
              <w:ind w:left="0" w:right="0" w:firstLine="22"/>
              <w:jc w:val="left"/>
              <w:rPr/>
            </w:pPr>
            <w:r>
              <w:rPr/>
              <w:t> </w:t>
            </w:r>
          </w:p>
        </w:tc>
        <w:tc>
          <w:tcPr>
            <w:tcW w:w="687" w:type="dxa"/>
            <w:tcBorders>
              <w:bottom w:val="single" w:sz="6" w:space="0" w:color="000000"/>
              <w:right w:val="single" w:sz="6" w:space="0" w:color="000000"/>
            </w:tcBorders>
            <w:tcMar>
              <w:top w:w="0" w:type="dxa"/>
              <w:left w:w="0" w:type="dxa"/>
            </w:tcMar>
            <w:vAlign w:val="center"/>
          </w:tcPr>
          <w:p>
            <w:pPr>
              <w:pStyle w:val="TableContents"/>
              <w:bidi w:val="0"/>
              <w:ind w:left="0" w:right="0" w:firstLine="22"/>
              <w:jc w:val="center"/>
              <w:rPr>
                <w:rFonts w:ascii="Times New Roman" w:hAnsi="Times New Roman"/>
                <w:color w:val="000000"/>
                <w:sz w:val="20"/>
              </w:rPr>
            </w:pPr>
            <w:r>
              <w:rPr>
                <w:rFonts w:ascii="Times New Roman" w:hAnsi="Times New Roman"/>
                <w:color w:val="000000"/>
                <w:sz w:val="20"/>
              </w:rPr>
              <w:t>5/07/2026</w:t>
            </w:r>
          </w:p>
          <w:p>
            <w:pPr>
              <w:pStyle w:val="TableContents"/>
              <w:bidi w:val="0"/>
              <w:spacing w:before="0" w:after="283"/>
              <w:ind w:left="0" w:right="0" w:firstLine="22"/>
              <w:jc w:val="left"/>
              <w:rPr/>
            </w:pPr>
            <w:r>
              <w:rPr/>
              <w:t> </w:t>
            </w:r>
          </w:p>
        </w:tc>
        <w:tc>
          <w:tcPr>
            <w:tcW w:w="715"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r>
      <w:tr>
        <w:trPr/>
        <w:tc>
          <w:tcPr>
            <w:tcW w:w="760"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86"/>
              <w:jc w:val="left"/>
              <w:rPr>
                <w:rFonts w:ascii="Times New Roman" w:hAnsi="Times New Roman"/>
                <w:color w:val="000000"/>
                <w:sz w:val="20"/>
              </w:rPr>
            </w:pPr>
            <w:r>
              <w:rPr>
                <w:rFonts w:ascii="Times New Roman" w:hAnsi="Times New Roman"/>
                <w:color w:val="000000"/>
                <w:sz w:val="20"/>
              </w:rPr>
              <w:t>10.2</w:t>
            </w:r>
          </w:p>
        </w:tc>
        <w:tc>
          <w:tcPr>
            <w:tcW w:w="6249"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left"/>
              <w:rPr/>
            </w:pPr>
            <w:hyperlink w:anchor="alec-ex10_2.htm">
              <w:r>
                <w:rPr>
                  <w:rStyle w:val="InternetLink"/>
                  <w:rFonts w:ascii="Times New Roman" w:hAnsi="Times New Roman"/>
                  <w:color w:val="0000FF"/>
                  <w:sz w:val="20"/>
                  <w:u w:val="single"/>
                </w:rPr>
                <w:t>2019 Employee Stock Purchase Plan, as amended, and form of agreement thereunder</w:t>
              </w:r>
            </w:hyperlink>
            <w:hyperlink w:anchor="alec-ex10_2.htm">
              <w:r>
                <w:rPr>
                  <w:rStyle w:val="InternetLink"/>
                  <w:rFonts w:ascii="Times New Roman" w:hAnsi="Times New Roman"/>
                  <w:color w:val="0000FF"/>
                  <w:sz w:val="20"/>
                </w:rPr>
                <w:t xml:space="preserve"> </w:t>
              </w:r>
            </w:hyperlink>
          </w:p>
        </w:tc>
        <w:tc>
          <w:tcPr>
            <w:tcW w:w="44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77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578"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68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715" w:type="dxa"/>
            <w:tcBorders>
              <w:bottom w:val="single" w:sz="6" w:space="0" w:color="000000"/>
              <w:right w:val="single" w:sz="6" w:space="0" w:color="000000"/>
            </w:tcBorders>
            <w:tcMar>
              <w:top w:w="0" w:type="dxa"/>
              <w:left w:w="0" w:type="dxa"/>
            </w:tcMar>
            <w:vAlign w:val="center"/>
          </w:tcPr>
          <w:p>
            <w:pPr>
              <w:pStyle w:val="TableContents"/>
              <w:bidi w:val="0"/>
              <w:ind w:left="0" w:right="0" w:firstLine="22"/>
              <w:jc w:val="center"/>
              <w:rPr>
                <w:rFonts w:ascii="Times New Roman" w:hAnsi="Times New Roman"/>
                <w:color w:val="000000"/>
                <w:sz w:val="20"/>
              </w:rPr>
            </w:pPr>
            <w:r>
              <w:rPr>
                <w:rFonts w:ascii="Times New Roman" w:hAnsi="Times New Roman"/>
                <w:color w:val="000000"/>
                <w:sz w:val="20"/>
              </w:rPr>
              <w:t>X</w:t>
            </w:r>
          </w:p>
          <w:p>
            <w:pPr>
              <w:pStyle w:val="TableContents"/>
              <w:bidi w:val="0"/>
              <w:spacing w:before="0" w:after="283"/>
              <w:ind w:left="0" w:right="0" w:firstLine="22"/>
              <w:jc w:val="left"/>
              <w:rPr/>
            </w:pPr>
            <w:r>
              <w:rPr/>
              <w:t> </w:t>
            </w:r>
          </w:p>
        </w:tc>
      </w:tr>
      <w:tr>
        <w:trPr/>
        <w:tc>
          <w:tcPr>
            <w:tcW w:w="760"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86"/>
              <w:jc w:val="left"/>
              <w:rPr>
                <w:rFonts w:ascii="Times New Roman" w:hAnsi="Times New Roman"/>
                <w:color w:val="000000"/>
                <w:sz w:val="20"/>
              </w:rPr>
            </w:pPr>
            <w:r>
              <w:rPr>
                <w:rFonts w:ascii="Times New Roman" w:hAnsi="Times New Roman"/>
                <w:color w:val="000000"/>
                <w:sz w:val="20"/>
              </w:rPr>
              <w:t>31.1</w:t>
            </w:r>
          </w:p>
        </w:tc>
        <w:tc>
          <w:tcPr>
            <w:tcW w:w="6249"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left"/>
              <w:rPr/>
            </w:pPr>
            <w:hyperlink w:anchor="alec-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44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77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578"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68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715"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color w:val="000000"/>
                <w:sz w:val="20"/>
              </w:rPr>
            </w:pPr>
            <w:r>
              <w:rPr>
                <w:rFonts w:ascii="Times New Roman" w:hAnsi="Times New Roman"/>
                <w:color w:val="000000"/>
                <w:sz w:val="20"/>
              </w:rPr>
              <w:t>X</w:t>
            </w:r>
          </w:p>
        </w:tc>
      </w:tr>
      <w:tr>
        <w:trPr/>
        <w:tc>
          <w:tcPr>
            <w:tcW w:w="760"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86"/>
              <w:jc w:val="both"/>
              <w:rPr>
                <w:rFonts w:ascii="Times New Roman" w:hAnsi="Times New Roman"/>
                <w:color w:val="000000"/>
                <w:sz w:val="20"/>
              </w:rPr>
            </w:pPr>
            <w:r>
              <w:rPr>
                <w:rFonts w:ascii="Times New Roman" w:hAnsi="Times New Roman"/>
                <w:color w:val="000000"/>
                <w:sz w:val="20"/>
              </w:rPr>
              <w:t>31.2</w:t>
            </w:r>
          </w:p>
        </w:tc>
        <w:tc>
          <w:tcPr>
            <w:tcW w:w="6249"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left"/>
              <w:rPr/>
            </w:pPr>
            <w:hyperlink w:anchor="alec-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44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77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578"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68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715"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color w:val="000000"/>
                <w:sz w:val="20"/>
              </w:rPr>
            </w:pPr>
            <w:r>
              <w:rPr>
                <w:rFonts w:ascii="Times New Roman" w:hAnsi="Times New Roman"/>
                <w:color w:val="000000"/>
                <w:sz w:val="20"/>
              </w:rPr>
              <w:t>X</w:t>
            </w:r>
          </w:p>
        </w:tc>
      </w:tr>
      <w:tr>
        <w:trPr/>
        <w:tc>
          <w:tcPr>
            <w:tcW w:w="760"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86"/>
              <w:jc w:val="both"/>
              <w:rPr>
                <w:rFonts w:ascii="Times New Roman" w:hAnsi="Times New Roman"/>
                <w:color w:val="000000"/>
                <w:sz w:val="20"/>
              </w:rPr>
            </w:pPr>
            <w:r>
              <w:rPr>
                <w:rFonts w:ascii="Times New Roman" w:hAnsi="Times New Roman"/>
                <w:color w:val="000000"/>
                <w:sz w:val="20"/>
              </w:rPr>
              <w:t>32.1*</w:t>
            </w:r>
          </w:p>
        </w:tc>
        <w:tc>
          <w:tcPr>
            <w:tcW w:w="6249"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left"/>
              <w:rPr/>
            </w:pPr>
            <w:hyperlink w:anchor="alec-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44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77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578"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68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715"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color w:val="000000"/>
                <w:sz w:val="20"/>
              </w:rPr>
            </w:pPr>
            <w:r>
              <w:rPr>
                <w:rFonts w:ascii="Times New Roman" w:hAnsi="Times New Roman"/>
                <w:color w:val="000000"/>
                <w:sz w:val="20"/>
              </w:rPr>
              <w:t>X</w:t>
            </w:r>
          </w:p>
        </w:tc>
      </w:tr>
      <w:tr>
        <w:trPr/>
        <w:tc>
          <w:tcPr>
            <w:tcW w:w="760"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86"/>
              <w:jc w:val="both"/>
              <w:rPr>
                <w:rFonts w:ascii="Times New Roman" w:hAnsi="Times New Roman"/>
                <w:color w:val="000000"/>
                <w:sz w:val="20"/>
              </w:rPr>
            </w:pPr>
            <w:r>
              <w:rPr>
                <w:rFonts w:ascii="Times New Roman" w:hAnsi="Times New Roman"/>
                <w:color w:val="000000"/>
                <w:sz w:val="20"/>
              </w:rPr>
              <w:t>32.2*</w:t>
            </w:r>
          </w:p>
        </w:tc>
        <w:tc>
          <w:tcPr>
            <w:tcW w:w="6249"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left"/>
              <w:rPr/>
            </w:pPr>
            <w:hyperlink w:anchor="alec-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44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77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578"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68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715"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color w:val="000000"/>
                <w:sz w:val="20"/>
              </w:rPr>
            </w:pPr>
            <w:r>
              <w:rPr>
                <w:rFonts w:ascii="Times New Roman" w:hAnsi="Times New Roman"/>
                <w:color w:val="000000"/>
                <w:sz w:val="20"/>
              </w:rPr>
              <w:t>X</w:t>
            </w:r>
          </w:p>
        </w:tc>
      </w:tr>
      <w:tr>
        <w:trPr/>
        <w:tc>
          <w:tcPr>
            <w:tcW w:w="760"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86"/>
              <w:jc w:val="both"/>
              <w:rPr>
                <w:rFonts w:ascii="Times New Roman" w:hAnsi="Times New Roman"/>
                <w:color w:val="000000"/>
                <w:sz w:val="20"/>
              </w:rPr>
            </w:pPr>
            <w:r>
              <w:rPr>
                <w:rFonts w:ascii="Times New Roman" w:hAnsi="Times New Roman"/>
                <w:color w:val="000000"/>
                <w:sz w:val="20"/>
              </w:rPr>
              <w:t>101.INS</w:t>
            </w:r>
          </w:p>
        </w:tc>
        <w:tc>
          <w:tcPr>
            <w:tcW w:w="6249"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tags are embedded within the Inline XBRL document</w:t>
            </w:r>
          </w:p>
        </w:tc>
        <w:tc>
          <w:tcPr>
            <w:tcW w:w="44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77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578"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68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715"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color w:val="000000"/>
                <w:sz w:val="20"/>
              </w:rPr>
            </w:pPr>
            <w:r>
              <w:rPr>
                <w:rFonts w:ascii="Times New Roman" w:hAnsi="Times New Roman"/>
                <w:color w:val="000000"/>
                <w:sz w:val="20"/>
              </w:rPr>
              <w:t>X</w:t>
            </w:r>
          </w:p>
        </w:tc>
      </w:tr>
      <w:tr>
        <w:trPr/>
        <w:tc>
          <w:tcPr>
            <w:tcW w:w="760"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86"/>
              <w:jc w:val="both"/>
              <w:rPr>
                <w:rFonts w:ascii="Times New Roman" w:hAnsi="Times New Roman"/>
                <w:color w:val="000000"/>
                <w:sz w:val="20"/>
              </w:rPr>
            </w:pPr>
            <w:r>
              <w:rPr>
                <w:rFonts w:ascii="Times New Roman" w:hAnsi="Times New Roman"/>
                <w:color w:val="000000"/>
                <w:sz w:val="20"/>
              </w:rPr>
              <w:t>101.SCH</w:t>
            </w:r>
          </w:p>
        </w:tc>
        <w:tc>
          <w:tcPr>
            <w:tcW w:w="6249"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44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77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578"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68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715"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color w:val="000000"/>
                <w:sz w:val="20"/>
              </w:rPr>
            </w:pPr>
            <w:r>
              <w:rPr>
                <w:rFonts w:ascii="Times New Roman" w:hAnsi="Times New Roman"/>
                <w:color w:val="000000"/>
                <w:sz w:val="20"/>
              </w:rPr>
              <w:t>X</w:t>
            </w:r>
          </w:p>
        </w:tc>
      </w:tr>
      <w:tr>
        <w:trPr/>
        <w:tc>
          <w:tcPr>
            <w:tcW w:w="760"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ind w:left="0" w:right="0" w:firstLine="86"/>
              <w:jc w:val="both"/>
              <w:rPr>
                <w:rFonts w:ascii="Times New Roman" w:hAnsi="Times New Roman"/>
                <w:color w:val="000000"/>
                <w:sz w:val="20"/>
              </w:rPr>
            </w:pPr>
            <w:r>
              <w:rPr>
                <w:rFonts w:ascii="Times New Roman" w:hAnsi="Times New Roman"/>
                <w:color w:val="000000"/>
                <w:sz w:val="20"/>
              </w:rPr>
              <w:t>104</w:t>
            </w:r>
          </w:p>
        </w:tc>
        <w:tc>
          <w:tcPr>
            <w:tcW w:w="6249"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left"/>
              <w:rPr>
                <w:rFonts w:ascii="Times New Roman" w:hAnsi="Times New Roman"/>
                <w:color w:val="000000"/>
                <w:sz w:val="20"/>
              </w:rPr>
            </w:pPr>
            <w:r>
              <w:rPr>
                <w:rFonts w:ascii="Times New Roman" w:hAnsi="Times New Roman"/>
                <w:color w:val="000000"/>
                <w:sz w:val="20"/>
              </w:rPr>
              <w:t>Inline XBRL for the cover page of this Quarterly Report on Form 10-Q, included in the Exhibit 101 Inline XBRL Document Set.</w:t>
            </w:r>
          </w:p>
        </w:tc>
        <w:tc>
          <w:tcPr>
            <w:tcW w:w="44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773"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578"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687"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pPr>
            <w:r>
              <w:rPr/>
              <w:t> </w:t>
            </w:r>
          </w:p>
        </w:tc>
        <w:tc>
          <w:tcPr>
            <w:tcW w:w="715" w:type="dxa"/>
            <w:tcBorders>
              <w:bottom w:val="single" w:sz="6" w:space="0" w:color="000000"/>
              <w:right w:val="single" w:sz="6" w:space="0" w:color="000000"/>
            </w:tcBorders>
            <w:tcMar>
              <w:top w:w="0" w:type="dxa"/>
              <w:left w:w="0" w:type="dxa"/>
            </w:tcMar>
            <w:vAlign w:val="center"/>
          </w:tcPr>
          <w:p>
            <w:pPr>
              <w:pStyle w:val="TableContents"/>
              <w:bidi w:val="0"/>
              <w:spacing w:before="0" w:after="283"/>
              <w:ind w:left="0" w:right="0" w:firstLine="22"/>
              <w:jc w:val="center"/>
              <w:rPr>
                <w:rFonts w:ascii="Times New Roman" w:hAnsi="Times New Roman"/>
                <w:color w:val="000000"/>
                <w:sz w:val="20"/>
              </w:rPr>
            </w:pPr>
            <w:r>
              <w:rPr>
                <w:rFonts w:ascii="Times New Roman" w:hAnsi="Times New Roman"/>
                <w:color w:val="000000"/>
                <w:sz w:val="20"/>
              </w:rPr>
              <w:t>X</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 The certifications attached as Exhibits 32.1 and 32.2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240" w:after="283"/>
        <w:jc w:val="left"/>
        <w:rPr/>
      </w:pPr>
      <w:r>
        <w:rPr/>
        <w:t> </w:t>
      </w:r>
    </w:p>
    <w:tbl>
      <w:tblPr>
        <w:tblW w:w="6674" w:type="dxa"/>
        <w:jc w:val="left"/>
        <w:tblInd w:w="0" w:type="dxa"/>
        <w:tblLayout w:type="fixed"/>
        <w:tblCellMar>
          <w:top w:w="28" w:type="dxa"/>
          <w:left w:w="28" w:type="dxa"/>
          <w:bottom w:w="28" w:type="dxa"/>
          <w:right w:w="28" w:type="dxa"/>
        </w:tblCellMar>
      </w:tblPr>
      <w:tblGrid>
        <w:gridCol w:w="1846"/>
        <w:gridCol w:w="146"/>
        <w:gridCol w:w="466"/>
        <w:gridCol w:w="421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21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ALECTOR,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Arnon Rosenthal</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Arnon Rosenthal,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Co-founder and Chief Executive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By:</w:t>
            </w:r>
          </w:p>
        </w:tc>
        <w:tc>
          <w:tcPr>
            <w:tcW w:w="4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Neil Berkley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Neil Berkley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and Chief Business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Officer)</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Grace Wong-Sarad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Grace Wong-Sarad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Accounting Officer</w:t>
            </w:r>
          </w:p>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3" w:name="alec-ex10_2.htm"/>
      <w:bookmarkStart w:id="24" w:name="ksalecex10_2"/>
      <w:bookmarkEnd w:id="23"/>
      <w:bookmarkEnd w:id="24"/>
      <w:r>
        <w:rPr>
          <w:rFonts w:ascii="Times New Roman" w:hAnsi="Times New Roman"/>
          <w:b/>
          <w:color w:val="000000"/>
          <w:sz w:val="24"/>
        </w:rPr>
        <w:t>Exhibit 10.2</w:t>
      </w:r>
      <w:r>
        <w:br w:type="page"/>
      </w:r>
    </w:p>
    <w:p>
      <w:pPr>
        <w:pStyle w:val="TextBody"/>
        <w:bidi w:val="0"/>
        <w:jc w:val="left"/>
        <w:rPr/>
      </w:pPr>
      <w:r>
        <w:rPr/>
        <w:t> </w:t>
      </w:r>
    </w:p>
    <w:p>
      <w:pPr>
        <w:pStyle w:val="TextBody"/>
        <w:bidi w:val="0"/>
        <w:spacing w:before="120" w:after="160"/>
        <w:jc w:val="center"/>
        <w:rPr>
          <w:rFonts w:ascii="Times New Roman" w:hAnsi="Times New Roman"/>
          <w:b/>
          <w:caps/>
          <w:color w:val="000000"/>
          <w:sz w:val="22"/>
        </w:rPr>
      </w:pPr>
      <w:r>
        <w:rPr>
          <w:rFonts w:ascii="Times New Roman" w:hAnsi="Times New Roman"/>
          <w:b/>
          <w:caps/>
          <w:color w:val="000000"/>
          <w:sz w:val="22"/>
        </w:rPr>
        <w:t>ALECTOR, INC.</w:t>
      </w:r>
    </w:p>
    <w:p>
      <w:pPr>
        <w:pStyle w:val="TextBody"/>
        <w:bidi w:val="0"/>
        <w:spacing w:before="0" w:after="160"/>
        <w:jc w:val="center"/>
        <w:rPr>
          <w:rFonts w:ascii="Times New Roman" w:hAnsi="Times New Roman"/>
          <w:b/>
          <w:color w:val="000000"/>
          <w:sz w:val="22"/>
        </w:rPr>
      </w:pPr>
      <w:r>
        <w:rPr>
          <w:rFonts w:ascii="Times New Roman" w:hAnsi="Times New Roman"/>
          <w:b/>
          <w:color w:val="000000"/>
          <w:sz w:val="22"/>
        </w:rPr>
        <w:t>2019 EMPLOYEE STOCK PURCHASE PLAN</w:t>
      </w:r>
    </w:p>
    <w:p>
      <w:pPr>
        <w:pStyle w:val="TextBody"/>
        <w:bidi w:val="0"/>
        <w:spacing w:before="0" w:after="160"/>
        <w:jc w:val="center"/>
        <w:rPr>
          <w:rFonts w:ascii="Times New Roman" w:hAnsi="Times New Roman"/>
          <w:b/>
          <w:color w:val="000000"/>
          <w:sz w:val="22"/>
        </w:rPr>
      </w:pPr>
      <w:r>
        <w:rPr>
          <w:rFonts w:ascii="Times New Roman" w:hAnsi="Times New Roman"/>
          <w:b/>
          <w:color w:val="000000"/>
          <w:sz w:val="22"/>
        </w:rPr>
        <w:t>(as amended June 15, 2026 (the “Amendment Date”)</w:t>
      </w:r>
    </w:p>
    <w:p>
      <w:pPr>
        <w:pStyle w:val="TextBody"/>
        <w:bidi w:val="0"/>
        <w:jc w:val="both"/>
        <w:rPr>
          <w:rFonts w:ascii="Times New Roman" w:hAnsi="Times New Roman"/>
          <w:sz w:val="20"/>
        </w:rPr>
      </w:pPr>
      <w:r>
        <w:rPr>
          <w:rFonts w:ascii="Times New Roman" w:hAnsi="Times New Roman"/>
          <w:color w:val="000000"/>
          <w:sz w:val="22"/>
        </w:rPr>
        <w:t xml:space="preserve">1. </w:t>
      </w:r>
      <w:r>
        <w:rPr>
          <w:rFonts w:ascii="Times New Roman" w:hAnsi="Times New Roman"/>
          <w:color w:val="000000"/>
          <w:sz w:val="22"/>
          <w:u w:val="single"/>
        </w:rPr>
        <w:t>Purpose</w:t>
      </w:r>
      <w:r>
        <w:rPr>
          <w:rFonts w:ascii="Times New Roman" w:hAnsi="Times New Roman"/>
          <w:color w:val="000000"/>
          <w:sz w:val="22"/>
        </w:rPr>
        <w:t>. The purpose of the Plan is to provide employees of the Company and its Designated Companies with an opportunity to purchase Common Stock through accumulated Contributions. The Company intends for the Plan to have two components: a component that is intended to qualify as an “employee stock purchase plan” under Section 423 of the Code (the “423 Component”) and a component that is not intended to qualify as an “employee stock purchase plan” under Section 423 of the Code (the “Non-423 Component”). The provisions of the 423 Component, accordingly, will be construed so as to extend and limit Plan participation in a uniform and nondiscriminatory basis consistent with the requirements of Section 423 of the Code. An option to purchase shares of Common Stock under the Non-423 Component will be granted pursuant to rules, procedures, or sub-plans adopted by the Administrator designed to achieve tax, securities laws, or other objectives for Eligible Employees and the Company. Except as otherwise provided herein, the Non-423 Component will operate and be administered in the same manner as the 423 Component.</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 xml:space="preserve">2. </w:t>
      </w:r>
      <w:r>
        <w:rPr>
          <w:rFonts w:ascii="Times New Roman" w:hAnsi="Times New Roman"/>
          <w:color w:val="000000"/>
          <w:sz w:val="22"/>
          <w:u w:val="single"/>
        </w:rPr>
        <w:t>Definitions</w:t>
      </w:r>
      <w:r>
        <w:rPr>
          <w:rFonts w:ascii="Times New Roman" w:hAnsi="Times New Roman"/>
          <w:color w:val="000000"/>
          <w:sz w:val="22"/>
        </w:rPr>
        <w:t>.</w:t>
      </w:r>
    </w:p>
    <w:p>
      <w:pPr>
        <w:pStyle w:val="TextBody"/>
        <w:bidi w:val="0"/>
        <w:jc w:val="both"/>
        <w:rPr>
          <w:rFonts w:ascii="Times New Roman" w:hAnsi="Times New Roman"/>
          <w:sz w:val="20"/>
        </w:rPr>
      </w:pPr>
      <w:r>
        <w:rPr>
          <w:rFonts w:ascii="Times New Roman" w:hAnsi="Times New Roman"/>
          <w:color w:val="000000"/>
          <w:sz w:val="22"/>
        </w:rPr>
        <w:t>(a) “</w:t>
      </w:r>
      <w:r>
        <w:rPr>
          <w:rFonts w:ascii="Times New Roman" w:hAnsi="Times New Roman"/>
          <w:color w:val="000000"/>
          <w:sz w:val="22"/>
          <w:u w:val="single"/>
        </w:rPr>
        <w:t>Administrator</w:t>
      </w:r>
      <w:r>
        <w:rPr>
          <w:rFonts w:ascii="Times New Roman" w:hAnsi="Times New Roman"/>
          <w:color w:val="000000"/>
          <w:sz w:val="20"/>
        </w:rPr>
        <w:t xml:space="preserve">” </w:t>
      </w:r>
      <w:r>
        <w:rPr>
          <w:rFonts w:ascii="Times New Roman" w:hAnsi="Times New Roman"/>
          <w:color w:val="000000"/>
          <w:sz w:val="22"/>
        </w:rPr>
        <w:t>means the Board or any Committee designated by the Board to administer the Plan pursuant to Section 14.</w:t>
      </w:r>
    </w:p>
    <w:p>
      <w:pPr>
        <w:pStyle w:val="TextBody"/>
        <w:bidi w:val="0"/>
        <w:jc w:val="both"/>
        <w:rPr>
          <w:rFonts w:ascii="Times New Roman" w:hAnsi="Times New Roman"/>
          <w:sz w:val="20"/>
        </w:rPr>
      </w:pPr>
      <w:r>
        <w:rPr>
          <w:rFonts w:ascii="Times New Roman" w:hAnsi="Times New Roman"/>
          <w:color w:val="000000"/>
          <w:sz w:val="22"/>
        </w:rPr>
        <w:t>(b) “</w:t>
      </w:r>
      <w:r>
        <w:rPr>
          <w:rFonts w:ascii="Times New Roman" w:hAnsi="Times New Roman"/>
          <w:color w:val="000000"/>
          <w:sz w:val="22"/>
          <w:u w:val="single"/>
        </w:rPr>
        <w:t>Affiliate</w:t>
      </w:r>
      <w:r>
        <w:rPr>
          <w:rFonts w:ascii="Times New Roman" w:hAnsi="Times New Roman"/>
          <w:color w:val="000000"/>
          <w:sz w:val="20"/>
        </w:rPr>
        <w:t xml:space="preserve">” </w:t>
      </w:r>
      <w:r>
        <w:rPr>
          <w:rFonts w:ascii="Times New Roman" w:hAnsi="Times New Roman"/>
          <w:color w:val="000000"/>
          <w:sz w:val="22"/>
        </w:rPr>
        <w:t>means any entity, other than a Subsidiary, in which the Company has an equity or other ownership interest.</w:t>
      </w:r>
    </w:p>
    <w:p>
      <w:pPr>
        <w:pStyle w:val="TextBody"/>
        <w:bidi w:val="0"/>
        <w:jc w:val="both"/>
        <w:rPr>
          <w:rFonts w:ascii="Times New Roman" w:hAnsi="Times New Roman"/>
          <w:sz w:val="20"/>
        </w:rPr>
      </w:pPr>
      <w:r>
        <w:rPr>
          <w:rFonts w:ascii="Times New Roman" w:hAnsi="Times New Roman"/>
          <w:color w:val="000000"/>
          <w:sz w:val="22"/>
        </w:rPr>
        <w:t>(c) “</w:t>
      </w:r>
      <w:r>
        <w:rPr>
          <w:rFonts w:ascii="Times New Roman" w:hAnsi="Times New Roman"/>
          <w:color w:val="000000"/>
          <w:sz w:val="22"/>
          <w:u w:val="single"/>
        </w:rPr>
        <w:t>Applicable Laws</w:t>
      </w:r>
      <w:r>
        <w:rPr>
          <w:rFonts w:ascii="Times New Roman" w:hAnsi="Times New Roman"/>
          <w:color w:val="000000"/>
          <w:sz w:val="20"/>
        </w:rPr>
        <w:t xml:space="preserve">” </w:t>
      </w:r>
      <w:r>
        <w:rPr>
          <w:rFonts w:ascii="Times New Roman" w:hAnsi="Times New Roman"/>
          <w:color w:val="000000"/>
          <w:sz w:val="22"/>
        </w:rPr>
        <w:t>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options are, or will be, granted under the Plan.</w:t>
      </w:r>
    </w:p>
    <w:p>
      <w:pPr>
        <w:pStyle w:val="TextBody"/>
        <w:bidi w:val="0"/>
        <w:jc w:val="both"/>
        <w:rPr>
          <w:rFonts w:ascii="Times New Roman" w:hAnsi="Times New Roman"/>
          <w:sz w:val="20"/>
        </w:rPr>
      </w:pPr>
      <w:r>
        <w:rPr>
          <w:rFonts w:ascii="Times New Roman" w:hAnsi="Times New Roman"/>
          <w:color w:val="000000"/>
          <w:sz w:val="22"/>
        </w:rPr>
        <w:t>(d) “</w:t>
      </w:r>
      <w:r>
        <w:rPr>
          <w:rFonts w:ascii="Times New Roman" w:hAnsi="Times New Roman"/>
          <w:color w:val="000000"/>
          <w:sz w:val="22"/>
          <w:u w:val="single"/>
        </w:rPr>
        <w:t>Board</w:t>
      </w:r>
      <w:r>
        <w:rPr>
          <w:rFonts w:ascii="Times New Roman" w:hAnsi="Times New Roman"/>
          <w:color w:val="000000"/>
          <w:sz w:val="20"/>
        </w:rPr>
        <w:t xml:space="preserve">” </w:t>
      </w:r>
      <w:r>
        <w:rPr>
          <w:rFonts w:ascii="Times New Roman" w:hAnsi="Times New Roman"/>
          <w:color w:val="000000"/>
          <w:sz w:val="22"/>
        </w:rPr>
        <w:t>means the Board of Directors of the Company.</w:t>
      </w:r>
    </w:p>
    <w:p>
      <w:pPr>
        <w:pStyle w:val="TextBody"/>
        <w:bidi w:val="0"/>
        <w:jc w:val="both"/>
        <w:rPr>
          <w:rFonts w:ascii="Times New Roman" w:hAnsi="Times New Roman"/>
          <w:sz w:val="20"/>
        </w:rPr>
      </w:pPr>
      <w:r>
        <w:rPr>
          <w:rFonts w:ascii="Times New Roman" w:hAnsi="Times New Roman"/>
          <w:color w:val="000000"/>
          <w:sz w:val="22"/>
        </w:rPr>
        <w:t>(e) “</w:t>
      </w:r>
      <w:r>
        <w:rPr>
          <w:rFonts w:ascii="Times New Roman" w:hAnsi="Times New Roman"/>
          <w:color w:val="000000"/>
          <w:sz w:val="22"/>
          <w:u w:val="single"/>
        </w:rPr>
        <w:t>Change in Control</w:t>
      </w:r>
      <w:r>
        <w:rPr>
          <w:rFonts w:ascii="Times New Roman" w:hAnsi="Times New Roman"/>
          <w:color w:val="000000"/>
          <w:sz w:val="20"/>
        </w:rPr>
        <w:t xml:space="preserve">” </w:t>
      </w:r>
      <w:r>
        <w:rPr>
          <w:rFonts w:ascii="Times New Roman" w:hAnsi="Times New Roman"/>
          <w:color w:val="000000"/>
          <w:sz w:val="22"/>
        </w:rPr>
        <w:t>means the occurrence of any of the following events:</w:t>
      </w:r>
    </w:p>
    <w:p>
      <w:pPr>
        <w:pStyle w:val="TextBody"/>
        <w:bidi w:val="0"/>
        <w:spacing w:before="120" w:after="283"/>
        <w:jc w:val="both"/>
        <w:rPr>
          <w:rFonts w:ascii="Times New Roman" w:hAnsi="Times New Roman"/>
          <w:sz w:val="20"/>
        </w:rPr>
      </w:pPr>
      <w:r>
        <w:rPr>
          <w:rFonts w:ascii="Times New Roman" w:hAnsi="Times New Roman"/>
          <w:color w:val="000000"/>
          <w:sz w:val="22"/>
        </w:rPr>
        <w:t>(i) A change in the ownership of the Company which occurs on the date that any one person, or more than one person acting as a group (“</w:t>
      </w:r>
      <w:r>
        <w:rPr>
          <w:rFonts w:ascii="Times New Roman" w:hAnsi="Times New Roman"/>
          <w:color w:val="000000"/>
          <w:sz w:val="22"/>
          <w:u w:val="single"/>
        </w:rPr>
        <w:t>Person</w:t>
      </w:r>
      <w:r>
        <w:rPr>
          <w:rFonts w:ascii="Times New Roman" w:hAnsi="Times New Roman"/>
          <w:color w:val="000000"/>
          <w:sz w:val="20"/>
        </w:rPr>
        <w:t>”</w:t>
      </w:r>
      <w:r>
        <w:rPr>
          <w:rFonts w:ascii="Times New Roman" w:hAnsi="Times New Roman"/>
          <w:color w:val="000000"/>
          <w:sz w:val="22"/>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pStyle w:val="TextBody"/>
        <w:bidi w:val="0"/>
        <w:jc w:val="both"/>
        <w:rPr>
          <w:rFonts w:ascii="Times New Roman" w:hAnsi="Times New Roman"/>
          <w:sz w:val="20"/>
        </w:rPr>
      </w:pPr>
      <w:r>
        <w:rPr>
          <w:rFonts w:ascii="Times New Roman" w:hAnsi="Times New Roman"/>
          <w:color w:val="000000"/>
          <w:sz w:val="22"/>
        </w:rPr>
        <w:t>(ii) A change in the effective control of the Company which occurs on the date that a majority of members of the Board is replaced during any twelve (12)-month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2"/>
        </w:rPr>
        <w:t>(iii) A change in the ownership of a substantial portion of the Company’s assets which occurs on the date that any Person acquires (or has acquired during the twelve (12)</w:t>
        <w:noBreakHyphen/>
        <w:t>month period ending on the date of the most recent acquisition by such Person)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gross fair market value means the value of the assets of the Company, or the value of the assets being disposed of, determined without regard to any liabilities associated with such assets.</w:t>
      </w:r>
      <w:r>
        <w:rPr>
          <w:rFonts w:ascii="Times New Roman" w:hAnsi="Times New Roman"/>
          <w:color w:val="000000"/>
          <w:sz w:val="20"/>
        </w:rPr>
        <w:t xml:space="preserve"> </w:t>
      </w:r>
    </w:p>
    <w:p>
      <w:pPr>
        <w:pStyle w:val="TextBody"/>
        <w:bidi w:val="0"/>
        <w:spacing w:before="120" w:after="160"/>
        <w:jc w:val="both"/>
        <w:rPr>
          <w:rFonts w:ascii="Times New Roman" w:hAnsi="Times New Roman"/>
          <w:color w:val="000000"/>
          <w:sz w:val="22"/>
        </w:rPr>
      </w:pPr>
      <w:r>
        <w:rPr>
          <w:rFonts w:ascii="Times New Roman" w:hAnsi="Times New Roman"/>
          <w:color w:val="000000"/>
          <w:sz w:val="22"/>
        </w:rPr>
        <w:t>For purposes of this definition, persons will be considered to be acting as a group if they are owners of a corporation that enters into a merger, consolidation, purchase, or acquisition of stock, or similar business transaction with the Company.</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Notwithstanding the foregoing, a transaction will not be deemed a Change in Control unless the transaction qualifies as a change in control event within the meaning of Code Section 409A, as it has been and may be amended from time to time, and any proposed or final U.S. Treasury Regulations and Internal Revenue Service guidance that has been promulgated or may be promulgated thereunder from time to time.</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pStyle w:val="TextBody"/>
        <w:bidi w:val="0"/>
        <w:jc w:val="both"/>
        <w:rPr>
          <w:rFonts w:ascii="Times New Roman" w:hAnsi="Times New Roman"/>
          <w:sz w:val="20"/>
        </w:rPr>
      </w:pPr>
      <w:r>
        <w:rPr>
          <w:rFonts w:ascii="Times New Roman" w:hAnsi="Times New Roman"/>
          <w:color w:val="000000"/>
          <w:sz w:val="22"/>
        </w:rPr>
        <w:t>(f) “</w:t>
      </w:r>
      <w:r>
        <w:rPr>
          <w:rFonts w:ascii="Times New Roman" w:hAnsi="Times New Roman"/>
          <w:color w:val="000000"/>
          <w:sz w:val="22"/>
          <w:u w:val="single"/>
        </w:rPr>
        <w:t>Code</w:t>
      </w:r>
      <w:r>
        <w:rPr>
          <w:rFonts w:ascii="Times New Roman" w:hAnsi="Times New Roman"/>
          <w:color w:val="000000"/>
          <w:sz w:val="20"/>
        </w:rPr>
        <w:t xml:space="preserve">” </w:t>
      </w:r>
      <w:r>
        <w:rPr>
          <w:rFonts w:ascii="Times New Roman" w:hAnsi="Times New Roman"/>
          <w:color w:val="000000"/>
          <w:sz w:val="22"/>
        </w:rPr>
        <w:t>means the U.S. Internal Revenue Code of 1986, as amended. Reference to a specific section of the Code will include such section, any valid regulation or other official applicable guidance promulgated under such section, and any comparable provision of any future legislation or regulation amending, supplementing or superseding such section or regulation.</w:t>
      </w:r>
    </w:p>
    <w:p>
      <w:pPr>
        <w:pStyle w:val="TextBody"/>
        <w:bidi w:val="0"/>
        <w:spacing w:before="120" w:after="160"/>
        <w:jc w:val="both"/>
        <w:rPr>
          <w:rFonts w:ascii="Times New Roman" w:hAnsi="Times New Roman"/>
          <w:sz w:val="20"/>
        </w:rPr>
      </w:pPr>
      <w:r>
        <w:rPr>
          <w:rFonts w:ascii="Times New Roman" w:hAnsi="Times New Roman"/>
          <w:color w:val="000000"/>
          <w:sz w:val="22"/>
        </w:rPr>
        <w:t>(g) “</w:t>
      </w:r>
      <w:r>
        <w:rPr>
          <w:rFonts w:ascii="Times New Roman" w:hAnsi="Times New Roman"/>
          <w:color w:val="000000"/>
          <w:sz w:val="22"/>
          <w:u w:val="single"/>
        </w:rPr>
        <w:t>Committee</w:t>
      </w:r>
      <w:r>
        <w:rPr>
          <w:rFonts w:ascii="Times New Roman" w:hAnsi="Times New Roman"/>
          <w:color w:val="000000"/>
          <w:sz w:val="20"/>
        </w:rPr>
        <w:t xml:space="preserve">” </w:t>
      </w:r>
      <w:r>
        <w:rPr>
          <w:rFonts w:ascii="Times New Roman" w:hAnsi="Times New Roman"/>
          <w:color w:val="000000"/>
          <w:sz w:val="22"/>
        </w:rPr>
        <w:t>means a committee of the Board appointed in accordance with Section 14 hereof.</w:t>
      </w:r>
    </w:p>
    <w:p>
      <w:pPr>
        <w:pStyle w:val="TextBody"/>
        <w:bidi w:val="0"/>
        <w:jc w:val="both"/>
        <w:rPr>
          <w:rFonts w:ascii="Times New Roman" w:hAnsi="Times New Roman"/>
          <w:sz w:val="20"/>
        </w:rPr>
      </w:pPr>
      <w:r>
        <w:rPr>
          <w:rFonts w:ascii="Times New Roman" w:hAnsi="Times New Roman"/>
          <w:color w:val="000000"/>
          <w:sz w:val="22"/>
        </w:rPr>
        <w:t>(h) “</w:t>
      </w:r>
      <w:r>
        <w:rPr>
          <w:rFonts w:ascii="Times New Roman" w:hAnsi="Times New Roman"/>
          <w:color w:val="000000"/>
          <w:sz w:val="22"/>
          <w:u w:val="single"/>
        </w:rPr>
        <w:t>Common Stock</w:t>
      </w:r>
      <w:r>
        <w:rPr>
          <w:rFonts w:ascii="Times New Roman" w:hAnsi="Times New Roman"/>
          <w:color w:val="000000"/>
          <w:sz w:val="20"/>
        </w:rPr>
        <w:t xml:space="preserve">” </w:t>
      </w:r>
      <w:r>
        <w:rPr>
          <w:rFonts w:ascii="Times New Roman" w:hAnsi="Times New Roman"/>
          <w:color w:val="000000"/>
          <w:sz w:val="22"/>
        </w:rPr>
        <w:t>means the Common Stock of the Company.</w:t>
      </w:r>
    </w:p>
    <w:p>
      <w:pPr>
        <w:pStyle w:val="TextBody"/>
        <w:bidi w:val="0"/>
        <w:jc w:val="both"/>
        <w:rPr>
          <w:rFonts w:ascii="Times New Roman" w:hAnsi="Times New Roman"/>
          <w:sz w:val="20"/>
        </w:rPr>
      </w:pPr>
      <w:r>
        <w:rPr>
          <w:rFonts w:ascii="Times New Roman" w:hAnsi="Times New Roman"/>
          <w:color w:val="000000"/>
          <w:sz w:val="22"/>
        </w:rPr>
        <w:t>(i) “</w:t>
      </w:r>
      <w:r>
        <w:rPr>
          <w:rFonts w:ascii="Times New Roman" w:hAnsi="Times New Roman"/>
          <w:color w:val="000000"/>
          <w:sz w:val="22"/>
          <w:u w:val="single"/>
        </w:rPr>
        <w:t>Company</w:t>
      </w:r>
      <w:r>
        <w:rPr>
          <w:rFonts w:ascii="Times New Roman" w:hAnsi="Times New Roman"/>
          <w:color w:val="000000"/>
          <w:sz w:val="20"/>
        </w:rPr>
        <w:t xml:space="preserve">” </w:t>
      </w:r>
      <w:r>
        <w:rPr>
          <w:rFonts w:ascii="Times New Roman" w:hAnsi="Times New Roman"/>
          <w:color w:val="000000"/>
          <w:sz w:val="22"/>
        </w:rPr>
        <w:t>means Alector, Inc., a Delaware corporation, or any successor thereto.</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(j) “</w:t>
      </w:r>
      <w:r>
        <w:rPr>
          <w:rFonts w:ascii="Times New Roman" w:hAnsi="Times New Roman"/>
          <w:color w:val="000000"/>
          <w:sz w:val="22"/>
          <w:u w:val="single"/>
        </w:rPr>
        <w:t>Compensation</w:t>
      </w:r>
      <w:r>
        <w:rPr>
          <w:rFonts w:ascii="Times New Roman" w:hAnsi="Times New Roman"/>
          <w:color w:val="000000"/>
          <w:sz w:val="20"/>
        </w:rPr>
        <w:t xml:space="preserve">” </w:t>
      </w:r>
      <w:r>
        <w:rPr>
          <w:rFonts w:ascii="Times New Roman" w:hAnsi="Times New Roman"/>
          <w:color w:val="000000"/>
          <w:sz w:val="22"/>
        </w:rPr>
        <w:t>includes an Eligible Employee’s base straight time gross earnings, but excludes payments for incentive compensation, bonuses, payments for overtime and shift premium, equity compensation income and other similar compensation. The Administrator, in its discretion, may, on a uniform and nondiscriminatory basis, establish a different definition of Compensation for a subsequent Offering Period.</w:t>
      </w:r>
    </w:p>
    <w:p>
      <w:pPr>
        <w:pStyle w:val="TextBody"/>
        <w:bidi w:val="0"/>
        <w:jc w:val="both"/>
        <w:rPr>
          <w:rFonts w:ascii="Times New Roman" w:hAnsi="Times New Roman"/>
          <w:sz w:val="20"/>
        </w:rPr>
      </w:pPr>
      <w:r>
        <w:rPr>
          <w:rFonts w:ascii="Times New Roman" w:hAnsi="Times New Roman"/>
          <w:color w:val="000000"/>
          <w:sz w:val="22"/>
        </w:rPr>
        <w:t>(k) “</w:t>
      </w:r>
      <w:r>
        <w:rPr>
          <w:rFonts w:ascii="Times New Roman" w:hAnsi="Times New Roman"/>
          <w:color w:val="000000"/>
          <w:sz w:val="22"/>
          <w:u w:val="single"/>
        </w:rPr>
        <w:t>Contributions</w:t>
      </w:r>
      <w:r>
        <w:rPr>
          <w:rFonts w:ascii="Times New Roman" w:hAnsi="Times New Roman"/>
          <w:color w:val="000000"/>
          <w:sz w:val="20"/>
        </w:rPr>
        <w:t xml:space="preserve">” </w:t>
      </w:r>
      <w:r>
        <w:rPr>
          <w:rFonts w:ascii="Times New Roman" w:hAnsi="Times New Roman"/>
          <w:color w:val="000000"/>
          <w:sz w:val="22"/>
        </w:rPr>
        <w:t>means the payroll deductions and other additional payments that the Company may permit to be made by a Participant to fund the exercise of options granted pursuant to the Plan.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(l) “</w:t>
      </w:r>
      <w:r>
        <w:rPr>
          <w:rFonts w:ascii="Times New Roman" w:hAnsi="Times New Roman"/>
          <w:color w:val="000000"/>
          <w:sz w:val="22"/>
          <w:u w:val="single"/>
        </w:rPr>
        <w:t>Designated Company</w:t>
      </w:r>
      <w:r>
        <w:rPr>
          <w:rFonts w:ascii="Times New Roman" w:hAnsi="Times New Roman"/>
          <w:color w:val="000000"/>
          <w:sz w:val="20"/>
        </w:rPr>
        <w:t xml:space="preserve">” </w:t>
      </w:r>
      <w:r>
        <w:rPr>
          <w:rFonts w:ascii="Times New Roman" w:hAnsi="Times New Roman"/>
          <w:color w:val="000000"/>
          <w:sz w:val="22"/>
        </w:rPr>
        <w:t>means any Subsidiary or Affiliate that has been designated by the Administrator from time to time in its sole discretion as eligible to participate in the Plan. For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2"/>
        </w:rPr>
        <w:t>purposes of the 423 Component, only the Company and its Subsidiaries may be Designated Companies, provided, however that at any given time, a Subsidiary that is a Designated Company under the 423 Component will not be a Designated Company under the Non</w:t>
        <w:noBreakHyphen/>
        <w:t>423 Component.</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(m) “</w:t>
      </w:r>
      <w:r>
        <w:rPr>
          <w:rFonts w:ascii="Times New Roman" w:hAnsi="Times New Roman"/>
          <w:color w:val="000000"/>
          <w:sz w:val="22"/>
          <w:u w:val="single"/>
        </w:rPr>
        <w:t>Director</w:t>
      </w:r>
      <w:r>
        <w:rPr>
          <w:rFonts w:ascii="Times New Roman" w:hAnsi="Times New Roman"/>
          <w:color w:val="000000"/>
          <w:sz w:val="20"/>
        </w:rPr>
        <w:t xml:space="preserve">” </w:t>
      </w:r>
      <w:r>
        <w:rPr>
          <w:rFonts w:ascii="Times New Roman" w:hAnsi="Times New Roman"/>
          <w:color w:val="000000"/>
          <w:sz w:val="22"/>
        </w:rPr>
        <w:t>means a member of the Board.</w:t>
      </w:r>
    </w:p>
    <w:p>
      <w:pPr>
        <w:pStyle w:val="TextBody"/>
        <w:bidi w:val="0"/>
        <w:jc w:val="both"/>
        <w:rPr>
          <w:rFonts w:ascii="Times New Roman" w:hAnsi="Times New Roman"/>
          <w:sz w:val="20"/>
        </w:rPr>
      </w:pPr>
      <w:r>
        <w:rPr>
          <w:rFonts w:ascii="Times New Roman" w:hAnsi="Times New Roman"/>
          <w:color w:val="000000"/>
          <w:sz w:val="22"/>
        </w:rPr>
        <w:t>(n) “</w:t>
      </w:r>
      <w:r>
        <w:rPr>
          <w:rFonts w:ascii="Times New Roman" w:hAnsi="Times New Roman"/>
          <w:color w:val="000000"/>
          <w:sz w:val="22"/>
          <w:u w:val="single"/>
        </w:rPr>
        <w:t>Eligible Employee</w:t>
      </w:r>
      <w:r>
        <w:rPr>
          <w:rFonts w:ascii="Times New Roman" w:hAnsi="Times New Roman"/>
          <w:color w:val="000000"/>
          <w:sz w:val="20"/>
        </w:rPr>
        <w:t xml:space="preserve">” </w:t>
      </w:r>
      <w:r>
        <w:rPr>
          <w:rFonts w:ascii="Times New Roman" w:hAnsi="Times New Roman"/>
          <w:color w:val="000000"/>
          <w:sz w:val="22"/>
        </w:rPr>
        <w:t>means any individual who is a common law employee providing services to the Company or a Designated Company and is customarily employed for at least twenty (20) hours per week and more than five (5) months in any calendar year by the Employer, or any lesser number of hours per week and/or number of months in any calendar year established by the Administrator (if required under Applicable Laws) for purposes of any separate Offering or the Non-423 Component. For purposes of the Plan, the employment relationship will be treated as continuing intact while the individual is on sick leave or other leave of absence that the Employer approves or is legally protected under Applicable Laws.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Enrollment Date for all options to be granted on such Enrollment Date in an Offering, determine (for each Offering under the 423 Component on a uniform and nondiscriminatory basis or as otherwise permitted by Treasury Regulation Section 1.423 2) that the definition of Eligible Employee will or will not include an individual if he or she: (i) has not completed at least two (2) years of service since his or her last hire date (or such lesser period of time as may be determined by the Administrator in its discretion), (ii) customarily works not more than twenty (20) hours per week (or such lesser period of time as may be determined by the Administrator in its discretion), (iii) customarily works not more than five (5) months per calendar year (or such lesser period of time as may be determined by the Administrator in its discretion), (iv) is a highly compensated employee within the meaning of Section 414(q) of the Code, or (v) is a highly compensated employee within the meaning of Section 414(q) of the Code with compensation above a certain level or is an officer or subject to the disclosure requirements of Section 16(a) of the Exchange Act, provided the exclusion is applied with respect to each Offering under the 423 Component in an identical manner to all highly compensated individuals of the Employer whose Eligible Employees are participating in that Offering. Each exclusion will be applied with respect to an Offering under the 423 Component in a manner complying with U.S. Treasury Regulation Section 1.423 2(e)(2)(ii). Such exclusions may be applied with respect to an Offering under the Non-423 Component without regard to the limitations of U.S. Treasury Regulation Section 1.423 2.</w:t>
      </w:r>
    </w:p>
    <w:p>
      <w:pPr>
        <w:pStyle w:val="TextBody"/>
        <w:bidi w:val="0"/>
        <w:spacing w:before="120" w:after="160"/>
        <w:jc w:val="both"/>
        <w:rPr>
          <w:rFonts w:ascii="Times New Roman" w:hAnsi="Times New Roman"/>
          <w:sz w:val="20"/>
        </w:rPr>
      </w:pPr>
      <w:r>
        <w:rPr>
          <w:rFonts w:ascii="Times New Roman" w:hAnsi="Times New Roman"/>
          <w:color w:val="000000"/>
          <w:sz w:val="22"/>
        </w:rPr>
        <w:t>(o) “</w:t>
      </w:r>
      <w:r>
        <w:rPr>
          <w:rFonts w:ascii="Times New Roman" w:hAnsi="Times New Roman"/>
          <w:color w:val="000000"/>
          <w:sz w:val="22"/>
          <w:u w:val="single"/>
        </w:rPr>
        <w:t>Employer</w:t>
      </w:r>
      <w:r>
        <w:rPr>
          <w:rFonts w:ascii="Times New Roman" w:hAnsi="Times New Roman"/>
          <w:color w:val="000000"/>
          <w:sz w:val="20"/>
        </w:rPr>
        <w:t xml:space="preserve">” </w:t>
      </w:r>
      <w:r>
        <w:rPr>
          <w:rFonts w:ascii="Times New Roman" w:hAnsi="Times New Roman"/>
          <w:color w:val="000000"/>
          <w:sz w:val="22"/>
        </w:rPr>
        <w:t>means the employer of the applicable Eligible Employee(s).</w:t>
      </w:r>
    </w:p>
    <w:p>
      <w:pPr>
        <w:pStyle w:val="TextBody"/>
        <w:bidi w:val="0"/>
        <w:jc w:val="both"/>
        <w:rPr>
          <w:rFonts w:ascii="Times New Roman" w:hAnsi="Times New Roman"/>
          <w:sz w:val="20"/>
        </w:rPr>
      </w:pPr>
      <w:r>
        <w:rPr>
          <w:rFonts w:ascii="Times New Roman" w:hAnsi="Times New Roman"/>
          <w:color w:val="000000"/>
          <w:sz w:val="22"/>
        </w:rPr>
        <w:t>(p) “</w:t>
      </w:r>
      <w:r>
        <w:rPr>
          <w:rFonts w:ascii="Times New Roman" w:hAnsi="Times New Roman"/>
          <w:color w:val="000000"/>
          <w:sz w:val="22"/>
          <w:u w:val="single"/>
        </w:rPr>
        <w:t>Enrollment Date</w:t>
      </w:r>
      <w:r>
        <w:rPr>
          <w:rFonts w:ascii="Times New Roman" w:hAnsi="Times New Roman"/>
          <w:color w:val="000000"/>
          <w:sz w:val="20"/>
        </w:rPr>
        <w:t xml:space="preserve">” </w:t>
      </w:r>
      <w:r>
        <w:rPr>
          <w:rFonts w:ascii="Times New Roman" w:hAnsi="Times New Roman"/>
          <w:color w:val="000000"/>
          <w:sz w:val="22"/>
        </w:rPr>
        <w:t>means the first Trading Day of an Offering Period.</w:t>
      </w:r>
    </w:p>
    <w:p>
      <w:pPr>
        <w:pStyle w:val="TextBody"/>
        <w:bidi w:val="0"/>
        <w:jc w:val="both"/>
        <w:rPr>
          <w:rFonts w:ascii="Times New Roman" w:hAnsi="Times New Roman"/>
          <w:sz w:val="20"/>
        </w:rPr>
      </w:pPr>
      <w:r>
        <w:rPr>
          <w:rFonts w:ascii="Times New Roman" w:hAnsi="Times New Roman"/>
          <w:color w:val="000000"/>
          <w:sz w:val="22"/>
        </w:rPr>
        <w:t>(q) “</w:t>
      </w:r>
      <w:r>
        <w:rPr>
          <w:rFonts w:ascii="Times New Roman" w:hAnsi="Times New Roman"/>
          <w:color w:val="000000"/>
          <w:sz w:val="22"/>
          <w:u w:val="single"/>
        </w:rPr>
        <w:t>Exchange Act</w:t>
      </w:r>
      <w:r>
        <w:rPr>
          <w:rFonts w:ascii="Times New Roman" w:hAnsi="Times New Roman"/>
          <w:color w:val="000000"/>
          <w:sz w:val="20"/>
        </w:rPr>
        <w:t xml:space="preserve">” </w:t>
      </w:r>
      <w:r>
        <w:rPr>
          <w:rFonts w:ascii="Times New Roman" w:hAnsi="Times New Roman"/>
          <w:color w:val="000000"/>
          <w:sz w:val="22"/>
        </w:rPr>
        <w:t>means the U.S. Securities Exchange Act of 1934, as amended, including the rules and regulations promulgated thereunder.</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(r) “</w:t>
      </w:r>
      <w:r>
        <w:rPr>
          <w:rFonts w:ascii="Times New Roman" w:hAnsi="Times New Roman"/>
          <w:color w:val="000000"/>
          <w:sz w:val="22"/>
          <w:u w:val="single"/>
        </w:rPr>
        <w:t>Exercise Date</w:t>
      </w:r>
      <w:r>
        <w:rPr>
          <w:rFonts w:ascii="Times New Roman" w:hAnsi="Times New Roman"/>
          <w:color w:val="000000"/>
          <w:sz w:val="20"/>
        </w:rPr>
        <w:t xml:space="preserve">” </w:t>
      </w:r>
      <w:r>
        <w:rPr>
          <w:rFonts w:ascii="Times New Roman" w:hAnsi="Times New Roman"/>
          <w:color w:val="000000"/>
          <w:sz w:val="22"/>
        </w:rPr>
        <w:t>means the last Trading Day of the Purchase Period. Notwithstanding the foregoing, in the event that an Offering Period is terminated prior to its expiration pursuant to Section 20(a), the Administrator, in its sole discretion, may determine that any Purchase Period also terminating under such Offering Period will terminate without options being exercised on the Exercise Date that otherwise would have occurred on the last Trading Day of such Purchase Period.</w:t>
      </w:r>
    </w:p>
    <w:p>
      <w:pPr>
        <w:pStyle w:val="TextBody"/>
        <w:bidi w:val="0"/>
        <w:jc w:val="both"/>
        <w:rPr>
          <w:rFonts w:ascii="Times New Roman" w:hAnsi="Times New Roman"/>
          <w:sz w:val="20"/>
        </w:rPr>
      </w:pPr>
      <w:r>
        <w:rPr>
          <w:rFonts w:ascii="Times New Roman" w:hAnsi="Times New Roman"/>
          <w:color w:val="000000"/>
          <w:sz w:val="22"/>
        </w:rPr>
        <w:t>(s) “</w:t>
      </w:r>
      <w:r>
        <w:rPr>
          <w:rFonts w:ascii="Times New Roman" w:hAnsi="Times New Roman"/>
          <w:color w:val="000000"/>
          <w:sz w:val="22"/>
          <w:u w:val="single"/>
        </w:rPr>
        <w:t>Fair Market Value</w:t>
      </w:r>
      <w:r>
        <w:rPr>
          <w:rFonts w:ascii="Times New Roman" w:hAnsi="Times New Roman"/>
          <w:color w:val="000000"/>
          <w:sz w:val="20"/>
        </w:rPr>
        <w:t xml:space="preserve">” </w:t>
      </w:r>
      <w:r>
        <w:rPr>
          <w:rFonts w:ascii="Times New Roman" w:hAnsi="Times New Roman"/>
          <w:color w:val="000000"/>
          <w:sz w:val="22"/>
        </w:rPr>
        <w:t>means, as of any date, the value of a share of Common Stock determined as follows:</w:t>
      </w:r>
    </w:p>
    <w:p>
      <w:pPr>
        <w:pStyle w:val="TextBody"/>
        <w:bidi w:val="0"/>
        <w:jc w:val="both"/>
        <w:rPr>
          <w:rFonts w:ascii="Times New Roman" w:hAnsi="Times New Roman"/>
          <w:color w:val="000000"/>
          <w:sz w:val="22"/>
        </w:rPr>
      </w:pPr>
      <w:r>
        <w:rPr>
          <w:rFonts w:ascii="Times New Roman" w:hAnsi="Times New Roman"/>
          <w:color w:val="000000"/>
          <w:sz w:val="22"/>
        </w:rPr>
        <w:t>(i) For purposes of the Enrollment Date of the first Offering Period under the Plan, the Fair Market Value will be the initial price to the public as set forth in the final prospectus included within the Registration Statement.</w:t>
      </w:r>
    </w:p>
    <w:p>
      <w:pPr>
        <w:pStyle w:val="TextBody"/>
        <w:bidi w:val="0"/>
        <w:jc w:val="both"/>
        <w:rPr>
          <w:rFonts w:ascii="Times New Roman" w:hAnsi="Times New Roman"/>
          <w:sz w:val="20"/>
        </w:rPr>
      </w:pPr>
      <w:r>
        <w:rPr>
          <w:rFonts w:ascii="Times New Roman" w:hAnsi="Times New Roman"/>
          <w:color w:val="000000"/>
          <w:sz w:val="22"/>
        </w:rPr>
        <w:t>(ii) For all other purposes, the Fair Market Value will be the closing sales price for Common Stock as quoted on any established stock exchange or national market system (including without limitation the New York Stock Exchange, NASDAQ Global Select Market, the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2"/>
        </w:rPr>
        <w:t xml:space="preserve">NASDAQ Global Market or the NASDAQ Capital Market of The NASDAQ Stock Market) on which the Common Stock is listed on the date of determination (or the closing bid, if no sales were reported), as reported in </w:t>
      </w:r>
      <w:r>
        <w:rPr>
          <w:rFonts w:ascii="Times New Roman" w:hAnsi="Times New Roman"/>
          <w:i/>
          <w:color w:val="000000"/>
          <w:sz w:val="22"/>
        </w:rPr>
        <w:t>The Wall Street Journal</w:t>
      </w:r>
      <w:r>
        <w:rPr>
          <w:rFonts w:ascii="Times New Roman" w:hAnsi="Times New Roman"/>
          <w:color w:val="000000"/>
          <w:sz w:val="20"/>
        </w:rPr>
        <w:t xml:space="preserve"> </w:t>
      </w:r>
      <w:r>
        <w:rPr>
          <w:rFonts w:ascii="Times New Roman" w:hAnsi="Times New Roman"/>
          <w:color w:val="000000"/>
          <w:sz w:val="22"/>
        </w:rPr>
        <w:t>or such other source as the Administrator deems reliable. If the determination date for the Fair Market Value occurs on a non-trading day (i.e., a weekend or holiday), the Fair Market Value will be such price on the immediately preceding trading day, unless otherwise determined by the Administrator. In the absence of an established market for the Common Stock, the Fair Market Value thereof will be determined in good faith by the Administrator.</w:t>
      </w:r>
      <w:r>
        <w:rPr>
          <w:rFonts w:ascii="Times New Roman" w:hAnsi="Times New Roman"/>
          <w:color w:val="000000"/>
          <w:sz w:val="20"/>
        </w:rPr>
        <w:t xml:space="preserve"> </w:t>
      </w:r>
    </w:p>
    <w:p>
      <w:pPr>
        <w:pStyle w:val="TextBody"/>
        <w:bidi w:val="0"/>
        <w:spacing w:before="120" w:after="160"/>
        <w:jc w:val="left"/>
        <w:rPr>
          <w:rFonts w:ascii="Times New Roman" w:hAnsi="Times New Roman"/>
          <w:color w:val="000000"/>
          <w:sz w:val="22"/>
        </w:rPr>
      </w:pPr>
      <w:r>
        <w:rPr>
          <w:rFonts w:ascii="Times New Roman" w:hAnsi="Times New Roman"/>
          <w:color w:val="000000"/>
          <w:sz w:val="22"/>
        </w:rPr>
        <w:t>The determination of fair market value for purposes of tax withholding may be made in the Administrator’s discretion subject to Applicable Laws and is not required to be consistent with the determination of Fair Market Value for other purposes.</w:t>
      </w:r>
    </w:p>
    <w:p>
      <w:pPr>
        <w:pStyle w:val="TextBody"/>
        <w:bidi w:val="0"/>
        <w:jc w:val="both"/>
        <w:rPr>
          <w:rFonts w:ascii="Times New Roman" w:hAnsi="Times New Roman"/>
          <w:sz w:val="20"/>
        </w:rPr>
      </w:pPr>
      <w:r>
        <w:rPr>
          <w:rFonts w:ascii="Times New Roman" w:hAnsi="Times New Roman"/>
          <w:color w:val="000000"/>
          <w:sz w:val="22"/>
        </w:rPr>
        <w:t>(t) “</w:t>
      </w:r>
      <w:r>
        <w:rPr>
          <w:rFonts w:ascii="Times New Roman" w:hAnsi="Times New Roman"/>
          <w:color w:val="000000"/>
          <w:sz w:val="22"/>
          <w:u w:val="single"/>
        </w:rPr>
        <w:t>Fiscal Year</w:t>
      </w:r>
      <w:r>
        <w:rPr>
          <w:rFonts w:ascii="Times New Roman" w:hAnsi="Times New Roman"/>
          <w:color w:val="000000"/>
          <w:sz w:val="20"/>
        </w:rPr>
        <w:t xml:space="preserve">” </w:t>
      </w:r>
      <w:r>
        <w:rPr>
          <w:rFonts w:ascii="Times New Roman" w:hAnsi="Times New Roman"/>
          <w:color w:val="000000"/>
          <w:sz w:val="22"/>
        </w:rPr>
        <w:t>means a fiscal year of the Company.</w:t>
      </w:r>
    </w:p>
    <w:p>
      <w:pPr>
        <w:pStyle w:val="TextBody"/>
        <w:bidi w:val="0"/>
        <w:jc w:val="both"/>
        <w:rPr>
          <w:rFonts w:ascii="Times New Roman" w:hAnsi="Times New Roman"/>
          <w:sz w:val="20"/>
        </w:rPr>
      </w:pPr>
      <w:r>
        <w:rPr>
          <w:rFonts w:ascii="Times New Roman" w:hAnsi="Times New Roman"/>
          <w:color w:val="000000"/>
          <w:sz w:val="22"/>
        </w:rPr>
        <w:t>(u) “</w:t>
      </w:r>
      <w:r>
        <w:rPr>
          <w:rFonts w:ascii="Times New Roman" w:hAnsi="Times New Roman"/>
          <w:color w:val="000000"/>
          <w:sz w:val="22"/>
          <w:u w:val="single"/>
        </w:rPr>
        <w:t>New Exercise Date</w:t>
      </w:r>
      <w:r>
        <w:rPr>
          <w:rFonts w:ascii="Times New Roman" w:hAnsi="Times New Roman"/>
          <w:color w:val="000000"/>
          <w:sz w:val="20"/>
        </w:rPr>
        <w:t xml:space="preserve">” </w:t>
      </w:r>
      <w:r>
        <w:rPr>
          <w:rFonts w:ascii="Times New Roman" w:hAnsi="Times New Roman"/>
          <w:color w:val="000000"/>
          <w:sz w:val="22"/>
        </w:rPr>
        <w:t>means a new Exercise Date if the Administrator shortens any Offering Period then in progress.</w:t>
      </w:r>
    </w:p>
    <w:p>
      <w:pPr>
        <w:pStyle w:val="TextBody"/>
        <w:bidi w:val="0"/>
        <w:jc w:val="both"/>
        <w:rPr>
          <w:rFonts w:ascii="Times New Roman" w:hAnsi="Times New Roman"/>
          <w:sz w:val="20"/>
        </w:rPr>
      </w:pPr>
      <w:r>
        <w:rPr>
          <w:rFonts w:ascii="Times New Roman" w:hAnsi="Times New Roman"/>
          <w:color w:val="000000"/>
          <w:sz w:val="22"/>
        </w:rPr>
        <w:t>(v) “</w:t>
      </w:r>
      <w:r>
        <w:rPr>
          <w:rFonts w:ascii="Times New Roman" w:hAnsi="Times New Roman"/>
          <w:color w:val="000000"/>
          <w:sz w:val="22"/>
          <w:u w:val="single"/>
        </w:rPr>
        <w:t>Offering</w:t>
      </w:r>
      <w:r>
        <w:rPr>
          <w:rFonts w:ascii="Times New Roman" w:hAnsi="Times New Roman"/>
          <w:color w:val="000000"/>
          <w:sz w:val="20"/>
        </w:rPr>
        <w:t xml:space="preserve">” </w:t>
      </w:r>
      <w:r>
        <w:rPr>
          <w:rFonts w:ascii="Times New Roman" w:hAnsi="Times New Roman"/>
          <w:color w:val="000000"/>
          <w:sz w:val="22"/>
        </w:rPr>
        <w:t>means an offer under the Plan of an option that may be exercised during an Offering Period as further described in Section 4.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 Section 1.423</w:t>
        <w:noBreakHyphen/>
        <w:t>2(a)(1), the terms of each Offering need not be identical provided that the terms of the Plan and an Offering together satisfy U.S. Treasury Regulation Section 1.423</w:t>
        <w:noBreakHyphen/>
        <w:t>2(a)(2) and (a)(3).</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2"/>
        </w:rPr>
        <w:t>(w) “</w:t>
      </w:r>
      <w:r>
        <w:rPr>
          <w:rFonts w:ascii="Times New Roman" w:hAnsi="Times New Roman"/>
          <w:color w:val="000000"/>
          <w:sz w:val="22"/>
          <w:u w:val="single"/>
        </w:rPr>
        <w:t>Offering Periods</w:t>
      </w:r>
      <w:r>
        <w:rPr>
          <w:rFonts w:ascii="Times New Roman" w:hAnsi="Times New Roman"/>
          <w:color w:val="000000"/>
          <w:sz w:val="20"/>
        </w:rPr>
        <w:t xml:space="preserve">” </w:t>
      </w:r>
      <w:r>
        <w:rPr>
          <w:rFonts w:ascii="Times New Roman" w:hAnsi="Times New Roman"/>
          <w:color w:val="000000"/>
          <w:sz w:val="22"/>
        </w:rPr>
        <w:t>means the periods of approximately six (6) months during which an option granted pursuant to the Plan may be exercised, commencing on June 16 and December 16 of each year and terminating on December 15 and June 15, approximately six (6) months later; provided, however, that (i) the Offering Period in effect as of the Amendment Date commenced on June 1, 2026, and will terminate on November 30, 2026, (ii) there will be no Offering Period covering December 1, 2026, through December 15, 2026, and (iii) the next Offering Period after November 30, 2026, will commence on December 16, 2026. The duration and timing of Offering Periods may be changed pursuant to Sections 4 and 20.</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(x) “</w:t>
      </w:r>
      <w:r>
        <w:rPr>
          <w:rFonts w:ascii="Times New Roman" w:hAnsi="Times New Roman"/>
          <w:color w:val="000000"/>
          <w:sz w:val="22"/>
          <w:u w:val="single"/>
        </w:rPr>
        <w:t>Parent</w:t>
      </w:r>
      <w:r>
        <w:rPr>
          <w:rFonts w:ascii="Times New Roman" w:hAnsi="Times New Roman"/>
          <w:color w:val="000000"/>
          <w:sz w:val="20"/>
        </w:rPr>
        <w:t xml:space="preserve">” </w:t>
      </w:r>
      <w:r>
        <w:rPr>
          <w:rFonts w:ascii="Times New Roman" w:hAnsi="Times New Roman"/>
          <w:color w:val="000000"/>
          <w:sz w:val="22"/>
        </w:rPr>
        <w:t>means a “parent corporation,” whether now or hereafter existing, as defined in Section 424(e) of the Code.</w:t>
      </w:r>
    </w:p>
    <w:p>
      <w:pPr>
        <w:pStyle w:val="TextBody"/>
        <w:bidi w:val="0"/>
        <w:jc w:val="both"/>
        <w:rPr>
          <w:rFonts w:ascii="Times New Roman" w:hAnsi="Times New Roman"/>
          <w:sz w:val="20"/>
        </w:rPr>
      </w:pPr>
      <w:r>
        <w:rPr>
          <w:rFonts w:ascii="Times New Roman" w:hAnsi="Times New Roman"/>
          <w:color w:val="000000"/>
          <w:sz w:val="22"/>
        </w:rPr>
        <w:t>(y) “</w:t>
      </w:r>
      <w:r>
        <w:rPr>
          <w:rFonts w:ascii="Times New Roman" w:hAnsi="Times New Roman"/>
          <w:color w:val="000000"/>
          <w:sz w:val="22"/>
          <w:u w:val="single"/>
        </w:rPr>
        <w:t>Participant</w:t>
      </w:r>
      <w:r>
        <w:rPr>
          <w:rFonts w:ascii="Times New Roman" w:hAnsi="Times New Roman"/>
          <w:color w:val="000000"/>
          <w:sz w:val="20"/>
        </w:rPr>
        <w:t xml:space="preserve">” </w:t>
      </w:r>
      <w:r>
        <w:rPr>
          <w:rFonts w:ascii="Times New Roman" w:hAnsi="Times New Roman"/>
          <w:color w:val="000000"/>
          <w:sz w:val="22"/>
        </w:rPr>
        <w:t>means an Eligible Employee that participates in the Plan.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(z) “</w:t>
      </w:r>
      <w:r>
        <w:rPr>
          <w:rFonts w:ascii="Times New Roman" w:hAnsi="Times New Roman"/>
          <w:color w:val="000000"/>
          <w:sz w:val="22"/>
          <w:u w:val="single"/>
        </w:rPr>
        <w:t>Plan</w:t>
      </w:r>
      <w:r>
        <w:rPr>
          <w:rFonts w:ascii="Times New Roman" w:hAnsi="Times New Roman"/>
          <w:color w:val="000000"/>
          <w:sz w:val="20"/>
        </w:rPr>
        <w:t xml:space="preserve">” </w:t>
      </w:r>
      <w:r>
        <w:rPr>
          <w:rFonts w:ascii="Times New Roman" w:hAnsi="Times New Roman"/>
          <w:color w:val="000000"/>
          <w:sz w:val="22"/>
        </w:rPr>
        <w:t>means this Alector, Inc. 2019 Employee Stock Purchase Plan.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(aa) “</w:t>
      </w:r>
      <w:r>
        <w:rPr>
          <w:rFonts w:ascii="Times New Roman" w:hAnsi="Times New Roman"/>
          <w:color w:val="000000"/>
          <w:sz w:val="22"/>
          <w:u w:val="single"/>
        </w:rPr>
        <w:t>Purchase Period</w:t>
      </w:r>
      <w:r>
        <w:rPr>
          <w:rFonts w:ascii="Times New Roman" w:hAnsi="Times New Roman"/>
          <w:color w:val="000000"/>
          <w:sz w:val="20"/>
        </w:rPr>
        <w:t xml:space="preserve">” </w:t>
      </w:r>
      <w:r>
        <w:rPr>
          <w:rFonts w:ascii="Times New Roman" w:hAnsi="Times New Roman"/>
          <w:color w:val="000000"/>
          <w:sz w:val="22"/>
        </w:rPr>
        <w:t>means the approximately six (6) month period commencing after one Exercise Date and ending with the next Exercise Date, except that the first Purchase Period of any Offering Period will commence on the Enrollment Date and end with the next Exercise Date. Unless the Administrator provides otherwise, the Purchase Period will have the same duration and coincide with the length of the Offering Period.</w:t>
      </w:r>
    </w:p>
    <w:p>
      <w:pPr>
        <w:pStyle w:val="TextBody"/>
        <w:bidi w:val="0"/>
        <w:jc w:val="both"/>
        <w:rPr>
          <w:rFonts w:ascii="Times New Roman" w:hAnsi="Times New Roman"/>
          <w:sz w:val="20"/>
        </w:rPr>
      </w:pPr>
      <w:r>
        <w:rPr>
          <w:rFonts w:ascii="Times New Roman" w:hAnsi="Times New Roman"/>
          <w:color w:val="000000"/>
          <w:sz w:val="22"/>
        </w:rPr>
        <w:t>(bb) “</w:t>
      </w:r>
      <w:r>
        <w:rPr>
          <w:rFonts w:ascii="Times New Roman" w:hAnsi="Times New Roman"/>
          <w:color w:val="000000"/>
          <w:sz w:val="22"/>
          <w:u w:val="single"/>
        </w:rPr>
        <w:t>Purchase Price</w:t>
      </w:r>
      <w:r>
        <w:rPr>
          <w:rFonts w:ascii="Times New Roman" w:hAnsi="Times New Roman"/>
          <w:color w:val="000000"/>
          <w:sz w:val="20"/>
        </w:rPr>
        <w:t xml:space="preserve">” </w:t>
      </w:r>
      <w:r>
        <w:rPr>
          <w:rFonts w:ascii="Times New Roman" w:hAnsi="Times New Roman"/>
          <w:color w:val="000000"/>
          <w:sz w:val="22"/>
        </w:rPr>
        <w:t>means an amount equal to eighty-five percent (85%) of the Fair Market Value on the Enrollment Date or on the Exercise Date, whichever is lower; provided however, that the Purchase Price may be determined for subsequent Offering Periods by the Administrator subject to compliance with Section 423 of the Code (or any successor rule or provision or any other Applicable Law, regulation or stock exchange rule) or pursuant to Section 20.</w:t>
      </w:r>
    </w:p>
    <w:p>
      <w:pPr>
        <w:pStyle w:val="TextBody"/>
        <w:bidi w:val="0"/>
        <w:jc w:val="both"/>
        <w:rPr>
          <w:rFonts w:ascii="Times New Roman" w:hAnsi="Times New Roman"/>
          <w:sz w:val="20"/>
        </w:rPr>
      </w:pPr>
      <w:r>
        <w:rPr>
          <w:rFonts w:ascii="Times New Roman" w:hAnsi="Times New Roman"/>
          <w:color w:val="000000"/>
          <w:sz w:val="22"/>
        </w:rPr>
        <w:t>(cc) “</w:t>
      </w:r>
      <w:r>
        <w:rPr>
          <w:rFonts w:ascii="Times New Roman" w:hAnsi="Times New Roman"/>
          <w:color w:val="000000"/>
          <w:sz w:val="22"/>
          <w:u w:val="single"/>
        </w:rPr>
        <w:t>Registration Date</w:t>
      </w:r>
      <w:r>
        <w:rPr>
          <w:rFonts w:ascii="Times New Roman" w:hAnsi="Times New Roman"/>
          <w:color w:val="000000"/>
          <w:sz w:val="20"/>
        </w:rPr>
        <w:t xml:space="preserve">” </w:t>
      </w:r>
      <w:r>
        <w:rPr>
          <w:rFonts w:ascii="Times New Roman" w:hAnsi="Times New Roman"/>
          <w:color w:val="000000"/>
          <w:sz w:val="22"/>
        </w:rPr>
        <w:t>means the effective date of the Registration Statement.</w:t>
      </w:r>
    </w:p>
    <w:p>
      <w:pPr>
        <w:pStyle w:val="TextBody"/>
        <w:bidi w:val="0"/>
        <w:jc w:val="both"/>
        <w:rPr>
          <w:rFonts w:ascii="Times New Roman" w:hAnsi="Times New Roman"/>
          <w:sz w:val="20"/>
        </w:rPr>
      </w:pPr>
      <w:r>
        <w:rPr>
          <w:rFonts w:ascii="Times New Roman" w:hAnsi="Times New Roman"/>
          <w:color w:val="000000"/>
          <w:sz w:val="22"/>
        </w:rPr>
        <w:t>(dd) “</w:t>
      </w:r>
      <w:r>
        <w:rPr>
          <w:rFonts w:ascii="Times New Roman" w:hAnsi="Times New Roman"/>
          <w:color w:val="000000"/>
          <w:sz w:val="22"/>
          <w:u w:val="single"/>
        </w:rPr>
        <w:t>Registration Statement</w:t>
      </w:r>
      <w:r>
        <w:rPr>
          <w:rFonts w:ascii="Times New Roman" w:hAnsi="Times New Roman"/>
          <w:color w:val="000000"/>
          <w:sz w:val="20"/>
        </w:rPr>
        <w:t xml:space="preserve">” </w:t>
      </w:r>
      <w:r>
        <w:rPr>
          <w:rFonts w:ascii="Times New Roman" w:hAnsi="Times New Roman"/>
          <w:color w:val="000000"/>
          <w:sz w:val="22"/>
        </w:rPr>
        <w:t>means the registration statement on Form S-1 filed with the Securities and Exchange Commission for the initial public offering of the Common Stock.</w:t>
      </w:r>
    </w:p>
    <w:p>
      <w:pPr>
        <w:pStyle w:val="TextBody"/>
        <w:bidi w:val="0"/>
        <w:jc w:val="both"/>
        <w:rPr>
          <w:rFonts w:ascii="Times New Roman" w:hAnsi="Times New Roman"/>
          <w:sz w:val="20"/>
        </w:rPr>
      </w:pPr>
      <w:r>
        <w:rPr>
          <w:rFonts w:ascii="Times New Roman" w:hAnsi="Times New Roman"/>
          <w:color w:val="000000"/>
          <w:sz w:val="22"/>
        </w:rPr>
        <w:t>(ee) “</w:t>
      </w:r>
      <w:r>
        <w:rPr>
          <w:rFonts w:ascii="Times New Roman" w:hAnsi="Times New Roman"/>
          <w:color w:val="000000"/>
          <w:sz w:val="22"/>
          <w:u w:val="single"/>
        </w:rPr>
        <w:t>Subsidiary</w:t>
      </w:r>
      <w:r>
        <w:rPr>
          <w:rFonts w:ascii="Times New Roman" w:hAnsi="Times New Roman"/>
          <w:color w:val="000000"/>
          <w:sz w:val="20"/>
        </w:rPr>
        <w:t xml:space="preserve">” </w:t>
      </w:r>
      <w:r>
        <w:rPr>
          <w:rFonts w:ascii="Times New Roman" w:hAnsi="Times New Roman"/>
          <w:color w:val="000000"/>
          <w:sz w:val="22"/>
        </w:rPr>
        <w:t>means a “subsidiary corporation,” whether now or hereafter existing, as defined in Section 424(f) of the Code.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2"/>
        </w:rPr>
        <w:t>(ff) “</w:t>
      </w:r>
      <w:r>
        <w:rPr>
          <w:rFonts w:ascii="Times New Roman" w:hAnsi="Times New Roman"/>
          <w:color w:val="000000"/>
          <w:sz w:val="22"/>
          <w:u w:val="single"/>
        </w:rPr>
        <w:t>Trading Day</w:t>
      </w:r>
      <w:r>
        <w:rPr>
          <w:rFonts w:ascii="Times New Roman" w:hAnsi="Times New Roman"/>
          <w:color w:val="000000"/>
          <w:sz w:val="20"/>
        </w:rPr>
        <w:t xml:space="preserve">” </w:t>
      </w:r>
      <w:r>
        <w:rPr>
          <w:rFonts w:ascii="Times New Roman" w:hAnsi="Times New Roman"/>
          <w:color w:val="000000"/>
          <w:sz w:val="22"/>
        </w:rPr>
        <w:t>means a day on which the national stock exchange upon which the Common Stock is listed is open for trading.</w:t>
      </w:r>
    </w:p>
    <w:p>
      <w:pPr>
        <w:pStyle w:val="TextBody"/>
        <w:bidi w:val="0"/>
        <w:jc w:val="both"/>
        <w:rPr>
          <w:rFonts w:ascii="Times New Roman" w:hAnsi="Times New Roman"/>
          <w:sz w:val="20"/>
        </w:rPr>
      </w:pPr>
      <w:r>
        <w:rPr>
          <w:rFonts w:ascii="Times New Roman" w:hAnsi="Times New Roman"/>
          <w:color w:val="000000"/>
          <w:sz w:val="22"/>
        </w:rPr>
        <w:t>(gg) “</w:t>
      </w:r>
      <w:r>
        <w:rPr>
          <w:rFonts w:ascii="Times New Roman" w:hAnsi="Times New Roman"/>
          <w:color w:val="000000"/>
          <w:sz w:val="22"/>
          <w:u w:val="single"/>
        </w:rPr>
        <w:t>U.S. Treasury Regulations</w:t>
      </w:r>
      <w:r>
        <w:rPr>
          <w:rFonts w:ascii="Times New Roman" w:hAnsi="Times New Roman"/>
          <w:color w:val="000000"/>
          <w:sz w:val="20"/>
        </w:rPr>
        <w:t xml:space="preserve">” </w:t>
      </w:r>
      <w:r>
        <w:rPr>
          <w:rFonts w:ascii="Times New Roman" w:hAnsi="Times New Roman"/>
          <w:color w:val="000000"/>
          <w:sz w:val="22"/>
        </w:rPr>
        <w:t>means the Treasury regulations of the Code. Reference to a specific Treasury Regulation will include such Treasury Regulation, the section of the Code under which such regulation was promulgated, and any comparable provision of any future legislation or regulation amending, supplementing, or superseding such Section or regulation.</w:t>
      </w:r>
    </w:p>
    <w:p>
      <w:pPr>
        <w:pStyle w:val="TextBody"/>
        <w:bidi w:val="0"/>
        <w:jc w:val="both"/>
        <w:rPr>
          <w:rFonts w:ascii="Times New Roman" w:hAnsi="Times New Roman"/>
          <w:sz w:val="20"/>
        </w:rPr>
      </w:pPr>
      <w:r>
        <w:rPr>
          <w:rFonts w:ascii="Times New Roman" w:hAnsi="Times New Roman"/>
          <w:color w:val="000000"/>
          <w:sz w:val="22"/>
        </w:rPr>
        <w:t xml:space="preserve">3. </w:t>
      </w:r>
      <w:r>
        <w:rPr>
          <w:rFonts w:ascii="Times New Roman" w:hAnsi="Times New Roman"/>
          <w:color w:val="000000"/>
          <w:sz w:val="22"/>
          <w:u w:val="single"/>
        </w:rPr>
        <w:t>Eligibility</w:t>
      </w:r>
      <w:r>
        <w:rPr>
          <w:rFonts w:ascii="Times New Roman" w:hAnsi="Times New Roman"/>
          <w:color w:val="000000"/>
          <w:sz w:val="22"/>
        </w:rPr>
        <w:t>.</w:t>
      </w:r>
    </w:p>
    <w:p>
      <w:pPr>
        <w:pStyle w:val="TextBody"/>
        <w:bidi w:val="0"/>
        <w:spacing w:before="120" w:after="16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First Offering Period</w:t>
      </w:r>
      <w:r>
        <w:rPr>
          <w:rFonts w:ascii="Times New Roman" w:hAnsi="Times New Roman"/>
          <w:color w:val="000000"/>
          <w:sz w:val="22"/>
        </w:rPr>
        <w:t>. Any individual who is an Eligible Employee immediately prior to the first Offering Period will be automatically enrolled in the first Offering Period.</w:t>
      </w:r>
    </w:p>
    <w:p>
      <w:pPr>
        <w:pStyle w:val="TextBody"/>
        <w:bidi w:val="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Subsequent Offering Periods</w:t>
      </w:r>
      <w:r>
        <w:rPr>
          <w:rFonts w:ascii="Times New Roman" w:hAnsi="Times New Roman"/>
          <w:color w:val="000000"/>
          <w:sz w:val="22"/>
        </w:rPr>
        <w:t>. Any Eligible Employee on a given Enrollment Date subsequent to the first Offering Period will be eligible to participate in the Plan, subject to the requirements of Section 5.</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Non-U.S. Employees</w:t>
      </w:r>
      <w:r>
        <w:rPr>
          <w:rFonts w:ascii="Times New Roman" w:hAnsi="Times New Roman"/>
          <w:color w:val="000000"/>
          <w:sz w:val="22"/>
        </w:rPr>
        <w:t>. Eligible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if the participation of such Eligible Employees is prohibited under the laws of the applicable jurisdiction or if complying with the laws of the applicable jurisdiction would cause the Plan or an Offering to violate Section 423 of the Code. In the case of the Non-423 Component, Eligible Employees may be excluded from participation in the Plan or an Offering if the Administrator determines that participation of such Eligible Employees is not advisable or practicable.</w:t>
      </w:r>
    </w:p>
    <w:p>
      <w:pPr>
        <w:pStyle w:val="TextBody"/>
        <w:bidi w:val="0"/>
        <w:jc w:val="both"/>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Limitations</w:t>
      </w:r>
      <w:r>
        <w:rPr>
          <w:rFonts w:ascii="Times New Roman" w:hAnsi="Times New Roman"/>
          <w:color w:val="000000"/>
          <w:sz w:val="22"/>
        </w:rPr>
        <w:t>.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 as determined in accordance with Section 423 of the Code and the regulations thereunder.</w:t>
      </w:r>
    </w:p>
    <w:p>
      <w:pPr>
        <w:pStyle w:val="TextBody"/>
        <w:bidi w:val="0"/>
        <w:jc w:val="both"/>
        <w:rPr>
          <w:rFonts w:ascii="Times New Roman" w:hAnsi="Times New Roman"/>
          <w:sz w:val="20"/>
        </w:rPr>
      </w:pPr>
      <w:r>
        <w:rPr>
          <w:rFonts w:ascii="Times New Roman" w:hAnsi="Times New Roman"/>
          <w:color w:val="000000"/>
          <w:sz w:val="22"/>
        </w:rPr>
        <w:t xml:space="preserve">4. </w:t>
      </w:r>
      <w:r>
        <w:rPr>
          <w:rFonts w:ascii="Times New Roman" w:hAnsi="Times New Roman"/>
          <w:color w:val="000000"/>
          <w:sz w:val="22"/>
          <w:u w:val="single"/>
        </w:rPr>
        <w:t>Offering Periods</w:t>
      </w:r>
      <w:r>
        <w:rPr>
          <w:rFonts w:ascii="Times New Roman" w:hAnsi="Times New Roman"/>
          <w:color w:val="000000"/>
          <w:sz w:val="22"/>
        </w:rPr>
        <w:t>. The Plan will be implemented by consecutive Offering Periods with a new Offering Period commencing on June 16 and December 16 each year, or on such other dates as the Administrator will determine; provided, however, that (i) the Offering Period in effect as of the Amendment Date commenced on June 1, 2026, and will terminate on November 30, 2026, (ii) there will be no Offering Period covering December 1, 2026, through December 15, 2026, and (iii) the next Offering Period after November 30, 2026, will commence on December 16, 2026.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 provided, however, that no Offering Period may last more than twenty-seven (27) months.</w:t>
      </w:r>
    </w:p>
    <w:p>
      <w:pPr>
        <w:pStyle w:val="TextBody"/>
        <w:bidi w:val="0"/>
        <w:jc w:val="both"/>
        <w:rPr>
          <w:rFonts w:ascii="Times New Roman" w:hAnsi="Times New Roman"/>
          <w:sz w:val="20"/>
        </w:rPr>
      </w:pPr>
      <w:r>
        <w:rPr>
          <w:rFonts w:ascii="Times New Roman" w:hAnsi="Times New Roman"/>
          <w:color w:val="000000"/>
          <w:sz w:val="22"/>
        </w:rPr>
        <w:t xml:space="preserve">5. </w:t>
      </w:r>
      <w:r>
        <w:rPr>
          <w:rFonts w:ascii="Times New Roman" w:hAnsi="Times New Roman"/>
          <w:color w:val="000000"/>
          <w:sz w:val="22"/>
          <w:u w:val="single"/>
        </w:rPr>
        <w:t>Participation</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First Offering Period</w:t>
      </w:r>
      <w:r>
        <w:rPr>
          <w:rFonts w:ascii="Times New Roman" w:hAnsi="Times New Roman"/>
          <w:color w:val="000000"/>
          <w:sz w:val="22"/>
        </w:rPr>
        <w:t xml:space="preserve">. An Eligible Employee will be entitled to continue to participate in the first Offering Period pursuant to Section 3(a) only if such individual submits a subscription agreement authorizing Contributions in a form determined by the Administrator (which may be similar to the form attached hereto as </w:t>
      </w:r>
      <w:r>
        <w:rPr>
          <w:rFonts w:ascii="Times New Roman" w:hAnsi="Times New Roman"/>
          <w:color w:val="000000"/>
          <w:sz w:val="22"/>
          <w:u w:val="single"/>
        </w:rPr>
        <w:t>Exhibit A</w:t>
      </w:r>
      <w:r>
        <w:rPr>
          <w:rFonts w:ascii="Times New Roman" w:hAnsi="Times New Roman"/>
          <w:color w:val="000000"/>
          <w:sz w:val="22"/>
        </w:rPr>
        <w:t>) to the Company’s designated plan administrator (i) no earlier than the effective date of the Form S-8 registration statement with respect to the issuance of Common Stock under this Plan and (ii) no later than ten (10) business days following the effective date of such Form S-8</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registration statement or such other date as the Administrator may determine (the “Enrollment Window”). An Eligible Employee’s failure to submit the subscription agreement during the Enrollment Window will result in the automatic termination of such individual’s participation in the first Offering Period.</w:t>
      </w:r>
    </w:p>
    <w:p>
      <w:pPr>
        <w:pStyle w:val="TextBody"/>
        <w:bidi w:val="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Subsequent Offering Periods</w:t>
      </w:r>
      <w:r>
        <w:rPr>
          <w:rFonts w:ascii="Times New Roman" w:hAnsi="Times New Roman"/>
          <w:color w:val="000000"/>
          <w:sz w:val="22"/>
        </w:rPr>
        <w:t>. An Eligible Employee may participate in the Plan pursuant to Section 3(b) by (i) submitting to the Company’s stock administration office (or its designee) a properly completed subscription agreement authorizing Contributions in the form provided by the Administrator for such purpose or (ii) following an electronic or other enrollment procedure determined by the Administrator, in either case on or before a date determined by the Administrator prior to an applicable Enrollment Date.</w:t>
      </w:r>
    </w:p>
    <w:p>
      <w:pPr>
        <w:pStyle w:val="TextBody"/>
        <w:bidi w:val="0"/>
        <w:jc w:val="both"/>
        <w:rPr>
          <w:rFonts w:ascii="Times New Roman" w:hAnsi="Times New Roman"/>
          <w:sz w:val="20"/>
        </w:rPr>
      </w:pPr>
      <w:r>
        <w:rPr>
          <w:rFonts w:ascii="Times New Roman" w:hAnsi="Times New Roman"/>
          <w:color w:val="000000"/>
          <w:sz w:val="22"/>
        </w:rPr>
        <w:t xml:space="preserve">6. </w:t>
      </w:r>
      <w:r>
        <w:rPr>
          <w:rFonts w:ascii="Times New Roman" w:hAnsi="Times New Roman"/>
          <w:color w:val="000000"/>
          <w:sz w:val="22"/>
          <w:u w:val="single"/>
        </w:rPr>
        <w:t>Contributions</w:t>
      </w:r>
      <w:r>
        <w:rPr>
          <w:rFonts w:ascii="Times New Roman" w:hAnsi="Times New Roman"/>
          <w:color w:val="000000"/>
          <w:sz w:val="22"/>
        </w:rPr>
        <w:t>.</w:t>
      </w:r>
    </w:p>
    <w:p>
      <w:pPr>
        <w:pStyle w:val="TextBody"/>
        <w:bidi w:val="0"/>
        <w:jc w:val="both"/>
        <w:rPr>
          <w:rFonts w:ascii="Times New Roman" w:hAnsi="Times New Roman"/>
          <w:sz w:val="20"/>
        </w:rPr>
      </w:pPr>
      <w:r>
        <w:rPr>
          <w:rFonts w:ascii="Times New Roman" w:hAnsi="Times New Roman"/>
          <w:color w:val="000000"/>
          <w:sz w:val="22"/>
        </w:rPr>
        <w:t>(a) At the time a Participant enrolls in the Plan pursuant to Section 5, he or she will elect to have Contributions (in the form of payroll deductions or otherwise, to the extent permitted by the Administrator) made on each pay day during the Offering Period in an amount not exceeding fifteen percent (15%)</w:t>
      </w:r>
      <w:r>
        <w:rPr>
          <w:rFonts w:ascii="Times New Roman" w:hAnsi="Times New Roman"/>
          <w:color w:val="000000"/>
          <w:sz w:val="20"/>
        </w:rPr>
        <w:t xml:space="preserve"> </w:t>
      </w:r>
      <w:r>
        <w:rPr>
          <w:rFonts w:ascii="Times New Roman" w:hAnsi="Times New Roman"/>
          <w:color w:val="000000"/>
          <w:sz w:val="22"/>
        </w:rPr>
        <w:t>of the Compensation that he or she receives on the pay day (for illustrative purposes, should a pay day occur on an Exercise Date, a Participant will have any Contributions made on such day applied to his or her account under the then-current Purchase Period or Offering Period). The Administrator, in its sole discretion, may permit all Participants in a specified Offering to contribute amounts to the Plan through payment by cash, check or other means set forth in the subscription agreement prior to each Exercise Date of each Purchase Period. A Participant’s subscription agreement will remain in effect for successive Offering Periods unless terminated as provided in Section 10 hereof.</w:t>
      </w:r>
    </w:p>
    <w:p>
      <w:pPr>
        <w:pStyle w:val="TextBody"/>
        <w:bidi w:val="0"/>
        <w:jc w:val="both"/>
        <w:rPr>
          <w:rFonts w:ascii="Times New Roman" w:hAnsi="Times New Roman"/>
          <w:color w:val="000000"/>
          <w:sz w:val="22"/>
        </w:rPr>
      </w:pPr>
      <w:r>
        <w:rPr>
          <w:rFonts w:ascii="Times New Roman" w:hAnsi="Times New Roman"/>
          <w:color w:val="000000"/>
          <w:sz w:val="22"/>
        </w:rPr>
        <w:t>(b) 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10 hereof; provided, however, that for the first Offering Period, payroll deductions will commence on the first pay day on or following the end of the Enrollment Window.</w:t>
      </w:r>
    </w:p>
    <w:p>
      <w:pPr>
        <w:pStyle w:val="TextBody"/>
        <w:bidi w:val="0"/>
        <w:jc w:val="both"/>
        <w:rPr>
          <w:rFonts w:ascii="Times New Roman" w:hAnsi="Times New Roman"/>
          <w:color w:val="000000"/>
          <w:sz w:val="22"/>
        </w:rPr>
      </w:pPr>
      <w:r>
        <w:rPr>
          <w:rFonts w:ascii="Times New Roman" w:hAnsi="Times New Roman"/>
          <w:color w:val="000000"/>
          <w:sz w:val="22"/>
        </w:rPr>
        <w:t>(c) All Contributions made for a Participant will be credited to his or her account under the Plan and Contributions will be made in whole percentages of his or her Compensation only. A Participant may not make any additional payments into such account.</w:t>
      </w:r>
    </w:p>
    <w:p>
      <w:pPr>
        <w:pStyle w:val="TextBody"/>
        <w:bidi w:val="0"/>
        <w:spacing w:before="120" w:after="283"/>
        <w:jc w:val="both"/>
        <w:rPr>
          <w:rFonts w:ascii="Times New Roman" w:hAnsi="Times New Roman"/>
          <w:sz w:val="20"/>
        </w:rPr>
      </w:pPr>
      <w:r>
        <w:rPr>
          <w:rFonts w:ascii="Times New Roman" w:hAnsi="Times New Roman"/>
          <w:color w:val="000000"/>
          <w:sz w:val="22"/>
        </w:rPr>
        <w:t>(d) A Participant may discontinue his or her participation in the Plan as provided under Section 10. Unless otherwise determined by the Administrator, during a Purchase Period, a Participant may not increase the rate of his or her Contributions and may only decrease the rate of his or her Contributions one (1) time and such decrease must be to a Contribution rate of zero percent (0%). Any such decrease during a Purchase Period requires the Participant (i) properly completing and submitting to the Company’s stock administration office (or its designee) a new subscription agreement authorizing the change in Contribution rate in the form provided by the Administrator for such purpose or (ii) following an electronic or other procedure prescribed by the Administrator, in either case on or before a date determined by the Administrator prior to an applicable Exercise Date. If a Participant has not followed such procedures to change the rate of Contributions, the rate of his or her Contributions will continue at the originally elected rate throughout the Purchase Period and future Offering Periods and Purchase Periods (unless the Participant’s participation is terminated as provided in Sections 10 or 11). The Administrator may, in its sole discretion, amend the nature and/or number of Contribution rate changes that may be made by Participants during any Offering Period or Purchase Period and may establish other conditions or limitations as it deems appropriate for Plan administration. Any change in the rate of Contributions made pursuant to this Section 6(d) will be effective as of the first (1</w:t>
      </w:r>
      <w:r>
        <w:rPr>
          <w:rFonts w:ascii="Times New Roman" w:hAnsi="Times New Roman"/>
          <w:color w:val="000000"/>
          <w:sz w:val="15"/>
        </w:rPr>
        <w:t>st</w:t>
      </w:r>
      <w:r>
        <w:rPr>
          <w:rFonts w:ascii="Times New Roman" w:hAnsi="Times New Roman"/>
          <w:color w:val="000000"/>
          <w:sz w:val="22"/>
        </w:rPr>
        <w:t>) full payroll period following five (5) business days after the date on which the change is made by the Participant (unless the Administrator, in its sole discretion, elects to process a given change in payroll deduction rate earlier.</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(e) Notwithstanding the foregoing, to the extent necessary to comply with Section 423(b)(8) of the Code and Section 3(d), a Participant’s Contributions may be decreased to zero percent (0%) at any time during a Purchase Period. Subject to Section 423(b)(8) of the Code and Section 3(d)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2"/>
        </w:rPr>
      </w:pPr>
      <w:r>
        <w:rPr>
          <w:rFonts w:ascii="Times New Roman" w:hAnsi="Times New Roman"/>
          <w:color w:val="000000"/>
          <w:sz w:val="22"/>
        </w:rPr>
        <w:t>hereof, Contributions will recommence at the rate originally elected by the Participant effective as of the beginning of the first Purchase Period scheduled to end in the following calendar year, unless terminated by the Participant as provided in Section 10.</w:t>
      </w:r>
    </w:p>
    <w:p>
      <w:pPr>
        <w:pStyle w:val="TextBody"/>
        <w:bidi w:val="0"/>
        <w:jc w:val="both"/>
        <w:rPr>
          <w:rFonts w:ascii="Times New Roman" w:hAnsi="Times New Roman"/>
          <w:color w:val="000000"/>
          <w:sz w:val="22"/>
        </w:rPr>
      </w:pPr>
      <w:r>
        <w:rPr>
          <w:rFonts w:ascii="Times New Roman" w:hAnsi="Times New Roman"/>
          <w:color w:val="000000"/>
          <w:sz w:val="22"/>
        </w:rPr>
        <w:t>(f) Notwithstanding any provisions to the contrary in the Plan, the Administrator may allow Participants to participate in the Plan via cash contributions instead of payroll deductions if (i) payroll deductions are not permitted under Applicable Law, (ii) the Administrator determines that cash contributions are permissible under Section 423 of the Code; or (iii) the Participants are participating in the Non-423 Component.</w:t>
      </w:r>
    </w:p>
    <w:p>
      <w:pPr>
        <w:pStyle w:val="TextBody"/>
        <w:bidi w:val="0"/>
        <w:jc w:val="both"/>
        <w:rPr>
          <w:rFonts w:ascii="Times New Roman" w:hAnsi="Times New Roman"/>
          <w:sz w:val="20"/>
        </w:rPr>
      </w:pPr>
      <w:r>
        <w:rPr>
          <w:rFonts w:ascii="Times New Roman" w:hAnsi="Times New Roman"/>
          <w:color w:val="000000"/>
          <w:sz w:val="22"/>
        </w:rPr>
        <w:t>(g) At the time the option is exercised, in whole or in part, or at the time some or all of the Common Stock issued under the Plan is disposed of (or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sale or early disposition of Common Stock by the Eligible Employee. In addition, the Company or the Employer may, but will not be obligated to, withhold from the proceeds of the sale of Common Stock or any other method of withholding the Company or the Employer deems appropriate to the extent permitted by U.S. Treasury Regulation Section 1.423</w:t>
        <w:noBreakHyphen/>
        <w:t>2(f).</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2"/>
        </w:rPr>
        <w:t xml:space="preserve">7. </w:t>
      </w:r>
      <w:r>
        <w:rPr>
          <w:rFonts w:ascii="Times New Roman" w:hAnsi="Times New Roman"/>
          <w:color w:val="000000"/>
          <w:sz w:val="22"/>
          <w:u w:val="single"/>
        </w:rPr>
        <w:t>Grant of Option</w:t>
      </w:r>
      <w:r>
        <w:rPr>
          <w:rFonts w:ascii="Times New Roman" w:hAnsi="Times New Roman"/>
          <w:color w:val="000000"/>
          <w:sz w:val="22"/>
        </w:rPr>
        <w:t>. On the Enrollment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 provided that, for the Offering Period commencing on the first Trading Day on or after December 16, 2026, and for subsequent Offering Periods, in no event will an Eligible Employee be permitted to purchase during each Purchase Period more than 10,000 shares of Common Stock (subject to any adjustment pursuant to Section 19) and provided further that such purchase will be subject to the limitations set forth in Sections 3(d) and 13 and in the subscription agreement. The Eligible Employee may accept the grant of such option (i) with respect to the first Offering Period by submitting a properly completed subscription agreement in accordance with the requirements of Section 5 on or before the last day of the Enrollment Window, and (ii) with respect to any subsequent Offering Period under the Plan, by electing to participate in the Plan in accordance with the requirements of Section 5. The Administrator may, for future Offering Periods, increase or decrease, in its absolute discretion, the maximum number of shares of Common Stock that an Eligible Employee may purchase during each Purchase Period. Exercise of the option will occur as provided in Section 8, unless the Participant has withdrawn pursuant to Section 10. The option will expire on the last day of the Offering Period.</w:t>
      </w:r>
    </w:p>
    <w:p>
      <w:pPr>
        <w:pStyle w:val="TextBody"/>
        <w:bidi w:val="0"/>
        <w:jc w:val="both"/>
        <w:rPr>
          <w:rFonts w:ascii="Times New Roman" w:hAnsi="Times New Roman"/>
          <w:sz w:val="20"/>
        </w:rPr>
      </w:pPr>
      <w:r>
        <w:rPr>
          <w:rFonts w:ascii="Times New Roman" w:hAnsi="Times New Roman"/>
          <w:color w:val="000000"/>
          <w:sz w:val="22"/>
        </w:rPr>
        <w:t xml:space="preserve">8. </w:t>
      </w:r>
      <w:r>
        <w:rPr>
          <w:rFonts w:ascii="Times New Roman" w:hAnsi="Times New Roman"/>
          <w:color w:val="000000"/>
          <w:sz w:val="22"/>
          <w:u w:val="single"/>
        </w:rPr>
        <w:t>Exercise of Option</w:t>
      </w:r>
      <w:r>
        <w:rPr>
          <w:rFonts w:ascii="Times New Roman" w:hAnsi="Times New Roman"/>
          <w:color w:val="000000"/>
          <w:sz w:val="22"/>
        </w:rPr>
        <w:t>.</w:t>
      </w:r>
    </w:p>
    <w:p>
      <w:pPr>
        <w:pStyle w:val="TextBody"/>
        <w:bidi w:val="0"/>
        <w:jc w:val="both"/>
        <w:rPr>
          <w:rFonts w:ascii="Times New Roman" w:hAnsi="Times New Roman"/>
          <w:sz w:val="20"/>
        </w:rPr>
      </w:pPr>
      <w:r>
        <w:rPr>
          <w:rFonts w:ascii="Times New Roman" w:hAnsi="Times New Roman"/>
          <w:color w:val="000000"/>
          <w:sz w:val="22"/>
        </w:rPr>
        <w:t>(a) Unless a Participant withdraws from the Plan as provided in Section 10, his or her option for the purchase of shares of Common Stock will be exercised automatically on each Exercise Date, and the maximum number of full shares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as applicable, subject to earlier withdrawal by the Participant as provided in Section 10. Any other funds left over in a Participant’s account after the Exercise Date will be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2"/>
        </w:rPr>
      </w:pPr>
      <w:r>
        <w:rPr>
          <w:rFonts w:ascii="Times New Roman" w:hAnsi="Times New Roman"/>
          <w:color w:val="000000"/>
          <w:sz w:val="22"/>
        </w:rPr>
        <w:t>returned to the Participant. During a Participant’s lifetime, a Participant’s option to purchase shares hereunder is exercisable only by him or her.</w:t>
      </w:r>
    </w:p>
    <w:p>
      <w:pPr>
        <w:pStyle w:val="TextBody"/>
        <w:bidi w:val="0"/>
        <w:jc w:val="both"/>
        <w:rPr>
          <w:rFonts w:ascii="Times New Roman" w:hAnsi="Times New Roman"/>
          <w:color w:val="000000"/>
          <w:sz w:val="22"/>
        </w:rPr>
      </w:pPr>
      <w:r>
        <w:rPr>
          <w:rFonts w:ascii="Times New Roman" w:hAnsi="Times New Roman"/>
          <w:color w:val="000000"/>
          <w:sz w:val="22"/>
        </w:rPr>
        <w:t>(b) If the Administrator determines that, on a given Exercise Date, the number of shares of Common Stock with respect to which options are to be exercised may exceed (i) the number of shares of Common Stock that were available for sale under the Plan on the Enrollment Date of the applicable Offering Period, or (ii)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20. The Company may make a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w:t>
      </w:r>
    </w:p>
    <w:p>
      <w:pPr>
        <w:pStyle w:val="TextBody"/>
        <w:bidi w:val="0"/>
        <w:jc w:val="both"/>
        <w:rPr>
          <w:rFonts w:ascii="Times New Roman" w:hAnsi="Times New Roman"/>
          <w:sz w:val="20"/>
        </w:rPr>
      </w:pPr>
      <w:r>
        <w:rPr>
          <w:rFonts w:ascii="Times New Roman" w:hAnsi="Times New Roman"/>
          <w:color w:val="000000"/>
          <w:sz w:val="22"/>
        </w:rPr>
        <w:t xml:space="preserve">9. </w:t>
      </w:r>
      <w:r>
        <w:rPr>
          <w:rFonts w:ascii="Times New Roman" w:hAnsi="Times New Roman"/>
          <w:color w:val="000000"/>
          <w:sz w:val="22"/>
          <w:u w:val="single"/>
        </w:rPr>
        <w:t>Delivery</w:t>
      </w:r>
      <w:r>
        <w:rPr>
          <w:rFonts w:ascii="Times New Roman" w:hAnsi="Times New Roman"/>
          <w:color w:val="000000"/>
          <w:sz w:val="22"/>
        </w:rPr>
        <w:t>. 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other procedures to permit tracking of disqualifying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9.</w:t>
      </w:r>
    </w:p>
    <w:p>
      <w:pPr>
        <w:pStyle w:val="TextBody"/>
        <w:bidi w:val="0"/>
        <w:jc w:val="both"/>
        <w:rPr>
          <w:rFonts w:ascii="Times New Roman" w:hAnsi="Times New Roman"/>
          <w:sz w:val="20"/>
        </w:rPr>
      </w:pPr>
      <w:r>
        <w:rPr>
          <w:rFonts w:ascii="Times New Roman" w:hAnsi="Times New Roman"/>
          <w:color w:val="000000"/>
          <w:sz w:val="22"/>
        </w:rPr>
        <w:t xml:space="preserve">10. </w:t>
      </w:r>
      <w:r>
        <w:rPr>
          <w:rFonts w:ascii="Times New Roman" w:hAnsi="Times New Roman"/>
          <w:color w:val="000000"/>
          <w:sz w:val="22"/>
          <w:u w:val="single"/>
        </w:rPr>
        <w:t>Withdrawal</w:t>
      </w:r>
      <w:r>
        <w:rPr>
          <w:rFonts w:ascii="Times New Roman" w:hAnsi="Times New Roman"/>
          <w:color w:val="000000"/>
          <w:sz w:val="22"/>
        </w:rPr>
        <w:t>.</w:t>
      </w:r>
    </w:p>
    <w:p>
      <w:pPr>
        <w:pStyle w:val="TextBody"/>
        <w:bidi w:val="0"/>
        <w:spacing w:before="120" w:after="283"/>
        <w:jc w:val="both"/>
        <w:rPr>
          <w:rFonts w:ascii="Times New Roman" w:hAnsi="Times New Roman"/>
          <w:sz w:val="20"/>
        </w:rPr>
      </w:pPr>
      <w:r>
        <w:rPr>
          <w:rFonts w:ascii="Times New Roman" w:hAnsi="Times New Roman"/>
          <w:color w:val="000000"/>
          <w:sz w:val="22"/>
        </w:rPr>
        <w:t xml:space="preserve">(a) A Participant may withdraw all but not less than all the Contributions credited to his or her account and not yet used to exercise his or her option under the Plan at any time by (i) submitting to the Company’s stock administration office (or its designee) a written notice of withdrawal in the form determined by the Administrator for such purpose (which may be similar to the form attached hereto as </w:t>
      </w:r>
      <w:r>
        <w:rPr>
          <w:rFonts w:ascii="Times New Roman" w:hAnsi="Times New Roman"/>
          <w:color w:val="000000"/>
          <w:sz w:val="22"/>
          <w:u w:val="single"/>
        </w:rPr>
        <w:t>Exhibit B</w:t>
      </w:r>
      <w:r>
        <w:rPr>
          <w:rFonts w:ascii="Times New Roman" w:hAnsi="Times New Roman"/>
          <w:color w:val="000000"/>
          <w:sz w:val="22"/>
        </w:rPr>
        <w:t>), or (ii) following an electronic or other withdrawal procedure determined by the Administrator. The Administrator may set forth a deadline of when a withdrawal must occur to be effective prior to a given Exercise Date in accordance with policies it may approve from time to time. All of the Participant’s Contributions credited to his or her account will be paid to such Participant promptly after receipt of notice of withdrawal and such Participant’s option for the Offering Period will be automatically terminated, and no further Contributions for the purchase of shares will be made for such Offering Period. If a Participant withdraws from an Offering Period, Contributions will not resume at the beginning of the succeeding Offering Period, unless the Participant re-enrolls in the Plan in accordance with the provisions of Section 5.</w:t>
      </w:r>
    </w:p>
    <w:p>
      <w:pPr>
        <w:pStyle w:val="TextBody"/>
        <w:bidi w:val="0"/>
        <w:jc w:val="both"/>
        <w:rPr>
          <w:rFonts w:ascii="Times New Roman" w:hAnsi="Times New Roman"/>
          <w:color w:val="000000"/>
          <w:sz w:val="22"/>
        </w:rPr>
      </w:pPr>
      <w:r>
        <w:rPr>
          <w:rFonts w:ascii="Times New Roman" w:hAnsi="Times New Roman"/>
          <w:color w:val="000000"/>
          <w:sz w:val="22"/>
        </w:rPr>
        <w:t>(b) A Participant’s withdrawal from an Offering Period will not have any effect on his or her eligibility to participate in any similar plan that may hereafter be adopted by the Company or in succeeding Offering Periods that commence after the termination of the Offering Period from which the Participant withdraws.</w:t>
      </w:r>
    </w:p>
    <w:p>
      <w:pPr>
        <w:pStyle w:val="TextBody"/>
        <w:bidi w:val="0"/>
        <w:jc w:val="both"/>
        <w:rPr>
          <w:rFonts w:ascii="Times New Roman" w:hAnsi="Times New Roman"/>
          <w:sz w:val="20"/>
        </w:rPr>
      </w:pPr>
      <w:r>
        <w:rPr>
          <w:rFonts w:ascii="Times New Roman" w:hAnsi="Times New Roman"/>
          <w:color w:val="000000"/>
          <w:sz w:val="22"/>
        </w:rPr>
        <w:t xml:space="preserve">11. </w:t>
      </w:r>
      <w:r>
        <w:rPr>
          <w:rFonts w:ascii="Times New Roman" w:hAnsi="Times New Roman"/>
          <w:color w:val="000000"/>
          <w:sz w:val="22"/>
          <w:u w:val="single"/>
        </w:rPr>
        <w:t>Termination of Employment</w:t>
      </w:r>
      <w:r>
        <w:rPr>
          <w:rFonts w:ascii="Times New Roman" w:hAnsi="Times New Roman"/>
          <w:color w:val="000000"/>
          <w:sz w:val="22"/>
        </w:rPr>
        <w:t>. Upon a Participant’s ceasing to be an Eligible Employee, for any reason, he or she will be deemed to have elected to withdraw from the Plan and the Contributions credited to such Participant’s account during the Offering Period but not yet used to purchase shares of</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2"/>
        </w:rPr>
      </w:pPr>
      <w:r>
        <w:rPr>
          <w:rFonts w:ascii="Times New Roman" w:hAnsi="Times New Roman"/>
          <w:color w:val="000000"/>
          <w:sz w:val="22"/>
        </w:rPr>
        <w:t>Common Stock under the Plan will be returned to such Participant or, in the case of his or her death, to the person or persons entitled thereto under Section 15, and such Participant’s option will be automatically terminated. Unless otherwise provided by the Administrator, a Participant whose employment transfers between entities through a termination with an immediate rehire (with no break in service) by the Company or a Designated Company will not be treated as terminated under the Plan; however, if a Participant transfers from an Offering under the 423 Component to the Non-423 Component, the exercise of the option will be qualified under the 423 Component only to the extent it complies with Section 423 of the Code, unless otherwise provided by the Administrator.</w:t>
      </w:r>
    </w:p>
    <w:p>
      <w:pPr>
        <w:pStyle w:val="TextBody"/>
        <w:bidi w:val="0"/>
        <w:jc w:val="both"/>
        <w:rPr>
          <w:rFonts w:ascii="Times New Roman" w:hAnsi="Times New Roman"/>
          <w:sz w:val="20"/>
        </w:rPr>
      </w:pPr>
      <w:r>
        <w:rPr>
          <w:rFonts w:ascii="Times New Roman" w:hAnsi="Times New Roman"/>
          <w:color w:val="000000"/>
          <w:sz w:val="22"/>
        </w:rPr>
        <w:t xml:space="preserve">12. </w:t>
      </w:r>
      <w:r>
        <w:rPr>
          <w:rFonts w:ascii="Times New Roman" w:hAnsi="Times New Roman"/>
          <w:color w:val="000000"/>
          <w:sz w:val="22"/>
          <w:u w:val="single"/>
        </w:rPr>
        <w:t>Interest</w:t>
      </w:r>
      <w:r>
        <w:rPr>
          <w:rFonts w:ascii="Times New Roman" w:hAnsi="Times New Roman"/>
          <w:color w:val="000000"/>
          <w:sz w:val="22"/>
        </w:rPr>
        <w:t>. No interest will accrue on the Contributions of a participant in the Plan, except as may be required by Applicable Law, as determined by the Company, and if so required by the laws of a particular jurisdiction, will apply to all Participants in the relevant Offering under the 423 Component, except to the extent otherwise permitted by U.S. Treasury Regulation Section 1.423</w:t>
        <w:noBreakHyphen/>
        <w:t>2(f).</w:t>
      </w:r>
    </w:p>
    <w:p>
      <w:pPr>
        <w:pStyle w:val="TextBody"/>
        <w:bidi w:val="0"/>
        <w:jc w:val="both"/>
        <w:rPr>
          <w:rFonts w:ascii="Times New Roman" w:hAnsi="Times New Roman"/>
          <w:sz w:val="20"/>
        </w:rPr>
      </w:pPr>
      <w:r>
        <w:rPr>
          <w:rFonts w:ascii="Times New Roman" w:hAnsi="Times New Roman"/>
          <w:color w:val="000000"/>
          <w:sz w:val="22"/>
        </w:rPr>
        <w:t xml:space="preserve">13. </w:t>
      </w:r>
      <w:r>
        <w:rPr>
          <w:rFonts w:ascii="Times New Roman" w:hAnsi="Times New Roman"/>
          <w:color w:val="000000"/>
          <w:sz w:val="22"/>
          <w:u w:val="single"/>
        </w:rPr>
        <w:t>Stock</w:t>
      </w:r>
      <w:r>
        <w:rPr>
          <w:rFonts w:ascii="Times New Roman" w:hAnsi="Times New Roman"/>
          <w:color w:val="000000"/>
          <w:sz w:val="22"/>
        </w:rPr>
        <w:t>.</w:t>
      </w:r>
    </w:p>
    <w:p>
      <w:pPr>
        <w:pStyle w:val="TextBody"/>
        <w:bidi w:val="0"/>
        <w:jc w:val="both"/>
        <w:rPr>
          <w:rFonts w:ascii="Times New Roman" w:hAnsi="Times New Roman"/>
          <w:color w:val="000000"/>
          <w:sz w:val="22"/>
        </w:rPr>
      </w:pPr>
      <w:r>
        <w:rPr>
          <w:rFonts w:ascii="Times New Roman" w:hAnsi="Times New Roman"/>
          <w:color w:val="000000"/>
          <w:sz w:val="22"/>
        </w:rPr>
        <w:t>(a) Subject to adjustment upon changes in capitalization of the Company as provided in Section 19 hereof, the maximum number of shares of Common Stock that initially was available for sale under the Plan upon its initial adoption was 1,478,492 shares of Common Stock. The number of shares of Common Stock available for issuance under the Plan increases on the first day of each Fiscal Year beginning with the 2020 Fiscal Year by a number equal to the least of (i) 591,397 shares of Common Stock, (ii) one percent (1%) of the outstanding shares of Common Stock on the last day of the immediately preceding Fiscal Year, or (iii) an amount determined by the Administrator no later than the last day of the immediately preceding Fiscal Year.</w:t>
      </w:r>
    </w:p>
    <w:p>
      <w:pPr>
        <w:pStyle w:val="TextBody"/>
        <w:bidi w:val="0"/>
        <w:spacing w:before="120" w:after="160"/>
        <w:jc w:val="both"/>
        <w:rPr>
          <w:rFonts w:ascii="Times New Roman" w:hAnsi="Times New Roman"/>
          <w:color w:val="000000"/>
          <w:sz w:val="22"/>
        </w:rPr>
      </w:pPr>
      <w:r>
        <w:rPr>
          <w:rFonts w:ascii="Times New Roman" w:hAnsi="Times New Roman"/>
          <w:color w:val="000000"/>
          <w:sz w:val="22"/>
        </w:rPr>
        <w:t>(b) Until the shares of Common Stock are issued (as evidenced by the appropriate entry on the books of the Company or of a duly authorized transfer agent of the Company), a Participant will have only the rights of an unsecured creditor with respect to such shares, and no right to vote or receive dividends or any other rights as a stockholder will exist with respect to such shares.</w:t>
      </w:r>
    </w:p>
    <w:p>
      <w:pPr>
        <w:pStyle w:val="TextBody"/>
        <w:bidi w:val="0"/>
        <w:jc w:val="both"/>
        <w:rPr>
          <w:rFonts w:ascii="Times New Roman" w:hAnsi="Times New Roman"/>
          <w:color w:val="000000"/>
          <w:sz w:val="22"/>
        </w:rPr>
      </w:pPr>
      <w:r>
        <w:rPr>
          <w:rFonts w:ascii="Times New Roman" w:hAnsi="Times New Roman"/>
          <w:color w:val="000000"/>
          <w:sz w:val="22"/>
        </w:rPr>
        <w:t>(c) Shares of Common Stock to be delivered to a Participant under the Plan will be registered in the name of the Participant or in the name of the Participant and his or her spouse.</w:t>
      </w:r>
    </w:p>
    <w:p>
      <w:pPr>
        <w:pStyle w:val="TextBody"/>
        <w:bidi w:val="0"/>
        <w:jc w:val="both"/>
        <w:rPr>
          <w:rFonts w:ascii="Times New Roman" w:hAnsi="Times New Roman"/>
          <w:sz w:val="20"/>
        </w:rPr>
      </w:pPr>
      <w:r>
        <w:rPr>
          <w:rFonts w:ascii="Times New Roman" w:hAnsi="Times New Roman"/>
          <w:color w:val="000000"/>
          <w:sz w:val="22"/>
        </w:rPr>
        <w:t xml:space="preserve">14. </w:t>
      </w:r>
      <w:r>
        <w:rPr>
          <w:rFonts w:ascii="Times New Roman" w:hAnsi="Times New Roman"/>
          <w:color w:val="000000"/>
          <w:sz w:val="22"/>
          <w:u w:val="single"/>
        </w:rPr>
        <w:t>Administration</w:t>
      </w:r>
      <w:r>
        <w:rPr>
          <w:rFonts w:ascii="Times New Roman" w:hAnsi="Times New Roman"/>
          <w:color w:val="000000"/>
          <w:sz w:val="22"/>
        </w:rPr>
        <w:t>. The Plan will be administered by the Board or a Committee appointed by the Board, which Committee will be constituted to comply with Applicable Laws. The Administrator will have full and exclusive discretionary authority to construe, interpret and apply the terms of the Plan, to delegate ministerial duties to any of the Company’s employees, to designate separate Offerings under the Plan, to designate Subsidiaries and Affiliates as participating in the 423 Component or Non-423 Component, to determine eligibility, to adjudicate all disputed claims filed under the Plan and to establish such procedures that it deems necessary for the administration of the Plan (including, without limitation, to adopt such procedures and sub-plans as are necessary or appropriate to permit the participation in the Plan by employees who are foreign nationals or employed outside the U.S., the terms of which sub-plans may take precedence over other provisions of this Plan, with the exception of Section 13(a) hereof, but unless otherwise superseded by the terms of such sub-plan, the provisions of this Plan will govern the operation of such sub-plan). Unless otherwise determined by the Administrator, the Eligible Employees eligible to participate in each sub-plan will participate in a separate Offering or in the Non-423 Component.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 Section 1.423</w:t>
        <w:noBreakHyphen/>
        <w:t>2(f), the terms of an option granted under the Plan or an Offering to citizens or residents of a non-U.S. jurisdiction will be less favorable than the terms of options granted under the Plan or the same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2"/>
        </w:rPr>
        <w:t>Offering to employees resident solely in the U.S. Every finding, decision, and determination made by the Administrator will, to the full extent permitted by law, be final and binding upon all parties.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 xml:space="preserve">15. </w:t>
      </w:r>
      <w:r>
        <w:rPr>
          <w:rFonts w:ascii="Times New Roman" w:hAnsi="Times New Roman"/>
          <w:color w:val="000000"/>
          <w:sz w:val="22"/>
          <w:u w:val="single"/>
        </w:rPr>
        <w:t>Designation of Beneficiary</w:t>
      </w:r>
      <w:r>
        <w:rPr>
          <w:rFonts w:ascii="Times New Roman" w:hAnsi="Times New Roman"/>
          <w:color w:val="000000"/>
          <w:sz w:val="22"/>
        </w:rPr>
        <w:t>.</w:t>
      </w:r>
    </w:p>
    <w:p>
      <w:pPr>
        <w:pStyle w:val="TextBody"/>
        <w:bidi w:val="0"/>
        <w:jc w:val="both"/>
        <w:rPr>
          <w:rFonts w:ascii="Times New Roman" w:hAnsi="Times New Roman"/>
          <w:color w:val="000000"/>
          <w:sz w:val="22"/>
        </w:rPr>
      </w:pPr>
      <w:r>
        <w:rPr>
          <w:rFonts w:ascii="Times New Roman" w:hAnsi="Times New Roman"/>
          <w:color w:val="000000"/>
          <w:sz w:val="22"/>
        </w:rPr>
        <w:t>(a) If permitted by the Administrator, a Participant may file a designation of a beneficiary who is to receive any shares of Common Stock and cash, if any, from the Participant’s account under the Plan in the event of such Participant’s death subsequent to an Exercise Date on which the option is exercised but prior to delivery to such Participant of such shares and cash. In addition, if permitted by the Administrator, a Participant may file a designation of a beneficiary who is to receive any cash from the Participant’s account under the Plan in the event of such Participant’s death prior to exercise of the option. If a Participant is married and the designated beneficiary is not the spouse, spousal consent will be required for such designation to be effective.</w:t>
      </w:r>
    </w:p>
    <w:p>
      <w:pPr>
        <w:pStyle w:val="TextBody"/>
        <w:bidi w:val="0"/>
        <w:spacing w:before="120" w:after="283"/>
        <w:jc w:val="both"/>
        <w:rPr>
          <w:rFonts w:ascii="Times New Roman" w:hAnsi="Times New Roman"/>
          <w:color w:val="000000"/>
          <w:sz w:val="22"/>
        </w:rPr>
      </w:pPr>
      <w:r>
        <w:rPr>
          <w:rFonts w:ascii="Times New Roman" w:hAnsi="Times New Roman"/>
          <w:color w:val="000000"/>
          <w:sz w:val="22"/>
        </w:rPr>
        <w:t>(b) Such designation of beneficiary may be changed by the Participant at any time by notice in a form determined by the Administrator. In the event of the death of a Participant and in the absence of a beneficiary validly designated under the Plan who is living at the time of such Participant’s death, the Company will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pStyle w:val="TextBody"/>
        <w:bidi w:val="0"/>
        <w:jc w:val="both"/>
        <w:rPr>
          <w:rFonts w:ascii="Times New Roman" w:hAnsi="Times New Roman"/>
          <w:sz w:val="20"/>
        </w:rPr>
      </w:pPr>
      <w:r>
        <w:rPr>
          <w:rFonts w:ascii="Times New Roman" w:hAnsi="Times New Roman"/>
          <w:color w:val="000000"/>
          <w:sz w:val="22"/>
        </w:rPr>
        <w:t>(c) All beneficiary designations will be in such form and manner as the Administrator may designate from time to time. Notwithstanding Sections 15(a) and (b) above, the Company and/or the Administrator may decide not to permit such designations by Participants in non-U.S. jurisdictions to the extent permitted by U.S. Treasury Regulation Section 1.423</w:t>
        <w:noBreakHyphen/>
        <w:t>2(f).</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 xml:space="preserve">16. </w:t>
      </w:r>
      <w:r>
        <w:rPr>
          <w:rFonts w:ascii="Times New Roman" w:hAnsi="Times New Roman"/>
          <w:color w:val="000000"/>
          <w:sz w:val="22"/>
          <w:u w:val="single"/>
        </w:rPr>
        <w:t>Transferability</w:t>
      </w:r>
      <w:r>
        <w:rPr>
          <w:rFonts w:ascii="Times New Roman" w:hAnsi="Times New Roman"/>
          <w:color w:val="000000"/>
          <w:sz w:val="22"/>
        </w:rPr>
        <w:t>. Neither Contributions credited to a Participant’s account nor any rights with regard to the exercise of an option or to receive shares of Common Stock under the Plan may be assigned, transferred, pledged or otherwise disposed of in any way (other than by will, the laws of descent and distribution or as provided in Section 15 hereof) by the Participant. Any such attempt at assignment, transfer, pledge or other disposition will be without effect, except that the Company may treat such act as an election to withdraw funds from an Offering Period in accordance with Section 10 hereof.</w:t>
      </w:r>
    </w:p>
    <w:p>
      <w:pPr>
        <w:pStyle w:val="TextBody"/>
        <w:bidi w:val="0"/>
        <w:jc w:val="both"/>
        <w:rPr>
          <w:rFonts w:ascii="Times New Roman" w:hAnsi="Times New Roman"/>
          <w:sz w:val="20"/>
        </w:rPr>
      </w:pPr>
      <w:r>
        <w:rPr>
          <w:rFonts w:ascii="Times New Roman" w:hAnsi="Times New Roman"/>
          <w:color w:val="000000"/>
          <w:sz w:val="22"/>
        </w:rPr>
        <w:t xml:space="preserve">17. </w:t>
      </w:r>
      <w:r>
        <w:rPr>
          <w:rFonts w:ascii="Times New Roman" w:hAnsi="Times New Roman"/>
          <w:color w:val="000000"/>
          <w:sz w:val="22"/>
          <w:u w:val="single"/>
        </w:rPr>
        <w:t>Use of Funds</w:t>
      </w:r>
      <w:r>
        <w:rPr>
          <w:rFonts w:ascii="Times New Roman" w:hAnsi="Times New Roman"/>
          <w:color w:val="000000"/>
          <w:sz w:val="22"/>
        </w:rPr>
        <w:t>. The Company may use all Contributions received or held by it under the Plan for any corporate purpose, and the Company will not be obligated to segregate such Contributions except under Offerings or for Participants in the Non-423 Component for which Applicable Laws require that Contributions to the Plan by Participants be segregated from the Company’s general corporate funds and/or deposited with an independent third party. Until shares of Common Stock are issued, Participants will have only the rights of an unsecured creditor with respect to such shares.</w:t>
      </w:r>
    </w:p>
    <w:p>
      <w:pPr>
        <w:pStyle w:val="TextBody"/>
        <w:bidi w:val="0"/>
        <w:jc w:val="both"/>
        <w:rPr>
          <w:rFonts w:ascii="Times New Roman" w:hAnsi="Times New Roman"/>
          <w:sz w:val="20"/>
        </w:rPr>
      </w:pPr>
      <w:r>
        <w:rPr>
          <w:rFonts w:ascii="Times New Roman" w:hAnsi="Times New Roman"/>
          <w:color w:val="000000"/>
          <w:sz w:val="22"/>
        </w:rPr>
        <w:t xml:space="preserve">18. </w:t>
      </w:r>
      <w:r>
        <w:rPr>
          <w:rFonts w:ascii="Times New Roman" w:hAnsi="Times New Roman"/>
          <w:color w:val="000000"/>
          <w:sz w:val="22"/>
          <w:u w:val="single"/>
        </w:rPr>
        <w:t>Reports</w:t>
      </w:r>
      <w:r>
        <w:rPr>
          <w:rFonts w:ascii="Times New Roman" w:hAnsi="Times New Roman"/>
          <w:color w:val="000000"/>
          <w:sz w:val="22"/>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pStyle w:val="TextBody"/>
        <w:bidi w:val="0"/>
        <w:jc w:val="both"/>
        <w:rPr>
          <w:rFonts w:ascii="Times New Roman" w:hAnsi="Times New Roman"/>
          <w:sz w:val="20"/>
        </w:rPr>
      </w:pPr>
      <w:r>
        <w:rPr>
          <w:rFonts w:ascii="Times New Roman" w:hAnsi="Times New Roman"/>
          <w:color w:val="000000"/>
          <w:sz w:val="22"/>
        </w:rPr>
        <w:t xml:space="preserve">19. </w:t>
      </w:r>
      <w:r>
        <w:rPr>
          <w:rFonts w:ascii="Times New Roman" w:hAnsi="Times New Roman"/>
          <w:color w:val="000000"/>
          <w:sz w:val="22"/>
          <w:u w:val="single"/>
        </w:rPr>
        <w:t>Adjustments, Dissolution, Liquidation, Merger, or Change in Control</w:t>
      </w:r>
      <w:r>
        <w:rPr>
          <w:rFonts w:ascii="Times New Roman" w:hAnsi="Times New Roman"/>
          <w:color w:val="000000"/>
          <w:sz w:val="22"/>
        </w:rPr>
        <w:t>.</w:t>
      </w:r>
    </w:p>
    <w:p>
      <w:pPr>
        <w:pStyle w:val="TextBody"/>
        <w:bidi w:val="0"/>
        <w:jc w:val="both"/>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Adjustments</w:t>
      </w:r>
      <w:r>
        <w:rPr>
          <w:rFonts w:ascii="Times New Roman" w:hAnsi="Times New Roman"/>
          <w:color w:val="000000"/>
          <w:sz w:val="22"/>
        </w:rPr>
        <w:t>. In the event that any dividend or other distribution (whether in the form of cash, Common Stock, other securities, or other property), recapitalization, stock split, reverse stock split, reorganization, merger, consolidation, split-up, spin-off, combination, repurchase, or exchange of Common Stock or other securities of the Company, or other change in the corporate structure of the Company affecting the Common Stock occurs, the Administrator, in order to prevent dilution or enlargement of the benefits or potential benefits intended to be made available under the Plan, will, in such manner as it may deem equitable, adjust the number and class of Common Stock that may be delivered under the Plan, the Purchase Price per share, the class, and the number of shares of Common Stock covered by each option under the Plan that has not yet been exercised, and the numerical limits of Sections 7 and 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160"/>
        <w:jc w:val="both"/>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Dissolution or Liquidation</w:t>
      </w:r>
      <w:r>
        <w:rPr>
          <w:rFonts w:ascii="Times New Roman" w:hAnsi="Times New Roman"/>
          <w:color w:val="000000"/>
          <w:sz w:val="22"/>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Merger or Change in Control</w:t>
      </w:r>
      <w:r>
        <w:rPr>
          <w:rFonts w:ascii="Times New Roman" w:hAnsi="Times New Roman"/>
          <w:color w:val="000000"/>
          <w:sz w:val="22"/>
        </w:rPr>
        <w:t>. In the event of a merger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will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pStyle w:val="TextBody"/>
        <w:bidi w:val="0"/>
        <w:jc w:val="both"/>
        <w:rPr>
          <w:rFonts w:ascii="Times New Roman" w:hAnsi="Times New Roman"/>
          <w:sz w:val="20"/>
        </w:rPr>
      </w:pPr>
      <w:r>
        <w:rPr>
          <w:rFonts w:ascii="Times New Roman" w:hAnsi="Times New Roman"/>
          <w:color w:val="000000"/>
          <w:sz w:val="22"/>
        </w:rPr>
        <w:t xml:space="preserve">20. </w:t>
      </w:r>
      <w:r>
        <w:rPr>
          <w:rFonts w:ascii="Times New Roman" w:hAnsi="Times New Roman"/>
          <w:color w:val="000000"/>
          <w:sz w:val="22"/>
          <w:u w:val="single"/>
        </w:rPr>
        <w:t>Amendment or Termination</w:t>
      </w:r>
      <w:r>
        <w:rPr>
          <w:rFonts w:ascii="Times New Roman" w:hAnsi="Times New Roman"/>
          <w:color w:val="000000"/>
          <w:sz w:val="22"/>
        </w:rPr>
        <w:t>.</w:t>
      </w:r>
    </w:p>
    <w:p>
      <w:pPr>
        <w:pStyle w:val="TextBody"/>
        <w:bidi w:val="0"/>
        <w:jc w:val="both"/>
        <w:rPr>
          <w:rFonts w:ascii="Times New Roman" w:hAnsi="Times New Roman"/>
          <w:color w:val="000000"/>
          <w:sz w:val="22"/>
        </w:rPr>
      </w:pPr>
      <w:r>
        <w:rPr>
          <w:rFonts w:ascii="Times New Roman" w:hAnsi="Times New Roman"/>
          <w:color w:val="000000"/>
          <w:sz w:val="22"/>
        </w:rPr>
        <w:t>(a) 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19).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12 hereof) as soon as administratively practicable.</w:t>
      </w:r>
    </w:p>
    <w:p>
      <w:pPr>
        <w:pStyle w:val="TextBody"/>
        <w:bidi w:val="0"/>
        <w:jc w:val="both"/>
        <w:rPr>
          <w:rFonts w:ascii="Times New Roman" w:hAnsi="Times New Roman"/>
          <w:color w:val="000000"/>
          <w:sz w:val="22"/>
        </w:rPr>
      </w:pPr>
      <w:r>
        <w:rPr>
          <w:rFonts w:ascii="Times New Roman" w:hAnsi="Times New Roman"/>
          <w:color w:val="000000"/>
          <w:sz w:val="22"/>
        </w:rPr>
        <w:t>(b) Without stockholder consent and without limiting Section 20(a), the Administrator will be entitled to change the Offering Periods or Purchase Periods, designate separate Offerings, limit the frequency and/or number of changes in the amount withheld during an Offering Period, establish the exchange ratio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pStyle w:val="TextBody"/>
        <w:bidi w:val="0"/>
        <w:jc w:val="both"/>
        <w:rPr>
          <w:rFonts w:ascii="Times New Roman" w:hAnsi="Times New Roman"/>
          <w:color w:val="000000"/>
          <w:sz w:val="22"/>
        </w:rPr>
      </w:pPr>
      <w:r>
        <w:rPr>
          <w:rFonts w:ascii="Times New Roman" w:hAnsi="Times New Roman"/>
          <w:color w:val="000000"/>
          <w:sz w:val="22"/>
        </w:rPr>
        <w:t>(c)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pStyle w:val="TextBody"/>
        <w:bidi w:val="0"/>
        <w:jc w:val="both"/>
        <w:rPr>
          <w:rFonts w:ascii="Times New Roman" w:hAnsi="Times New Roman"/>
          <w:color w:val="000000"/>
          <w:sz w:val="22"/>
        </w:rPr>
      </w:pPr>
      <w:r>
        <w:rPr>
          <w:rFonts w:ascii="Times New Roman" w:hAnsi="Times New Roman"/>
          <w:color w:val="000000"/>
          <w:sz w:val="22"/>
        </w:rPr>
        <w:t>(i) amending the Plan to conform with the safe harbor definition under the Financial Accounting Standards Board Accounting Standards Codification Topic 718 (or any successor thereto), including with respect to an Offering Period underway at the time;</w:t>
      </w:r>
    </w:p>
    <w:p>
      <w:pPr>
        <w:pStyle w:val="TextBody"/>
        <w:bidi w:val="0"/>
        <w:spacing w:before="120" w:after="160"/>
        <w:jc w:val="both"/>
        <w:rPr>
          <w:rFonts w:ascii="Times New Roman" w:hAnsi="Times New Roman"/>
          <w:color w:val="000000"/>
          <w:sz w:val="22"/>
        </w:rPr>
      </w:pPr>
      <w:r>
        <w:rPr>
          <w:rFonts w:ascii="Times New Roman" w:hAnsi="Times New Roman"/>
          <w:color w:val="000000"/>
          <w:sz w:val="22"/>
        </w:rPr>
        <w:t>(ii) altering the Purchase Price for any Offering Period or Purchase Period including an Offering Period or Purchase Period underway at the time of the change in Purchase Price;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2"/>
        </w:rPr>
        <w:t xml:space="preserve">(iii) shortening any Offering Period or Purchase Period by setting a New Exercise Date, including an Offering Period or Purchase Period underway at the time of the </w:t>
      </w:r>
      <w:r>
        <w:rPr>
          <w:rFonts w:ascii="Times New Roman" w:hAnsi="Times New Roman"/>
          <w:color w:val="000000"/>
          <w:sz w:val="24"/>
        </w:rPr>
        <w:t>Administrator</w:t>
      </w:r>
      <w:r>
        <w:rPr>
          <w:rFonts w:ascii="Times New Roman" w:hAnsi="Times New Roman"/>
          <w:color w:val="000000"/>
          <w:sz w:val="20"/>
        </w:rPr>
        <w:t xml:space="preserve"> </w:t>
      </w:r>
      <w:r>
        <w:rPr>
          <w:rFonts w:ascii="Times New Roman" w:hAnsi="Times New Roman"/>
          <w:color w:val="000000"/>
          <w:sz w:val="22"/>
        </w:rPr>
        <w:t>action;</w:t>
      </w:r>
    </w:p>
    <w:p>
      <w:pPr>
        <w:pStyle w:val="TextBody"/>
        <w:bidi w:val="0"/>
        <w:jc w:val="both"/>
        <w:rPr>
          <w:rFonts w:ascii="Times New Roman" w:hAnsi="Times New Roman"/>
          <w:color w:val="000000"/>
          <w:sz w:val="22"/>
        </w:rPr>
      </w:pPr>
      <w:r>
        <w:rPr>
          <w:rFonts w:ascii="Times New Roman" w:hAnsi="Times New Roman"/>
          <w:color w:val="000000"/>
          <w:sz w:val="22"/>
        </w:rPr>
        <w:t>(iv) reducing the maximum percentage of Compensation a Participant may elect to set aside as Contributions; and</w:t>
      </w:r>
    </w:p>
    <w:p>
      <w:pPr>
        <w:pStyle w:val="TextBody"/>
        <w:bidi w:val="0"/>
        <w:jc w:val="both"/>
        <w:rPr>
          <w:rFonts w:ascii="Times New Roman" w:hAnsi="Times New Roman"/>
          <w:color w:val="000000"/>
          <w:sz w:val="22"/>
        </w:rPr>
      </w:pPr>
      <w:r>
        <w:rPr>
          <w:rFonts w:ascii="Times New Roman" w:hAnsi="Times New Roman"/>
          <w:color w:val="000000"/>
          <w:sz w:val="22"/>
        </w:rPr>
        <w:t>(v) reducing the maximum number of shares of Common Stock a Participant may purchase during any Offering Period or Purchase Period.</w:t>
      </w:r>
    </w:p>
    <w:p>
      <w:pPr>
        <w:pStyle w:val="TextBody"/>
        <w:bidi w:val="0"/>
        <w:spacing w:before="120" w:after="160"/>
        <w:jc w:val="both"/>
        <w:rPr>
          <w:rFonts w:ascii="Times New Roman" w:hAnsi="Times New Roman"/>
          <w:color w:val="000000"/>
          <w:sz w:val="22"/>
        </w:rPr>
      </w:pPr>
      <w:r>
        <w:rPr>
          <w:rFonts w:ascii="Times New Roman" w:hAnsi="Times New Roman"/>
          <w:color w:val="000000"/>
          <w:sz w:val="22"/>
        </w:rPr>
        <w:t>Such modifications or amendments will not require stockholder approval or the consent of any Participants.</w:t>
      </w:r>
    </w:p>
    <w:p>
      <w:pPr>
        <w:pStyle w:val="TextBody"/>
        <w:bidi w:val="0"/>
        <w:jc w:val="both"/>
        <w:rPr>
          <w:rFonts w:ascii="Times New Roman" w:hAnsi="Times New Roman"/>
          <w:sz w:val="20"/>
        </w:rPr>
      </w:pPr>
      <w:r>
        <w:rPr>
          <w:rFonts w:ascii="Times New Roman" w:hAnsi="Times New Roman"/>
          <w:color w:val="000000"/>
          <w:sz w:val="22"/>
        </w:rPr>
        <w:t xml:space="preserve">21. </w:t>
      </w:r>
      <w:r>
        <w:rPr>
          <w:rFonts w:ascii="Times New Roman" w:hAnsi="Times New Roman"/>
          <w:color w:val="000000"/>
          <w:sz w:val="22"/>
          <w:u w:val="single"/>
        </w:rPr>
        <w:t>Notices</w:t>
      </w:r>
      <w:r>
        <w:rPr>
          <w:rFonts w:ascii="Times New Roman" w:hAnsi="Times New Roman"/>
          <w:color w:val="000000"/>
          <w:sz w:val="22"/>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pStyle w:val="TextBody"/>
        <w:bidi w:val="0"/>
        <w:jc w:val="both"/>
        <w:rPr>
          <w:rFonts w:ascii="Times New Roman" w:hAnsi="Times New Roman"/>
          <w:sz w:val="20"/>
        </w:rPr>
      </w:pPr>
      <w:r>
        <w:rPr>
          <w:rFonts w:ascii="Times New Roman" w:hAnsi="Times New Roman"/>
          <w:color w:val="000000"/>
          <w:sz w:val="22"/>
        </w:rPr>
        <w:t xml:space="preserve">22. </w:t>
      </w:r>
      <w:r>
        <w:rPr>
          <w:rFonts w:ascii="Times New Roman" w:hAnsi="Times New Roman"/>
          <w:color w:val="000000"/>
          <w:sz w:val="22"/>
          <w:u w:val="single"/>
        </w:rPr>
        <w:t>Conditions Upon Issuance of Shares</w:t>
      </w:r>
      <w:r>
        <w:rPr>
          <w:rFonts w:ascii="Times New Roman" w:hAnsi="Times New Roman"/>
          <w:color w:val="000000"/>
          <w:sz w:val="22"/>
        </w:rPr>
        <w:t>. Shares of Common Stock will not be issued with respect to an option unless the exercise of such option and the issuance and delivery of such shares pursuant thereto will comply with all applicable provisions of law, domestic or foreign, including, without limitation, the U.S.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w:t>
      </w:r>
    </w:p>
    <w:p>
      <w:pPr>
        <w:pStyle w:val="TextBody"/>
        <w:bidi w:val="0"/>
        <w:spacing w:before="120" w:after="160"/>
        <w:jc w:val="both"/>
        <w:rPr>
          <w:rFonts w:ascii="Times New Roman" w:hAnsi="Times New Roman"/>
          <w:color w:val="000000"/>
          <w:sz w:val="22"/>
        </w:rPr>
      </w:pPr>
      <w:r>
        <w:rPr>
          <w:rFonts w:ascii="Times New Roman" w:hAnsi="Times New Roman"/>
          <w:color w:val="000000"/>
          <w:sz w:val="22"/>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pStyle w:val="TextBody"/>
        <w:bidi w:val="0"/>
        <w:jc w:val="both"/>
        <w:rPr>
          <w:rFonts w:ascii="Times New Roman" w:hAnsi="Times New Roman"/>
          <w:sz w:val="20"/>
        </w:rPr>
      </w:pPr>
      <w:r>
        <w:rPr>
          <w:rFonts w:ascii="Times New Roman" w:hAnsi="Times New Roman"/>
          <w:color w:val="000000"/>
          <w:sz w:val="22"/>
        </w:rPr>
        <w:t xml:space="preserve">23. </w:t>
      </w:r>
      <w:r>
        <w:rPr>
          <w:rFonts w:ascii="Times New Roman" w:hAnsi="Times New Roman"/>
          <w:color w:val="000000"/>
          <w:sz w:val="22"/>
          <w:u w:val="single"/>
        </w:rPr>
        <w:t>Code Section 409A.</w:t>
      </w:r>
      <w:r>
        <w:rPr>
          <w:rFonts w:ascii="Times New Roman" w:hAnsi="Times New Roman"/>
          <w:color w:val="000000"/>
          <w:sz w:val="20"/>
        </w:rPr>
        <w:t xml:space="preserve"> </w:t>
      </w:r>
      <w:r>
        <w:rPr>
          <w:rFonts w:ascii="Times New Roman" w:hAnsi="Times New Roman"/>
          <w:color w:val="000000"/>
          <w:sz w:val="22"/>
        </w:rPr>
        <w:t>The 423 Component of the Plan is exempt from the application of Code Section 409A and any ambiguities herein will be interpreted to so be exempt from Code Section 409A. In furtherance of the foregoing and notwithstanding any provision in the Plan to the contrary, if the Administrator determines that an option granted under the Plan may be subject to Code Section 409A or that any provision in the Plan would cause an option under the Plan to be subject to Code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Code Section 409A, but only to the extent any such amendments or action by the Administrator would not violate Code Section 409A. Notwithstanding the foregoing, the Company, and any Parent, Subsidiary or Affiliate will have no liability to a Participant or any other party if the option to purchase Common Stock under the Plan that is intended to be exempt from or compliant with Code Section 409A is not so exempt or compliant or for any action taken by the Administrator with respect thereto. The Company makes no representation that the option to purchase Common Stock under the Plan is compliant with Code Section 409A.</w:t>
      </w:r>
    </w:p>
    <w:p>
      <w:pPr>
        <w:pStyle w:val="TextBody"/>
        <w:bidi w:val="0"/>
        <w:jc w:val="both"/>
        <w:rPr>
          <w:rFonts w:ascii="Times New Roman" w:hAnsi="Times New Roman"/>
          <w:sz w:val="20"/>
        </w:rPr>
      </w:pPr>
      <w:r>
        <w:rPr>
          <w:rFonts w:ascii="Times New Roman" w:hAnsi="Times New Roman"/>
          <w:color w:val="000000"/>
          <w:sz w:val="22"/>
        </w:rPr>
        <w:t xml:space="preserve">24. </w:t>
      </w:r>
      <w:r>
        <w:rPr>
          <w:rFonts w:ascii="Times New Roman" w:hAnsi="Times New Roman"/>
          <w:color w:val="000000"/>
          <w:sz w:val="22"/>
          <w:u w:val="single"/>
        </w:rPr>
        <w:t>Term of Plan</w:t>
      </w:r>
      <w:r>
        <w:rPr>
          <w:rFonts w:ascii="Times New Roman" w:hAnsi="Times New Roman"/>
          <w:color w:val="000000"/>
          <w:sz w:val="22"/>
        </w:rPr>
        <w:t>. The Plan will become effective upon the later to occur of (i) its adoption by the Board or (ii) the business day immediately prior to the Registration Date. It will continue in effect for a term of twenty (20) years, unless sooner terminated under Section 20.</w:t>
      </w:r>
    </w:p>
    <w:p>
      <w:pPr>
        <w:pStyle w:val="TextBody"/>
        <w:bidi w:val="0"/>
        <w:jc w:val="both"/>
        <w:rPr>
          <w:rFonts w:ascii="Times New Roman" w:hAnsi="Times New Roman"/>
          <w:sz w:val="20"/>
        </w:rPr>
      </w:pPr>
      <w:r>
        <w:rPr>
          <w:rFonts w:ascii="Times New Roman" w:hAnsi="Times New Roman"/>
          <w:color w:val="000000"/>
          <w:sz w:val="22"/>
        </w:rPr>
        <w:t xml:space="preserve">25. </w:t>
      </w:r>
      <w:r>
        <w:rPr>
          <w:rFonts w:ascii="Times New Roman" w:hAnsi="Times New Roman"/>
          <w:color w:val="000000"/>
          <w:sz w:val="22"/>
          <w:u w:val="single"/>
        </w:rPr>
        <w:t>Stockholder Approval</w:t>
      </w:r>
      <w:r>
        <w:rPr>
          <w:rFonts w:ascii="Times New Roman" w:hAnsi="Times New Roman"/>
          <w:color w:val="000000"/>
          <w:sz w:val="22"/>
        </w:rPr>
        <w:t>. The Plan will be subject to approval by the stockholders of the Company within twelve (12) months after the date the Plan is adopted by the Board. Such stockholder approval will be obtained in the manner and to the degree required under Applicable Laws.</w:t>
      </w:r>
    </w:p>
    <w:p>
      <w:pPr>
        <w:pStyle w:val="TextBody"/>
        <w:bidi w:val="0"/>
        <w:jc w:val="both"/>
        <w:rPr>
          <w:rFonts w:ascii="Times New Roman" w:hAnsi="Times New Roman"/>
          <w:sz w:val="20"/>
        </w:rPr>
      </w:pPr>
      <w:r>
        <w:rPr>
          <w:rFonts w:ascii="Times New Roman" w:hAnsi="Times New Roman"/>
          <w:color w:val="000000"/>
          <w:sz w:val="22"/>
        </w:rPr>
        <w:t xml:space="preserve">26. </w:t>
      </w:r>
      <w:r>
        <w:rPr>
          <w:rFonts w:ascii="Times New Roman" w:hAnsi="Times New Roman"/>
          <w:color w:val="000000"/>
          <w:sz w:val="22"/>
          <w:u w:val="single"/>
        </w:rPr>
        <w:t>Governing Law</w:t>
      </w:r>
      <w:r>
        <w:rPr>
          <w:rFonts w:ascii="Times New Roman" w:hAnsi="Times New Roman"/>
          <w:color w:val="000000"/>
          <w:sz w:val="22"/>
        </w:rPr>
        <w:t>. The Plan will be governed by, and construed in accordance with, the laws of the State of California (except its choice-of-law provisions).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sz w:val="20"/>
        </w:rPr>
      </w:pPr>
      <w:r>
        <w:rPr>
          <w:rFonts w:ascii="Times New Roman" w:hAnsi="Times New Roman"/>
          <w:color w:val="000000"/>
          <w:sz w:val="22"/>
        </w:rPr>
        <w:t xml:space="preserve">27. </w:t>
      </w:r>
      <w:r>
        <w:rPr>
          <w:rFonts w:ascii="Times New Roman" w:hAnsi="Times New Roman"/>
          <w:color w:val="000000"/>
          <w:sz w:val="22"/>
          <w:u w:val="single"/>
        </w:rPr>
        <w:t>No Right to Employment</w:t>
      </w:r>
      <w:r>
        <w:rPr>
          <w:rFonts w:ascii="Times New Roman" w:hAnsi="Times New Roman"/>
          <w:color w:val="000000"/>
          <w:sz w:val="22"/>
        </w:rPr>
        <w:t>. Participation in the Plan by a Participant will not be construed as giving a Participant the right to be retained as an employee of the Company or a Subsidiary or Affiliate, as applicable. Further, the Company or a Subsidiary or Affiliate may dismiss a Participant from employment at any time, free from any liability or any claim under the Plan.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 xml:space="preserve">28. </w:t>
      </w:r>
      <w:r>
        <w:rPr>
          <w:rFonts w:ascii="Times New Roman" w:hAnsi="Times New Roman"/>
          <w:color w:val="000000"/>
          <w:sz w:val="22"/>
          <w:u w:val="single"/>
        </w:rPr>
        <w:t>Severability</w:t>
      </w:r>
      <w:r>
        <w:rPr>
          <w:rFonts w:ascii="Times New Roman" w:hAnsi="Times New Roman"/>
          <w:color w:val="000000"/>
          <w:sz w:val="22"/>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pStyle w:val="TextBody"/>
        <w:bidi w:val="0"/>
        <w:spacing w:before="120" w:after="160"/>
        <w:jc w:val="both"/>
        <w:rPr>
          <w:rFonts w:ascii="Times New Roman" w:hAnsi="Times New Roman"/>
          <w:sz w:val="20"/>
        </w:rPr>
      </w:pPr>
      <w:r>
        <w:rPr>
          <w:rFonts w:ascii="Times New Roman" w:hAnsi="Times New Roman"/>
          <w:color w:val="000000"/>
          <w:sz w:val="22"/>
        </w:rPr>
        <w:t xml:space="preserve">29. </w:t>
      </w:r>
      <w:r>
        <w:rPr>
          <w:rFonts w:ascii="Times New Roman" w:hAnsi="Times New Roman"/>
          <w:color w:val="000000"/>
          <w:sz w:val="22"/>
          <w:u w:val="single"/>
        </w:rPr>
        <w:t>Compliance with Applicable Laws</w:t>
      </w:r>
      <w:r>
        <w:rPr>
          <w:rFonts w:ascii="Times New Roman" w:hAnsi="Times New Roman"/>
          <w:color w:val="000000"/>
          <w:sz w:val="22"/>
        </w:rPr>
        <w:t>. The terms of this Plan are intended to comply with all Applicable Laws and will be construed accordingly.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120" w:after="160"/>
        <w:jc w:val="both"/>
        <w:rPr/>
      </w:pPr>
      <w:r>
        <w:rPr/>
        <w:t> </w:t>
      </w:r>
    </w:p>
    <w:p>
      <w:pPr>
        <w:pStyle w:val="TextBody"/>
        <w:bidi w:val="0"/>
        <w:spacing w:before="0" w:after="160"/>
        <w:jc w:val="center"/>
        <w:rPr>
          <w:rFonts w:ascii="Times New Roman" w:hAnsi="Times New Roman"/>
          <w:b/>
          <w:color w:val="000000"/>
          <w:sz w:val="22"/>
          <w:u w:val="single"/>
        </w:rPr>
      </w:pPr>
      <w:r>
        <w:rPr>
          <w:rFonts w:ascii="Times New Roman" w:hAnsi="Times New Roman"/>
          <w:b/>
          <w:color w:val="000000"/>
          <w:sz w:val="22"/>
          <w:u w:val="single"/>
        </w:rPr>
        <w:t>EXHIBIT A</w:t>
      </w:r>
    </w:p>
    <w:p>
      <w:pPr>
        <w:pStyle w:val="TextBody"/>
        <w:bidi w:val="0"/>
        <w:spacing w:before="0" w:after="160"/>
        <w:jc w:val="center"/>
        <w:rPr>
          <w:rFonts w:ascii="Times New Roman" w:hAnsi="Times New Roman"/>
          <w:sz w:val="20"/>
        </w:rPr>
      </w:pPr>
      <w:r>
        <w:rPr>
          <w:rFonts w:ascii="Times New Roman" w:hAnsi="Times New Roman"/>
          <w:color w:val="000000"/>
          <w:sz w:val="20"/>
        </w:rPr>
        <w:br/>
      </w:r>
      <w:r>
        <w:rPr>
          <w:rFonts w:ascii="Times New Roman" w:hAnsi="Times New Roman"/>
          <w:b/>
          <w:caps/>
          <w:color w:val="000000"/>
          <w:sz w:val="22"/>
        </w:rPr>
        <w:t>ALECTOR, INC.</w:t>
      </w:r>
    </w:p>
    <w:p>
      <w:pPr>
        <w:pStyle w:val="TextBody"/>
        <w:bidi w:val="0"/>
        <w:spacing w:before="0" w:after="160"/>
        <w:jc w:val="center"/>
        <w:rPr>
          <w:rFonts w:ascii="Times New Roman" w:hAnsi="Times New Roman"/>
          <w:b/>
          <w:color w:val="000000"/>
          <w:sz w:val="22"/>
        </w:rPr>
      </w:pPr>
      <w:r>
        <w:rPr>
          <w:rFonts w:ascii="Times New Roman" w:hAnsi="Times New Roman"/>
          <w:b/>
          <w:color w:val="000000"/>
          <w:sz w:val="22"/>
        </w:rPr>
        <w:t>2019 EMPLOYEE STOCK PURCHASE PLAN</w:t>
      </w:r>
    </w:p>
    <w:p>
      <w:pPr>
        <w:pStyle w:val="TextBody"/>
        <w:bidi w:val="0"/>
        <w:spacing w:before="0" w:after="160"/>
        <w:jc w:val="center"/>
        <w:rPr>
          <w:rFonts w:ascii="Times New Roman" w:hAnsi="Times New Roman"/>
          <w:b/>
          <w:color w:val="000000"/>
          <w:sz w:val="22"/>
        </w:rPr>
      </w:pPr>
      <w:r>
        <w:rPr>
          <w:rFonts w:ascii="Times New Roman" w:hAnsi="Times New Roman"/>
          <w:b/>
          <w:color w:val="000000"/>
          <w:sz w:val="22"/>
        </w:rPr>
        <w:t>SUBSCRIPTION AGREEMENT</w:t>
      </w:r>
    </w:p>
    <w:p>
      <w:pPr>
        <w:pStyle w:val="TextBody"/>
        <w:bidi w:val="0"/>
        <w:spacing w:before="0" w:after="160"/>
        <w:jc w:val="center"/>
        <w:rPr/>
      </w:pPr>
      <w:r>
        <w:rPr/>
        <w:t> </w:t>
      </w:r>
    </w:p>
    <w:tbl>
      <w:tblPr>
        <w:tblW w:w="8657" w:type="dxa"/>
        <w:jc w:val="left"/>
        <w:tblInd w:w="0" w:type="dxa"/>
        <w:tblLayout w:type="fixed"/>
        <w:tblCellMar>
          <w:top w:w="28" w:type="dxa"/>
          <w:left w:w="28" w:type="dxa"/>
          <w:bottom w:w="28" w:type="dxa"/>
          <w:right w:w="28" w:type="dxa"/>
        </w:tblCellMar>
      </w:tblPr>
      <w:tblGrid>
        <w:gridCol w:w="3976"/>
        <w:gridCol w:w="4681"/>
      </w:tblGrid>
      <w:tr>
        <w:trPr/>
        <w:tc>
          <w:tcPr>
            <w:tcW w:w="3976" w:type="dxa"/>
            <w:tcBorders/>
            <w:vAlign w:val="center"/>
          </w:tcPr>
          <w:p>
            <w:pPr>
              <w:pStyle w:val="TableContents"/>
              <w:bidi w:val="0"/>
              <w:spacing w:before="0" w:after="283"/>
              <w:jc w:val="left"/>
              <w:rPr>
                <w:sz w:val="4"/>
                <w:szCs w:val="4"/>
              </w:rPr>
            </w:pPr>
            <w:r>
              <w:rPr>
                <w:sz w:val="4"/>
                <w:szCs w:val="4"/>
              </w:rPr>
            </w:r>
          </w:p>
        </w:tc>
        <w:tc>
          <w:tcPr>
            <w:tcW w:w="4681" w:type="dxa"/>
            <w:tcBorders/>
            <w:vAlign w:val="center"/>
          </w:tcPr>
          <w:p>
            <w:pPr>
              <w:pStyle w:val="TableContents"/>
              <w:bidi w:val="0"/>
              <w:spacing w:before="0" w:after="283"/>
              <w:jc w:val="left"/>
              <w:rPr>
                <w:sz w:val="4"/>
                <w:szCs w:val="4"/>
              </w:rPr>
            </w:pPr>
            <w:r>
              <w:rPr>
                <w:sz w:val="4"/>
                <w:szCs w:val="4"/>
              </w:rPr>
            </w:r>
          </w:p>
        </w:tc>
      </w:tr>
      <w:tr>
        <w:trPr/>
        <w:tc>
          <w:tcPr>
            <w:tcW w:w="39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_____ Original Application</w:t>
            </w:r>
          </w:p>
        </w:tc>
        <w:tc>
          <w:tcPr>
            <w:tcW w:w="4681" w:type="dxa"/>
            <w:tcBorders/>
            <w:tcMar>
              <w:top w:w="0" w:type="dxa"/>
              <w:left w:w="0" w:type="dxa"/>
              <w:bottom w:w="0" w:type="dxa"/>
              <w:right w:w="0" w:type="dxa"/>
            </w:tcMar>
            <w:vAlign w:val="center"/>
          </w:tcPr>
          <w:p>
            <w:pPr>
              <w:pStyle w:val="TableContents"/>
              <w:bidi w:val="0"/>
              <w:spacing w:before="120" w:after="160"/>
              <w:jc w:val="left"/>
              <w:rPr>
                <w:rFonts w:ascii="Times New Roman" w:hAnsi="Times New Roman"/>
                <w:color w:val="000000"/>
                <w:sz w:val="22"/>
              </w:rPr>
            </w:pPr>
            <w:r>
              <w:rPr>
                <w:rFonts w:ascii="Times New Roman" w:hAnsi="Times New Roman"/>
                <w:color w:val="000000"/>
                <w:sz w:val="22"/>
              </w:rPr>
              <w:t>Offering Date: __________________________</w:t>
            </w:r>
          </w:p>
        </w:tc>
      </w:tr>
      <w:tr>
        <w:trPr/>
        <w:tc>
          <w:tcPr>
            <w:tcW w:w="39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_____ Change in Payroll Deduction Rate</w:t>
            </w:r>
          </w:p>
          <w:p>
            <w:pPr>
              <w:pStyle w:val="TableContents"/>
              <w:bidi w:val="0"/>
              <w:spacing w:before="0" w:after="283"/>
              <w:jc w:val="right"/>
              <w:rPr/>
            </w:pPr>
            <w:r>
              <w:rPr/>
              <w:t> </w:t>
            </w:r>
          </w:p>
        </w:tc>
        <w:tc>
          <w:tcPr>
            <w:tcW w:w="468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16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1. ____________________ (“Employee”) hereby elects to participate in the Alector, Inc. 2019 Employee Stock Purchase Plan (the “Plan”) and subscribes to purchase shares of the Company’s Common Stock in accordance with this Subscription Agreement and the Plan. Unless otherwise defined herein, the terms defined in the 2019 Employee Stock Purchase Plan (the “Plan”) shall have the same defined meanings in this Subscription Agreement.</w:t>
      </w:r>
    </w:p>
    <w:p>
      <w:pPr>
        <w:pStyle w:val="TextBody"/>
        <w:bidi w:val="0"/>
        <w:jc w:val="both"/>
        <w:rPr>
          <w:rFonts w:ascii="Times New Roman" w:hAnsi="Times New Roman"/>
          <w:sz w:val="20"/>
        </w:rPr>
      </w:pPr>
      <w:r>
        <w:rPr>
          <w:rFonts w:ascii="Times New Roman" w:hAnsi="Times New Roman"/>
          <w:color w:val="000000"/>
          <w:sz w:val="22"/>
        </w:rPr>
        <w:t xml:space="preserve">2. Employee hereby authorizes payroll deductions from each paycheck in the amount of </w:t>
      </w:r>
      <w:r>
        <w:rPr>
          <w:rFonts w:ascii="Times New Roman" w:hAnsi="Times New Roman"/>
          <w:color w:val="000000"/>
          <w:sz w:val="22"/>
          <w:u w:val="single"/>
        </w:rPr>
        <w:t>____</w:t>
      </w:r>
      <w:r>
        <w:rPr>
          <w:rFonts w:ascii="Times New Roman" w:hAnsi="Times New Roman"/>
          <w:color w:val="000000"/>
          <w:sz w:val="22"/>
        </w:rPr>
        <w:t>% (from 0 to fifteen percent (15%)) of his or her Compensation on each payday during the Offering Period in accordance with the Plan. (Please note that no fractional percentages are permitted.)</w:t>
      </w:r>
    </w:p>
    <w:p>
      <w:pPr>
        <w:pStyle w:val="TextBody"/>
        <w:bidi w:val="0"/>
        <w:jc w:val="both"/>
        <w:rPr>
          <w:rFonts w:ascii="Times New Roman" w:hAnsi="Times New Roman"/>
          <w:color w:val="000000"/>
          <w:sz w:val="22"/>
        </w:rPr>
      </w:pPr>
      <w:r>
        <w:rPr>
          <w:rFonts w:ascii="Times New Roman" w:hAnsi="Times New Roman"/>
          <w:color w:val="000000"/>
          <w:sz w:val="22"/>
        </w:rPr>
        <w:t>3. Employee understands that said payroll deductions will be accumulated for the purchase of shares of Common Stock at the applicable Purchase Price determined in accordance with the Plan. Employee understands that if he or she does not withdraw from an Offering Period, any accumulated payroll deductions will be used to automatically exercise his or her option and purchase Common Stock under the Plan.</w:t>
      </w:r>
    </w:p>
    <w:p>
      <w:pPr>
        <w:pStyle w:val="TextBody"/>
        <w:bidi w:val="0"/>
        <w:jc w:val="both"/>
        <w:rPr>
          <w:rFonts w:ascii="Times New Roman" w:hAnsi="Times New Roman"/>
          <w:color w:val="000000"/>
          <w:sz w:val="22"/>
        </w:rPr>
      </w:pPr>
      <w:r>
        <w:rPr>
          <w:rFonts w:ascii="Times New Roman" w:hAnsi="Times New Roman"/>
          <w:color w:val="000000"/>
          <w:sz w:val="22"/>
        </w:rPr>
        <w:t>4. Employee has received a copy of the complete Plan and its accompanying prospectus. Employee understands that his or her participation in the Plan is in all respects subject to the terms of the Plan.</w:t>
      </w:r>
    </w:p>
    <w:p>
      <w:pPr>
        <w:pStyle w:val="TextBody"/>
        <w:bidi w:val="0"/>
        <w:jc w:val="both"/>
        <w:rPr>
          <w:rFonts w:ascii="Times New Roman" w:hAnsi="Times New Roman"/>
          <w:color w:val="000000"/>
          <w:sz w:val="22"/>
        </w:rPr>
      </w:pPr>
      <w:r>
        <w:rPr>
          <w:rFonts w:ascii="Times New Roman" w:hAnsi="Times New Roman"/>
          <w:color w:val="000000"/>
          <w:sz w:val="22"/>
        </w:rPr>
        <w:t>5. Shares of Common Stock purchased by Employee under the Plan should be issued in the name(s) of _____________ (Employee or Employee and Spouse only).</w:t>
      </w:r>
    </w:p>
    <w:p>
      <w:pPr>
        <w:pStyle w:val="TextBody"/>
        <w:bidi w:val="0"/>
        <w:jc w:val="both"/>
        <w:rPr>
          <w:rFonts w:ascii="Times New Roman" w:hAnsi="Times New Roman"/>
          <w:sz w:val="20"/>
        </w:rPr>
      </w:pPr>
      <w:r>
        <w:rPr>
          <w:rFonts w:ascii="Times New Roman" w:hAnsi="Times New Roman"/>
          <w:color w:val="000000"/>
          <w:sz w:val="22"/>
        </w:rPr>
        <w:t xml:space="preserve">6. Employee understands that if he or she disposes of any shares that he or she purchased under the Plan within two (2) years after the Enrollment Date (the first day of the Offering Period during which he or she purchased such shares) or one (1) year after the applicable Exercise Date, he or she will be treated for federal income tax purposes as having received ordinary income at the time of such disposition in an amount equal to the excess of the fair market value of the shares at the time such shares were purchased over the price paid for the shares. </w:t>
      </w:r>
      <w:r>
        <w:rPr>
          <w:rFonts w:ascii="Times New Roman" w:hAnsi="Times New Roman"/>
          <w:color w:val="000000"/>
          <w:sz w:val="22"/>
          <w:u w:val="single"/>
        </w:rPr>
        <w:t>Employee hereby agrees to notify the Company in writing within thirty (30) days after the date of any disposition of such shares and to make adequate provision for federal, state or other tax withholding obligations, if any, that arise upon the disposition of such shares</w:t>
      </w:r>
      <w:r>
        <w:rPr>
          <w:rFonts w:ascii="Times New Roman" w:hAnsi="Times New Roman"/>
          <w:color w:val="000000"/>
          <w:sz w:val="22"/>
        </w:rPr>
        <w:t>. The Company may, but will not be obligated to, withhold from Employee’s compensation the amount necessary to meet any applicable withholding obligation including any withholding necessary to make available to the Company any tax deductions or benefits attributable to Employee’s sale or early disposition of such shares. Employee understands that if he or she disposes of such shares at any time after the expiration of the two (2)-year and one</w:t>
        <w:noBreakHyphen/>
        <w:t>(1) year holding periods, he or she will be treated for federal income tax purposes as having received income only at the time of such disposition, and that such income will be taxed as ordinary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both"/>
        <w:rPr>
          <w:rFonts w:ascii="Times New Roman" w:hAnsi="Times New Roman"/>
          <w:color w:val="000000"/>
          <w:sz w:val="22"/>
        </w:rPr>
      </w:pPr>
      <w:r>
        <w:rPr>
          <w:rFonts w:ascii="Times New Roman" w:hAnsi="Times New Roman"/>
          <w:color w:val="000000"/>
          <w:sz w:val="22"/>
        </w:rPr>
        <w:t>income only to the extent of an amount equal to the lesser of (i) the excess of the fair market value of the shares at the time of such disposition over the purchase price paid for the shares, or (ii) fifteen percent (15%) of the fair market value of the shares on the first day of the Offering Period. The remainder of the gain, if any, recognized on such disposition will be taxed as capital gain.</w:t>
      </w:r>
    </w:p>
    <w:p>
      <w:pPr>
        <w:pStyle w:val="TextBody"/>
        <w:bidi w:val="0"/>
        <w:jc w:val="both"/>
        <w:rPr>
          <w:rFonts w:ascii="Times New Roman" w:hAnsi="Times New Roman"/>
          <w:color w:val="000000"/>
          <w:sz w:val="22"/>
        </w:rPr>
      </w:pPr>
      <w:r>
        <w:rPr>
          <w:rFonts w:ascii="Times New Roman" w:hAnsi="Times New Roman"/>
          <w:color w:val="000000"/>
          <w:sz w:val="22"/>
        </w:rPr>
        <w:t>7. Employee hereby agrees to be bound by the terms of the Plan. The effectiveness of this Subscription Agreement is dependent upon Employee’s eligibility to participate in the Plan.</w:t>
      </w:r>
    </w:p>
    <w:p>
      <w:pPr>
        <w:pStyle w:val="TextBody"/>
        <w:bidi w:val="0"/>
        <w:jc w:val="both"/>
        <w:rPr/>
      </w:pPr>
      <w:r>
        <w:rPr/>
        <w:t> </w:t>
      </w:r>
    </w:p>
    <w:tbl>
      <w:tblPr>
        <w:tblW w:w="3912" w:type="dxa"/>
        <w:jc w:val="left"/>
        <w:tblInd w:w="0" w:type="dxa"/>
        <w:tblLayout w:type="fixed"/>
        <w:tblCellMar>
          <w:top w:w="28" w:type="dxa"/>
          <w:left w:w="28" w:type="dxa"/>
          <w:bottom w:w="28" w:type="dxa"/>
          <w:right w:w="28" w:type="dxa"/>
        </w:tblCellMar>
      </w:tblPr>
      <w:tblGrid>
        <w:gridCol w:w="3721"/>
        <w:gridCol w:w="191"/>
      </w:tblGrid>
      <w:tr>
        <w:trPr/>
        <w:tc>
          <w:tcPr>
            <w:tcW w:w="37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Employee’s [Social Security Number]:</w:t>
            </w:r>
          </w:p>
        </w:tc>
        <w:tc>
          <w:tcPr>
            <w:tcW w:w="191" w:type="dxa"/>
            <w:tcBorders/>
            <w:tcMar>
              <w:top w:w="0" w:type="dxa"/>
              <w:left w:w="0" w:type="dxa"/>
              <w:bottom w:w="0" w:type="dxa"/>
              <w:right w:w="0" w:type="dxa"/>
            </w:tcMar>
            <w:vAlign w:val="center"/>
          </w:tcPr>
          <w:p>
            <w:pPr>
              <w:pStyle w:val="TableContents"/>
              <w:pBdr>
                <w:bottom w:val="single" w:sz="4" w:space="1" w:color="000000"/>
              </w:pBdr>
              <w:bidi w:val="0"/>
              <w:spacing w:before="0" w:after="283"/>
              <w:jc w:val="right"/>
              <w:rPr/>
            </w:pPr>
            <w:r>
              <w:rPr/>
              <w:t> </w:t>
            </w:r>
          </w:p>
        </w:tc>
      </w:tr>
      <w:tr>
        <w:trPr/>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Employee’s Address:</w:t>
            </w:r>
          </w:p>
        </w:tc>
        <w:tc>
          <w:tcPr>
            <w:tcW w:w="191" w:type="dxa"/>
            <w:tcBorders/>
            <w:tcMar>
              <w:top w:w="0" w:type="dxa"/>
              <w:left w:w="0" w:type="dxa"/>
              <w:bottom w:w="0" w:type="dxa"/>
              <w:right w:w="0" w:type="dxa"/>
            </w:tcMar>
            <w:vAlign w:val="center"/>
          </w:tcPr>
          <w:p>
            <w:pPr>
              <w:pStyle w:val="TableContents"/>
              <w:pBdr>
                <w:bottom w:val="single" w:sz="4" w:space="1" w:color="000000"/>
              </w:pBdr>
              <w:bidi w:val="0"/>
              <w:spacing w:before="0" w:after="283"/>
              <w:jc w:val="right"/>
              <w:rPr/>
            </w:pPr>
            <w:r>
              <w:rPr/>
              <w:t> </w:t>
            </w:r>
          </w:p>
        </w:tc>
      </w:tr>
      <w:tr>
        <w:trPr/>
        <w:tc>
          <w:tcPr>
            <w:tcW w:w="3721"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pBdr>
                <w:bottom w:val="single" w:sz="4" w:space="1" w:color="000000"/>
              </w:pBdr>
              <w:bidi w:val="0"/>
              <w:spacing w:before="0" w:after="283"/>
              <w:jc w:val="right"/>
              <w:rPr/>
            </w:pPr>
            <w:r>
              <w:rPr/>
              <w:t> </w:t>
            </w:r>
          </w:p>
        </w:tc>
      </w:tr>
      <w:tr>
        <w:trPr/>
        <w:tc>
          <w:tcPr>
            <w:tcW w:w="3721"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pBdr>
                <w:bottom w:val="single" w:sz="4" w:space="1" w:color="000000"/>
              </w:pBdr>
              <w:bidi w:val="0"/>
              <w:spacing w:before="0" w:after="283"/>
              <w:jc w:val="right"/>
              <w:rPr/>
            </w:pPr>
            <w:r>
              <w:rPr/>
              <w:t> </w:t>
            </w:r>
          </w:p>
        </w:tc>
      </w:tr>
      <w:tr>
        <w:trPr/>
        <w:tc>
          <w:tcPr>
            <w:tcW w:w="3721" w:type="dxa"/>
            <w:tcBorders/>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160"/>
        <w:jc w:val="left"/>
        <w:rPr/>
      </w:pPr>
      <w:r>
        <w:rPr/>
        <w:t>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EMPLOYEE UNDERSTANDS THAT THIS SUBSCRIPTION AGREEMENT WILL REMAIN IN EFFECT THROUGHOUT SUCCESSIVE OFFERING PERIODS UNLESS TERMINATED BY EMPLOYEE.</w:t>
      </w:r>
    </w:p>
    <w:tbl>
      <w:tblPr>
        <w:tblW w:w="6887" w:type="dxa"/>
        <w:jc w:val="left"/>
        <w:tblInd w:w="0" w:type="dxa"/>
        <w:tblLayout w:type="fixed"/>
        <w:tblCellMar>
          <w:top w:w="28" w:type="dxa"/>
          <w:left w:w="28" w:type="dxa"/>
          <w:bottom w:w="28" w:type="dxa"/>
          <w:right w:w="28" w:type="dxa"/>
        </w:tblCellMar>
      </w:tblPr>
      <w:tblGrid>
        <w:gridCol w:w="4156"/>
        <w:gridCol w:w="2731"/>
      </w:tblGrid>
      <w:tr>
        <w:trPr/>
        <w:tc>
          <w:tcPr>
            <w:tcW w:w="4156" w:type="dxa"/>
            <w:tcBorders/>
            <w:vAlign w:val="center"/>
          </w:tcPr>
          <w:p>
            <w:pPr>
              <w:pStyle w:val="TableContents"/>
              <w:bidi w:val="0"/>
              <w:spacing w:before="0" w:after="283"/>
              <w:jc w:val="left"/>
              <w:rPr>
                <w:sz w:val="4"/>
                <w:szCs w:val="4"/>
              </w:rPr>
            </w:pPr>
            <w:r>
              <w:rPr>
                <w:sz w:val="4"/>
                <w:szCs w:val="4"/>
              </w:rPr>
            </w:r>
          </w:p>
        </w:tc>
        <w:tc>
          <w:tcPr>
            <w:tcW w:w="2731" w:type="dxa"/>
            <w:tcBorders/>
            <w:vAlign w:val="center"/>
          </w:tcPr>
          <w:p>
            <w:pPr>
              <w:pStyle w:val="TableContents"/>
              <w:bidi w:val="0"/>
              <w:spacing w:before="0" w:after="283"/>
              <w:jc w:val="left"/>
              <w:rPr>
                <w:sz w:val="4"/>
                <w:szCs w:val="4"/>
              </w:rPr>
            </w:pPr>
            <w:r>
              <w:rPr>
                <w:sz w:val="4"/>
                <w:szCs w:val="4"/>
              </w:rPr>
            </w:r>
          </w:p>
        </w:tc>
      </w:tr>
      <w:tr>
        <w:trPr/>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Dated: ____________________________</w:t>
            </w:r>
          </w:p>
        </w:tc>
        <w:tc>
          <w:tcPr>
            <w:tcW w:w="2731" w:type="dxa"/>
            <w:tcBorders/>
            <w:tcMar>
              <w:top w:w="0" w:type="dxa"/>
              <w:left w:w="0" w:type="dxa"/>
              <w:bottom w:w="0" w:type="dxa"/>
              <w:right w:w="0" w:type="dxa"/>
            </w:tcMar>
            <w:vAlign w:val="center"/>
          </w:tcPr>
          <w:p>
            <w:pPr>
              <w:pStyle w:val="TableContents"/>
              <w:pBdr>
                <w:bottom w:val="single" w:sz="4" w:space="1" w:color="000000"/>
              </w:pBdr>
              <w:bidi w:val="0"/>
              <w:spacing w:before="0" w:after="283"/>
              <w:jc w:val="right"/>
              <w:rPr/>
            </w:pPr>
            <w:r>
              <w:rPr/>
              <w:t> </w:t>
            </w:r>
          </w:p>
        </w:tc>
      </w:tr>
      <w:tr>
        <w:trPr/>
        <w:tc>
          <w:tcPr>
            <w:tcW w:w="4156" w:type="dxa"/>
            <w:tcBorders/>
            <w:tcMar>
              <w:top w:w="0" w:type="dxa"/>
              <w:left w:w="0" w:type="dxa"/>
              <w:bottom w:w="0" w:type="dxa"/>
              <w:right w:w="0" w:type="dxa"/>
            </w:tcMar>
            <w:vAlign w:val="center"/>
          </w:tcPr>
          <w:p>
            <w:pPr>
              <w:pStyle w:val="TableContents"/>
              <w:bidi w:val="0"/>
              <w:spacing w:before="0" w:after="283"/>
              <w:jc w:val="right"/>
              <w:rPr/>
            </w:pPr>
            <w:r>
              <w:rPr/>
              <w:t> </w:t>
            </w:r>
          </w:p>
        </w:tc>
        <w:tc>
          <w:tcPr>
            <w:tcW w:w="27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Signature of Employee</w:t>
            </w:r>
          </w:p>
        </w:tc>
      </w:tr>
    </w:tbl>
    <w:p>
      <w:pPr>
        <w:pStyle w:val="TextBody"/>
        <w:bidi w:val="0"/>
        <w:spacing w:before="12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60"/>
        <w:jc w:val="center"/>
        <w:rPr>
          <w:rFonts w:ascii="Times New Roman" w:hAnsi="Times New Roman"/>
          <w:b/>
          <w:color w:val="000000"/>
          <w:sz w:val="22"/>
          <w:u w:val="single"/>
        </w:rPr>
      </w:pPr>
      <w:r>
        <w:rPr>
          <w:rFonts w:ascii="Times New Roman" w:hAnsi="Times New Roman"/>
          <w:b/>
          <w:color w:val="000000"/>
          <w:sz w:val="22"/>
          <w:u w:val="single"/>
        </w:rPr>
        <w:t>EXHIBIT B</w:t>
      </w:r>
    </w:p>
    <w:p>
      <w:pPr>
        <w:pStyle w:val="TextBody"/>
        <w:bidi w:val="0"/>
        <w:spacing w:before="0" w:after="160"/>
        <w:jc w:val="center"/>
        <w:rPr>
          <w:rFonts w:ascii="Times New Roman" w:hAnsi="Times New Roman"/>
          <w:b/>
          <w:caps/>
          <w:color w:val="000000"/>
          <w:sz w:val="22"/>
        </w:rPr>
      </w:pPr>
      <w:r>
        <w:rPr>
          <w:rFonts w:ascii="Times New Roman" w:hAnsi="Times New Roman"/>
          <w:b/>
          <w:caps/>
          <w:color w:val="000000"/>
          <w:sz w:val="22"/>
        </w:rPr>
        <w:t>ALECTOR, INC.</w:t>
      </w:r>
    </w:p>
    <w:p>
      <w:pPr>
        <w:pStyle w:val="TextBody"/>
        <w:bidi w:val="0"/>
        <w:spacing w:before="0" w:after="160"/>
        <w:jc w:val="center"/>
        <w:rPr>
          <w:rFonts w:ascii="Times New Roman" w:hAnsi="Times New Roman"/>
          <w:b/>
          <w:color w:val="000000"/>
          <w:sz w:val="22"/>
        </w:rPr>
      </w:pPr>
      <w:r>
        <w:rPr>
          <w:rFonts w:ascii="Times New Roman" w:hAnsi="Times New Roman"/>
          <w:b/>
          <w:color w:val="000000"/>
          <w:sz w:val="22"/>
        </w:rPr>
        <w:t>2019 EMPLOYEE STOCK PURCHASE PLAN</w:t>
      </w:r>
    </w:p>
    <w:p>
      <w:pPr>
        <w:pStyle w:val="TextBody"/>
        <w:bidi w:val="0"/>
        <w:spacing w:before="0" w:after="160"/>
        <w:jc w:val="center"/>
        <w:rPr>
          <w:rFonts w:ascii="Times New Roman" w:hAnsi="Times New Roman"/>
          <w:b/>
          <w:color w:val="000000"/>
          <w:sz w:val="22"/>
        </w:rPr>
      </w:pPr>
      <w:r>
        <w:rPr>
          <w:rFonts w:ascii="Times New Roman" w:hAnsi="Times New Roman"/>
          <w:b/>
          <w:color w:val="000000"/>
          <w:sz w:val="22"/>
        </w:rPr>
        <w:t>NOTICE OF WITHDRAWAL</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Unless otherwise defined herein, the terms defined in the 2019 Employee Stock Purchase Plan (the “Plan”) shall have the same defined meanings in this Notice of Withdrawal.</w:t>
      </w:r>
    </w:p>
    <w:p>
      <w:pPr>
        <w:pStyle w:val="TextBody"/>
        <w:bidi w:val="0"/>
        <w:spacing w:before="0" w:after="160"/>
        <w:jc w:val="both"/>
        <w:rPr>
          <w:rFonts w:ascii="Times New Roman" w:hAnsi="Times New Roman"/>
          <w:color w:val="000000"/>
          <w:sz w:val="22"/>
        </w:rPr>
      </w:pPr>
      <w:r>
        <w:rPr>
          <w:rFonts w:ascii="Times New Roman" w:hAnsi="Times New Roman"/>
          <w:color w:val="000000"/>
          <w:sz w:val="22"/>
        </w:rPr>
        <w:t>The undersigned Participant in the Offering Period of the Alector, Inc. 2019 Employee Stock Purchase Plan that began on ____________, ______ (the “Offering Date”) hereby notifies the Company that he or she hereby withdraws from the Offering Period. He or she hereby directs the Company to pay to the undersigned as promptly as practicable all the 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w:t>
      </w:r>
    </w:p>
    <w:tbl>
      <w:tblPr>
        <w:tblW w:w="4531" w:type="dxa"/>
        <w:jc w:val="left"/>
        <w:tblInd w:w="0" w:type="dxa"/>
        <w:tblLayout w:type="fixed"/>
        <w:tblCellMar>
          <w:top w:w="28" w:type="dxa"/>
          <w:left w:w="28" w:type="dxa"/>
          <w:bottom w:w="28" w:type="dxa"/>
          <w:right w:w="28" w:type="dxa"/>
        </w:tblCellMar>
      </w:tblPr>
      <w:tblGrid>
        <w:gridCol w:w="4531"/>
      </w:tblGrid>
      <w:tr>
        <w:trPr/>
        <w:tc>
          <w:tcPr>
            <w:tcW w:w="4531" w:type="dxa"/>
            <w:tcBorders/>
            <w:vAlign w:val="center"/>
          </w:tcPr>
          <w:p>
            <w:pPr>
              <w:pStyle w:val="TableContents"/>
              <w:bidi w:val="0"/>
              <w:spacing w:before="0" w:after="283"/>
              <w:jc w:val="left"/>
              <w:rPr>
                <w:sz w:val="4"/>
                <w:szCs w:val="4"/>
              </w:rPr>
            </w:pPr>
            <w:r>
              <w:rPr>
                <w:sz w:val="4"/>
                <w:szCs w:val="4"/>
              </w:rPr>
            </w:r>
          </w:p>
        </w:tc>
      </w:tr>
      <w:tr>
        <w:trPr/>
        <w:tc>
          <w:tcPr>
            <w:tcW w:w="4531" w:type="dxa"/>
            <w:tcBorders/>
            <w:tcMar>
              <w:top w:w="0" w:type="dxa"/>
              <w:left w:w="0" w:type="dxa"/>
              <w:bottom w:w="0" w:type="dxa"/>
              <w:right w:w="0" w:type="dxa"/>
            </w:tcMar>
            <w:vAlign w:val="center"/>
          </w:tcPr>
          <w:p>
            <w:pPr>
              <w:pStyle w:val="TableContents"/>
              <w:bidi w:val="0"/>
              <w:spacing w:before="0" w:after="283"/>
              <w:jc w:val="left"/>
              <w:rPr>
                <w:rFonts w:ascii="sans-serif" w:hAnsi="sans-serif"/>
                <w:color w:val="000000"/>
                <w:sz w:val="22"/>
              </w:rPr>
            </w:pPr>
            <w:r>
              <w:rPr>
                <w:rFonts w:ascii="sans-serif" w:hAnsi="sans-serif"/>
                <w:color w:val="000000"/>
                <w:sz w:val="22"/>
              </w:rPr>
              <w:t>Name and Address of Participant:</w:t>
            </w:r>
          </w:p>
        </w:tc>
      </w:tr>
      <w:tr>
        <w:trPr/>
        <w:tc>
          <w:tcPr>
            <w:tcW w:w="4531" w:type="dxa"/>
            <w:tcBorders/>
            <w:tcMar>
              <w:top w:w="0" w:type="dxa"/>
              <w:left w:w="0" w:type="dxa"/>
              <w:bottom w:w="0" w:type="dxa"/>
              <w:right w:w="0" w:type="dxa"/>
            </w:tcMar>
            <w:vAlign w:val="center"/>
          </w:tcPr>
          <w:p>
            <w:pPr>
              <w:pStyle w:val="TableContents"/>
              <w:pBdr>
                <w:bottom w:val="single" w:sz="4" w:space="1" w:color="000000"/>
              </w:pBdr>
              <w:bidi w:val="0"/>
              <w:spacing w:before="0" w:after="283"/>
              <w:jc w:val="right"/>
              <w:rPr/>
            </w:pPr>
            <w:r>
              <w:rPr/>
              <w:t> </w:t>
            </w:r>
          </w:p>
        </w:tc>
      </w:tr>
      <w:tr>
        <w:trPr/>
        <w:tc>
          <w:tcPr>
            <w:tcW w:w="4531" w:type="dxa"/>
            <w:tcBorders/>
            <w:tcMar>
              <w:top w:w="0" w:type="dxa"/>
              <w:left w:w="0" w:type="dxa"/>
              <w:bottom w:w="0" w:type="dxa"/>
              <w:right w:w="0" w:type="dxa"/>
            </w:tcMar>
            <w:vAlign w:val="center"/>
          </w:tcPr>
          <w:p>
            <w:pPr>
              <w:pStyle w:val="TableContents"/>
              <w:pBdr>
                <w:bottom w:val="single" w:sz="4" w:space="1" w:color="000000"/>
              </w:pBdr>
              <w:bidi w:val="0"/>
              <w:spacing w:before="0" w:after="283"/>
              <w:jc w:val="right"/>
              <w:rPr/>
            </w:pPr>
            <w:r>
              <w:rPr/>
              <w:t> </w:t>
            </w:r>
          </w:p>
        </w:tc>
      </w:tr>
      <w:tr>
        <w:trPr/>
        <w:tc>
          <w:tcPr>
            <w:tcW w:w="4531" w:type="dxa"/>
            <w:tcBorders/>
            <w:tcMar>
              <w:top w:w="0" w:type="dxa"/>
              <w:left w:w="0" w:type="dxa"/>
              <w:bottom w:w="0" w:type="dxa"/>
              <w:right w:w="0" w:type="dxa"/>
            </w:tcMar>
            <w:vAlign w:val="center"/>
          </w:tcPr>
          <w:p>
            <w:pPr>
              <w:pStyle w:val="TableContents"/>
              <w:pBdr>
                <w:bottom w:val="single" w:sz="4" w:space="1" w:color="000000"/>
              </w:pBdr>
              <w:bidi w:val="0"/>
              <w:spacing w:before="0" w:after="283"/>
              <w:jc w:val="right"/>
              <w:rPr/>
            </w:pPr>
            <w:r>
              <w:rPr/>
              <w:t> </w:t>
            </w:r>
          </w:p>
        </w:tc>
      </w:tr>
      <w:tr>
        <w:trPr/>
        <w:tc>
          <w:tcPr>
            <w:tcW w:w="453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Signature: ____________________________</w:t>
            </w:r>
          </w:p>
        </w:tc>
      </w:tr>
      <w:tr>
        <w:trPr/>
        <w:tc>
          <w:tcPr>
            <w:tcW w:w="45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 ____________________________</w:t>
            </w:r>
          </w:p>
        </w:tc>
      </w:tr>
    </w:tbl>
    <w:p>
      <w:pPr>
        <w:pStyle w:val="TextBody"/>
        <w:bidi w:val="0"/>
        <w:spacing w:before="12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alec-ex31_1.htm"/>
      <w:bookmarkStart w:id="26" w:name="ksalecex31_1"/>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SECTION 302</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Arnon Rosenthal, certify that:</w:t>
      </w:r>
    </w:p>
    <w:tbl>
      <w:tblPr>
        <w:tblW w:w="10205" w:type="dxa"/>
        <w:jc w:val="left"/>
        <w:tblInd w:w="0" w:type="dxa"/>
        <w:tblLayout w:type="fixed"/>
        <w:tblCellMar>
          <w:top w:w="28" w:type="dxa"/>
          <w:left w:w="28" w:type="dxa"/>
          <w:bottom w:w="28" w:type="dxa"/>
          <w:right w:w="28" w:type="dxa"/>
        </w:tblCellMar>
      </w:tblPr>
      <w:tblGrid>
        <w:gridCol w:w="239"/>
        <w:gridCol w:w="302"/>
        <w:gridCol w:w="9664"/>
      </w:tblGrid>
      <w:tr>
        <w:trPr/>
        <w:tc>
          <w:tcPr>
            <w:tcW w:w="23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664" w:type="dxa"/>
            <w:tcBorders/>
            <w:vAlign w:val="center"/>
          </w:tcPr>
          <w:p>
            <w:pPr>
              <w:pStyle w:val="TableContents"/>
              <w:bidi w:val="0"/>
              <w:spacing w:before="0" w:after="283"/>
              <w:jc w:val="left"/>
              <w:rPr>
                <w:sz w:val="4"/>
                <w:szCs w:val="4"/>
              </w:rPr>
            </w:pPr>
            <w:r>
              <w:rPr>
                <w:sz w:val="4"/>
                <w:szCs w:val="4"/>
              </w:rPr>
            </w:r>
          </w:p>
        </w:tc>
      </w:tr>
      <w:tr>
        <w:trPr/>
        <w:tc>
          <w:tcPr>
            <w:tcW w:w="239"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1.</w:t>
            </w:r>
          </w:p>
        </w:tc>
        <w:tc>
          <w:tcPr>
            <w:tcW w:w="9966" w:type="dxa"/>
            <w:gridSpan w:val="2"/>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I have reviewed this Quarterly Report on Form 10-Q of Alector, Inc.;</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2.</w:t>
            </w:r>
          </w:p>
        </w:tc>
        <w:tc>
          <w:tcPr>
            <w:tcW w:w="9966" w:type="dxa"/>
            <w:gridSpan w:val="2"/>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3.</w:t>
            </w:r>
          </w:p>
        </w:tc>
        <w:tc>
          <w:tcPr>
            <w:tcW w:w="9966" w:type="dxa"/>
            <w:gridSpan w:val="2"/>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4.</w:t>
            </w:r>
          </w:p>
        </w:tc>
        <w:tc>
          <w:tcPr>
            <w:tcW w:w="9966" w:type="dxa"/>
            <w:gridSpan w:val="2"/>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pPr>
            <w:r>
              <w:rPr/>
              <w:t> </w:t>
            </w:r>
          </w:p>
        </w:tc>
        <w:tc>
          <w:tcPr>
            <w:tcW w:w="302"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 xml:space="preserve">(a) </w:t>
            </w:r>
          </w:p>
        </w:tc>
        <w:tc>
          <w:tcPr>
            <w:tcW w:w="9664"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pPr>
            <w:r>
              <w:rPr/>
              <w:t> </w:t>
            </w:r>
          </w:p>
        </w:tc>
        <w:tc>
          <w:tcPr>
            <w:tcW w:w="302"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(b)</w:t>
            </w:r>
          </w:p>
        </w:tc>
        <w:tc>
          <w:tcPr>
            <w:tcW w:w="9664"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pPr>
            <w:r>
              <w:rPr/>
              <w:t> </w:t>
            </w:r>
          </w:p>
        </w:tc>
        <w:tc>
          <w:tcPr>
            <w:tcW w:w="302"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 xml:space="preserve">(c) </w:t>
            </w:r>
          </w:p>
        </w:tc>
        <w:tc>
          <w:tcPr>
            <w:tcW w:w="9664"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pPr>
            <w:r>
              <w:rPr/>
              <w:t> </w:t>
            </w:r>
          </w:p>
        </w:tc>
        <w:tc>
          <w:tcPr>
            <w:tcW w:w="302"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 xml:space="preserve">(d) </w:t>
            </w:r>
          </w:p>
        </w:tc>
        <w:tc>
          <w:tcPr>
            <w:tcW w:w="9664"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5.</w:t>
            </w:r>
          </w:p>
        </w:tc>
        <w:tc>
          <w:tcPr>
            <w:tcW w:w="9966" w:type="dxa"/>
            <w:gridSpan w:val="2"/>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pPr>
            <w:r>
              <w:rPr/>
              <w:t> </w:t>
            </w:r>
          </w:p>
        </w:tc>
        <w:tc>
          <w:tcPr>
            <w:tcW w:w="302"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 xml:space="preserve">(a) </w:t>
            </w:r>
          </w:p>
        </w:tc>
        <w:tc>
          <w:tcPr>
            <w:tcW w:w="9664"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pPr>
            <w:r>
              <w:rPr/>
              <w:t> </w:t>
            </w:r>
          </w:p>
        </w:tc>
        <w:tc>
          <w:tcPr>
            <w:tcW w:w="302"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 xml:space="preserve">(b) </w:t>
            </w:r>
          </w:p>
        </w:tc>
        <w:tc>
          <w:tcPr>
            <w:tcW w:w="9664"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bidi w:val="0"/>
        <w:jc w:val="left"/>
        <w:rPr/>
      </w:pPr>
      <w:r>
        <w:rPr/>
        <w:t> </w:t>
      </w:r>
    </w:p>
    <w:tbl>
      <w:tblPr>
        <w:tblW w:w="4734" w:type="dxa"/>
        <w:jc w:val="left"/>
        <w:tblInd w:w="0" w:type="dxa"/>
        <w:tblLayout w:type="fixed"/>
        <w:tblCellMar>
          <w:top w:w="28" w:type="dxa"/>
          <w:left w:w="28" w:type="dxa"/>
          <w:bottom w:w="28" w:type="dxa"/>
          <w:right w:w="28" w:type="dxa"/>
        </w:tblCellMar>
      </w:tblPr>
      <w:tblGrid>
        <w:gridCol w:w="1846"/>
        <w:gridCol w:w="146"/>
        <w:gridCol w:w="146"/>
        <w:gridCol w:w="259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1846" w:type="dxa"/>
            <w:tcBorders>
              <w:bottom w:val="single" w:sz="6" w:space="0" w:color="FFFFFF"/>
            </w:tcBorders>
            <w:tcMar>
              <w:top w:w="0" w:type="dxa"/>
              <w:left w:w="0" w:type="dxa"/>
              <w:right w:w="0" w:type="dxa"/>
            </w:tcMar>
            <w:vAlign w:val="center"/>
          </w:tcPr>
          <w:p>
            <w:pPr>
              <w:pStyle w:val="TableContents"/>
              <w:bidi w:val="0"/>
              <w:jc w:val="left"/>
              <w:rPr/>
            </w:pPr>
            <w:r>
              <w:rPr/>
              <w:t> </w:t>
            </w:r>
          </w:p>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259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Arnon Rosenthal</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Arnon Rosenthal, Ph.D.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alec-ex31_2.htm"/>
      <w:bookmarkStart w:id="28" w:name="ksalecex31_2"/>
      <w:bookmarkEnd w:id="27"/>
      <w:bookmarkEnd w:id="2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360" w:after="283"/>
        <w:jc w:val="center"/>
        <w:rPr>
          <w:rFonts w:ascii="Times New Roman" w:hAnsi="Times New Roman"/>
          <w:sz w:val="20"/>
        </w:rPr>
      </w:pPr>
      <w:r>
        <w:rPr>
          <w:rFonts w:ascii="Times New Roman" w:hAnsi="Times New Roman"/>
          <w:b/>
          <w:color w:val="000000"/>
          <w:sz w:val="20"/>
        </w:rPr>
        <w:t>CERTIFICATION PURSUANT TO SECTION 302</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Neil Berkley, certify that:</w:t>
      </w:r>
    </w:p>
    <w:tbl>
      <w:tblPr>
        <w:tblW w:w="10205" w:type="dxa"/>
        <w:jc w:val="left"/>
        <w:tblInd w:w="0" w:type="dxa"/>
        <w:tblLayout w:type="fixed"/>
        <w:tblCellMar>
          <w:top w:w="28" w:type="dxa"/>
          <w:left w:w="28" w:type="dxa"/>
          <w:bottom w:w="28" w:type="dxa"/>
          <w:right w:w="28" w:type="dxa"/>
        </w:tblCellMar>
      </w:tblPr>
      <w:tblGrid>
        <w:gridCol w:w="239"/>
        <w:gridCol w:w="302"/>
        <w:gridCol w:w="9664"/>
      </w:tblGrid>
      <w:tr>
        <w:trPr/>
        <w:tc>
          <w:tcPr>
            <w:tcW w:w="23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664" w:type="dxa"/>
            <w:tcBorders/>
            <w:vAlign w:val="center"/>
          </w:tcPr>
          <w:p>
            <w:pPr>
              <w:pStyle w:val="TableContents"/>
              <w:bidi w:val="0"/>
              <w:spacing w:before="0" w:after="283"/>
              <w:jc w:val="left"/>
              <w:rPr>
                <w:sz w:val="4"/>
                <w:szCs w:val="4"/>
              </w:rPr>
            </w:pPr>
            <w:r>
              <w:rPr>
                <w:sz w:val="4"/>
                <w:szCs w:val="4"/>
              </w:rPr>
            </w:r>
          </w:p>
        </w:tc>
      </w:tr>
      <w:tr>
        <w:trPr/>
        <w:tc>
          <w:tcPr>
            <w:tcW w:w="239"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1.</w:t>
            </w:r>
          </w:p>
        </w:tc>
        <w:tc>
          <w:tcPr>
            <w:tcW w:w="9966" w:type="dxa"/>
            <w:gridSpan w:val="2"/>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I have reviewed this Quarterly Report on Form 10-Q of Alector, Inc.;</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2.</w:t>
            </w:r>
          </w:p>
        </w:tc>
        <w:tc>
          <w:tcPr>
            <w:tcW w:w="9966" w:type="dxa"/>
            <w:gridSpan w:val="2"/>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3.</w:t>
            </w:r>
          </w:p>
        </w:tc>
        <w:tc>
          <w:tcPr>
            <w:tcW w:w="9966" w:type="dxa"/>
            <w:gridSpan w:val="2"/>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4.</w:t>
            </w:r>
          </w:p>
        </w:tc>
        <w:tc>
          <w:tcPr>
            <w:tcW w:w="9966" w:type="dxa"/>
            <w:gridSpan w:val="2"/>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pPr>
            <w:r>
              <w:rPr/>
              <w:t> </w:t>
            </w:r>
          </w:p>
        </w:tc>
        <w:tc>
          <w:tcPr>
            <w:tcW w:w="302"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 xml:space="preserve">(a) </w:t>
            </w:r>
          </w:p>
        </w:tc>
        <w:tc>
          <w:tcPr>
            <w:tcW w:w="9664"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pPr>
            <w:r>
              <w:rPr/>
              <w:t> </w:t>
            </w:r>
          </w:p>
        </w:tc>
        <w:tc>
          <w:tcPr>
            <w:tcW w:w="302"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(b)</w:t>
            </w:r>
          </w:p>
        </w:tc>
        <w:tc>
          <w:tcPr>
            <w:tcW w:w="9664"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pPr>
            <w:r>
              <w:rPr/>
              <w:t> </w:t>
            </w:r>
          </w:p>
        </w:tc>
        <w:tc>
          <w:tcPr>
            <w:tcW w:w="302"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 xml:space="preserve">(c) </w:t>
            </w:r>
          </w:p>
        </w:tc>
        <w:tc>
          <w:tcPr>
            <w:tcW w:w="9664"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pPr>
            <w:r>
              <w:rPr/>
              <w:t> </w:t>
            </w:r>
          </w:p>
        </w:tc>
        <w:tc>
          <w:tcPr>
            <w:tcW w:w="302"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 xml:space="preserve">(d) </w:t>
            </w:r>
          </w:p>
        </w:tc>
        <w:tc>
          <w:tcPr>
            <w:tcW w:w="9664"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5.</w:t>
            </w:r>
          </w:p>
        </w:tc>
        <w:tc>
          <w:tcPr>
            <w:tcW w:w="9966" w:type="dxa"/>
            <w:gridSpan w:val="2"/>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pPr>
            <w:r>
              <w:rPr/>
              <w:t> </w:t>
            </w:r>
          </w:p>
        </w:tc>
        <w:tc>
          <w:tcPr>
            <w:tcW w:w="302"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 xml:space="preserve">(a) </w:t>
            </w:r>
          </w:p>
        </w:tc>
        <w:tc>
          <w:tcPr>
            <w:tcW w:w="9664"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239" w:type="dxa"/>
            <w:tcBorders/>
            <w:tcMar>
              <w:top w:w="0" w:type="dxa"/>
              <w:left w:w="0" w:type="dxa"/>
              <w:bottom w:w="0" w:type="dxa"/>
              <w:right w:w="0" w:type="dxa"/>
            </w:tcMar>
            <w:vAlign w:val="center"/>
          </w:tcPr>
          <w:p>
            <w:pPr>
              <w:pStyle w:val="TableContents"/>
              <w:bidi w:val="0"/>
              <w:spacing w:before="200" w:after="283"/>
              <w:jc w:val="left"/>
              <w:rPr/>
            </w:pPr>
            <w:r>
              <w:rPr/>
              <w:t> </w:t>
            </w:r>
          </w:p>
        </w:tc>
        <w:tc>
          <w:tcPr>
            <w:tcW w:w="302"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 xml:space="preserve">(b) </w:t>
            </w:r>
          </w:p>
        </w:tc>
        <w:tc>
          <w:tcPr>
            <w:tcW w:w="9664"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c>
      </w:tr>
    </w:tbl>
    <w:p>
      <w:pPr>
        <w:pStyle w:val="TextBody"/>
        <w:bidi w:val="0"/>
        <w:jc w:val="left"/>
        <w:rPr/>
      </w:pPr>
      <w:r>
        <w:rPr/>
        <w:t> </w:t>
      </w:r>
    </w:p>
    <w:tbl>
      <w:tblPr>
        <w:tblW w:w="6564" w:type="dxa"/>
        <w:jc w:val="left"/>
        <w:tblInd w:w="0" w:type="dxa"/>
        <w:tblLayout w:type="fixed"/>
        <w:tblCellMar>
          <w:top w:w="28" w:type="dxa"/>
          <w:left w:w="28" w:type="dxa"/>
          <w:bottom w:w="28" w:type="dxa"/>
          <w:right w:w="28" w:type="dxa"/>
        </w:tblCellMar>
      </w:tblPr>
      <w:tblGrid>
        <w:gridCol w:w="1846"/>
        <w:gridCol w:w="146"/>
        <w:gridCol w:w="146"/>
        <w:gridCol w:w="442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6" w:type="dxa"/>
            <w:tcBorders/>
            <w:vAlign w:val="center"/>
          </w:tcPr>
          <w:p>
            <w:pPr>
              <w:pStyle w:val="TableContents"/>
              <w:bidi w:val="0"/>
              <w:spacing w:before="0" w:after="283"/>
              <w:jc w:val="left"/>
              <w:rPr>
                <w:sz w:val="4"/>
                <w:szCs w:val="4"/>
              </w:rPr>
            </w:pPr>
            <w:r>
              <w:rPr>
                <w:sz w:val="4"/>
                <w:szCs w:val="4"/>
              </w:rPr>
            </w:r>
          </w:p>
        </w:tc>
      </w:tr>
      <w:tr>
        <w:trPr/>
        <w:tc>
          <w:tcPr>
            <w:tcW w:w="1846" w:type="dxa"/>
            <w:tcBorders>
              <w:bottom w:val="single" w:sz="6" w:space="0" w:color="FFFFFF"/>
            </w:tcBorders>
            <w:tcMar>
              <w:top w:w="0" w:type="dxa"/>
              <w:left w:w="0" w:type="dxa"/>
              <w:right w:w="0" w:type="dxa"/>
            </w:tcMar>
            <w:vAlign w:val="center"/>
          </w:tcPr>
          <w:p>
            <w:pPr>
              <w:pStyle w:val="TableContents"/>
              <w:bidi w:val="0"/>
              <w:jc w:val="left"/>
              <w:rPr/>
            </w:pPr>
            <w:r>
              <w:rPr/>
              <w:t> </w:t>
            </w:r>
          </w:p>
          <w:p>
            <w:pPr>
              <w:pStyle w:val="TableContents"/>
              <w:bidi w:val="0"/>
              <w:spacing w:before="200" w:after="283"/>
              <w:jc w:val="left"/>
              <w:rPr>
                <w:rFonts w:ascii="Times New Roman" w:hAnsi="Times New Roman"/>
                <w:color w:val="000000"/>
                <w:sz w:val="20"/>
              </w:rPr>
            </w:pPr>
            <w:r>
              <w:rPr>
                <w:rFonts w:ascii="Times New Roman" w:hAnsi="Times New Roman"/>
                <w:color w:val="000000"/>
                <w:sz w:val="20"/>
              </w:rPr>
              <w:t>Date: August 6, 2026</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6" w:space="0" w:color="FFFFFF"/>
            </w:tcBorders>
            <w:tcMar>
              <w:top w:w="0" w:type="dxa"/>
              <w:left w:w="0" w:type="dxa"/>
              <w:right w:w="0" w:type="dxa"/>
            </w:tcMar>
            <w:vAlign w:val="center"/>
          </w:tcPr>
          <w:p>
            <w:pPr>
              <w:pStyle w:val="TableContents"/>
              <w:bidi w:val="0"/>
              <w:spacing w:before="0" w:after="283"/>
              <w:jc w:val="left"/>
              <w:rPr/>
            </w:pPr>
            <w:r>
              <w:rPr/>
              <w:t> </w:t>
            </w:r>
          </w:p>
        </w:tc>
        <w:tc>
          <w:tcPr>
            <w:tcW w:w="442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Neil Berkley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Neil Berkley</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6"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b/>
                <w:color w:val="000000"/>
                <w:sz w:val="20"/>
              </w:rPr>
              <w:t>Chief Financial Officer and Chief Business Officer</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righ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alec-ex32_1.htm"/>
      <w:bookmarkStart w:id="30" w:name="ksalecex32_1"/>
      <w:bookmarkEnd w:id="29"/>
      <w:bookmarkEnd w:id="3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Alector, Inc. (the “Company”) for the period ended June 30, 2026, as filed with the Securities and Exchange Commission on the date hereof (the “Report”), the undersigned officer of the Company certifies, pursuant to 18 U.S.C. Section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 of operations of the Company.</w:t>
      </w:r>
    </w:p>
    <w:p>
      <w:pPr>
        <w:pStyle w:val="TextBody"/>
        <w:bidi w:val="0"/>
        <w:jc w:val="left"/>
        <w:rPr/>
      </w:pPr>
      <w:r>
        <w:rPr/>
        <w:t> </w:t>
      </w:r>
    </w:p>
    <w:tbl>
      <w:tblPr>
        <w:tblW w:w="5072" w:type="dxa"/>
        <w:jc w:val="left"/>
        <w:tblInd w:w="0" w:type="dxa"/>
        <w:tblLayout w:type="fixed"/>
        <w:tblCellMar>
          <w:top w:w="28" w:type="dxa"/>
          <w:left w:w="28" w:type="dxa"/>
          <w:bottom w:w="28" w:type="dxa"/>
          <w:right w:w="28" w:type="dxa"/>
        </w:tblCellMar>
      </w:tblPr>
      <w:tblGrid>
        <w:gridCol w:w="1846"/>
        <w:gridCol w:w="109"/>
        <w:gridCol w:w="146"/>
        <w:gridCol w:w="2971"/>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Arnon Rosenthal</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Arnon Rosenthal, Ph.D.</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1"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Chief Executive Officer</w:t>
            </w:r>
          </w:p>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31" w:name="alec-ex32_2.htm"/>
      <w:bookmarkStart w:id="32" w:name="ksalecex32_2"/>
      <w:bookmarkEnd w:id="31"/>
      <w:bookmarkEnd w:id="3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Alector, Inc. (the “Company”) for the period ended June 30, 2026, as filed with the Securities and Exchange Commission on the date hereof (the “Report”), the undersigned officer of the Company certifies, pursuant to 18 U.S.C. Section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 of operations of the Company.</w:t>
      </w:r>
    </w:p>
    <w:p>
      <w:pPr>
        <w:pStyle w:val="TextBody"/>
        <w:bidi w:val="0"/>
        <w:jc w:val="left"/>
        <w:rPr/>
      </w:pPr>
      <w:r>
        <w:rPr/>
        <w:t> </w:t>
      </w:r>
    </w:p>
    <w:tbl>
      <w:tblPr>
        <w:tblW w:w="7157" w:type="dxa"/>
        <w:jc w:val="left"/>
        <w:tblInd w:w="0" w:type="dxa"/>
        <w:tblLayout w:type="fixed"/>
        <w:tblCellMar>
          <w:top w:w="28" w:type="dxa"/>
          <w:left w:w="28" w:type="dxa"/>
          <w:bottom w:w="28" w:type="dxa"/>
          <w:right w:w="28" w:type="dxa"/>
        </w:tblCellMar>
      </w:tblPr>
      <w:tblGrid>
        <w:gridCol w:w="1846"/>
        <w:gridCol w:w="109"/>
        <w:gridCol w:w="146"/>
        <w:gridCol w:w="505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5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Neil Berkley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Neil Berkley</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6"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Chief Financial Officer and Chief Business Officer</w:t>
            </w:r>
          </w:p>
          <w:p>
            <w:pPr>
              <w:pStyle w:val="TableContents"/>
              <w:bidi w:val="0"/>
              <w:spacing w:before="0" w:after="283"/>
              <w:jc w:val="left"/>
              <w:rPr>
                <w:rFonts w:ascii="Times New Roman" w:hAnsi="Times New Roman"/>
                <w:sz w:val="22"/>
              </w:rPr>
            </w:pPr>
            <w:r>
              <w:rPr>
                <w:rFonts w:ascii="Times New Roman" w:hAnsi="Times New Roman"/>
                <w:b/>
                <w:color w:val="000000"/>
                <w:sz w:val="22"/>
              </w:rPr>
              <w:t>(Principal Financial Officer)</w:t>
            </w:r>
            <w:r>
              <w:rPr>
                <w:rFonts w:ascii="Times New Roman" w:hAnsi="Times New Roman"/>
                <w:color w:val="000000"/>
                <w:sz w:val="22"/>
              </w:rPr>
              <w:t xml:space="preserve">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653087/000119312519033930/d702882dex31.htm" TargetMode="External"/><Relationship Id="rId3" Type="http://schemas.openxmlformats.org/officeDocument/2006/relationships/hyperlink" Target="https://www.sec.gov/Archives/edgar/data/1653087/000119312523167891/d515127dex31.htm" TargetMode="External"/><Relationship Id="rId4" Type="http://schemas.openxmlformats.org/officeDocument/2006/relationships/hyperlink" Target="https://www.sec.gov/Archives/edgar/data/1653087/000119312526212426/d910893d8k.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65879</Words>
  <Characters>368203</Characters>
  <CharactersWithSpaces>434276</CharactersWithSpaces>
  <Paragraphs>4971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