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333-294241</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April 30, 2026)</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182245</wp:posOffset>
            </wp:positionV>
            <wp:extent cx="312039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039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120" w:right="360"/>
        <w:spacing w:after="0" w:line="289" w:lineRule="auto"/>
        <w:rPr>
          <w:sz w:val="20"/>
          <w:szCs w:val="20"/>
          <w:color w:val="auto"/>
        </w:rPr>
      </w:pPr>
      <w:r>
        <w:rPr>
          <w:rFonts w:ascii="Times New Roman" w:cs="Times New Roman" w:eastAsia="Times New Roman" w:hAnsi="Times New Roman"/>
          <w:sz w:val="17"/>
          <w:szCs w:val="17"/>
          <w:color w:val="auto"/>
        </w:rPr>
        <w:t>We have entered into a sales agreement with TD Securities (USA) LLC (“TD Cowen”) relating to shares of our common stock offered by this prospectus supplement and the accompanying prospectus. In accordance with the terms of the sales agreement, we may offer and sell shares of our common stock having an aggregate offering price of up to $125,000,000 from time to time through or to TD Cowen acting as our agent or principal.</w:t>
      </w:r>
    </w:p>
    <w:p>
      <w:pPr>
        <w:spacing w:after="0" w:line="158" w:lineRule="exact"/>
        <w:rPr>
          <w:sz w:val="24"/>
          <w:szCs w:val="24"/>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“ALEC.” On May 6, 2026, the last reported sale price of our common stock was $2.57 per share.</w:t>
      </w:r>
    </w:p>
    <w:p>
      <w:pPr>
        <w:spacing w:after="0" w:line="162" w:lineRule="exact"/>
        <w:rPr>
          <w:sz w:val="24"/>
          <w:szCs w:val="24"/>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will be made in negotiated transactions, including block trades or block sales, or by any method permitted by law deemed to be an “at the market offering” as defined in Rule 415 promulgated under the Securities Act of 1933, as amended (the “Securities Act”), including without limitation sales made through the Nasdaq Global Select Market or on any other trading market for our common stock, or by any other method permitted by law. TD Cowen is not required to sell any specific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87" w:lineRule="exact"/>
        <w:rPr>
          <w:sz w:val="24"/>
          <w:szCs w:val="24"/>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compensation to TD Cowen for sales of common stock sold pursuant to the sales agreement will be an amount up to 3.0% of the gross proceeds of any shares of common stock sold under the sales agreement. In connection with the sale of the common stock on our behalf, TD Cowen may be deemed to be an “underwriter” within the meaning of the Securities Act, and the compensation of TD Cowen may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both"/>
        <w:ind w:left="120" w:right="460"/>
        <w:spacing w:after="0" w:line="246" w:lineRule="auto"/>
        <w:rPr>
          <w:sz w:val="20"/>
          <w:szCs w:val="20"/>
          <w:color w:val="auto"/>
        </w:rPr>
      </w:pPr>
      <w:r>
        <w:rPr>
          <w:rFonts w:ascii="Times New Roman" w:cs="Times New Roman" w:eastAsia="Times New Roman" w:hAnsi="Times New Roman"/>
          <w:sz w:val="22"/>
          <w:szCs w:val="22"/>
          <w:b w:val="1"/>
          <w:bCs w:val="1"/>
          <w:color w:val="auto"/>
        </w:rPr>
        <w:t>Our business and an investment in our common stock involve significant risks. These risks are described under the caption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S-4 of this prospectus supplement and in the documents incorporated by reference into this prospectus supplement.</w:t>
      </w:r>
    </w:p>
    <w:p>
      <w:pPr>
        <w:spacing w:after="0" w:line="176" w:lineRule="exact"/>
        <w:rPr>
          <w:sz w:val="24"/>
          <w:szCs w:val="24"/>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TD Cowen</w:t>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May 7,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2"/>
        </w:trPr>
        <w:tc>
          <w:tcPr>
            <w:tcW w:w="420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6360" w:type="dxa"/>
            <w:vAlign w:val="bottom"/>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6"/>
        </w:trPr>
        <w:tc>
          <w:tcPr>
            <w:tcW w:w="2480" w:type="dxa"/>
            <w:vAlign w:val="bottom"/>
            <w:tcBorders>
              <w:bottom w:val="single" w:sz="8" w:color="0000EE"/>
            </w:tcBorders>
            <w:gridSpan w:val="15"/>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1720" w:type="dxa"/>
            <w:vAlign w:val="bottom"/>
            <w:gridSpan w:val="4"/>
          </w:tcPr>
          <w:p>
            <w:pPr>
              <w:spacing w:after="0"/>
              <w:rPr>
                <w:sz w:val="13"/>
                <w:szCs w:val="13"/>
                <w:color w:val="auto"/>
              </w:rPr>
            </w:pPr>
          </w:p>
        </w:tc>
        <w:tc>
          <w:tcPr>
            <w:tcW w:w="6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w:t>
            </w:r>
          </w:p>
        </w:tc>
        <w:tc>
          <w:tcPr>
            <w:tcW w:w="20" w:type="dxa"/>
            <w:vAlign w:val="bottom"/>
          </w:tcPr>
          <w:p>
            <w:pPr>
              <w:spacing w:after="0"/>
              <w:rPr>
                <w:sz w:val="13"/>
                <w:szCs w:val="13"/>
                <w:color w:val="auto"/>
              </w:rPr>
            </w:pPr>
          </w:p>
        </w:tc>
      </w:tr>
      <w:tr>
        <w:trPr>
          <w:trHeight w:val="209"/>
        </w:trPr>
        <w:tc>
          <w:tcPr>
            <w:tcW w:w="42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780" w:type="dxa"/>
            <w:vAlign w:val="bottom"/>
            <w:gridSpan w:val="6"/>
          </w:tcPr>
          <w:p>
            <w:pPr>
              <w:spacing w:after="0"/>
              <w:rPr>
                <w:sz w:val="17"/>
                <w:szCs w:val="17"/>
                <w:color w:val="auto"/>
              </w:rPr>
            </w:pP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38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3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560" w:type="dxa"/>
            <w:vAlign w:val="bottom"/>
            <w:tcBorders>
              <w:top w:val="single" w:sz="8" w:color="0000EE"/>
            </w:tcBorders>
            <w:gridSpan w:val="4"/>
          </w:tcPr>
          <w:p>
            <w:pPr>
              <w:spacing w:after="0"/>
              <w:rPr>
                <w:sz w:val="17"/>
                <w:szCs w:val="17"/>
                <w:color w:val="auto"/>
              </w:rPr>
            </w:pPr>
          </w:p>
        </w:tc>
        <w:tc>
          <w:tcPr>
            <w:tcW w:w="3040" w:type="dxa"/>
            <w:vAlign w:val="bottom"/>
            <w:gridSpan w:val="13"/>
          </w:tcPr>
          <w:p>
            <w:pPr>
              <w:spacing w:after="0"/>
              <w:rPr>
                <w:sz w:val="17"/>
                <w:szCs w:val="17"/>
                <w:color w:val="auto"/>
              </w:rPr>
            </w:pP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3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780" w:type="dxa"/>
            <w:vAlign w:val="bottom"/>
            <w:gridSpan w:val="12"/>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0" w:type="dxa"/>
            <w:vAlign w:val="bottom"/>
            <w:gridSpan w:val="15"/>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3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3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412"/>
        </w:trPr>
        <w:tc>
          <w:tcPr>
            <w:tcW w:w="36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560" w:type="dxa"/>
            <w:vAlign w:val="bottom"/>
            <w:gridSpan w:val="2"/>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56"/>
        </w:trPr>
        <w:tc>
          <w:tcPr>
            <w:tcW w:w="1580" w:type="dxa"/>
            <w:vAlign w:val="bottom"/>
            <w:tcBorders>
              <w:bottom w:val="single" w:sz="8" w:color="0000EE"/>
            </w:tcBorders>
            <w:gridSpan w:val="9"/>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2620" w:type="dxa"/>
            <w:vAlign w:val="bottom"/>
            <w:gridSpan w:val="10"/>
          </w:tcPr>
          <w:p>
            <w:pPr>
              <w:spacing w:after="0"/>
              <w:rPr>
                <w:sz w:val="13"/>
                <w:szCs w:val="13"/>
                <w:color w:val="auto"/>
              </w:rPr>
            </w:pPr>
          </w:p>
        </w:tc>
        <w:tc>
          <w:tcPr>
            <w:tcW w:w="6460" w:type="dxa"/>
            <w:vAlign w:val="bottom"/>
            <w:gridSpan w:val="2"/>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3"/>
                <w:szCs w:val="13"/>
                <w:color w:val="auto"/>
              </w:rPr>
            </w:pPr>
          </w:p>
        </w:tc>
      </w:tr>
      <w:tr>
        <w:trPr>
          <w:trHeight w:val="209"/>
        </w:trPr>
        <w:tc>
          <w:tcPr>
            <w:tcW w:w="42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6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0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180" w:type="dxa"/>
            <w:vAlign w:val="bottom"/>
            <w:gridSpan w:val="14"/>
          </w:tcPr>
          <w:p>
            <w:pPr>
              <w:spacing w:after="0"/>
              <w:rPr>
                <w:sz w:val="17"/>
                <w:szCs w:val="17"/>
                <w:color w:val="auto"/>
              </w:rPr>
            </w:pP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r>
      <w:tr>
        <w:trPr>
          <w:trHeight w:val="196"/>
        </w:trPr>
        <w:tc>
          <w:tcPr>
            <w:tcW w:w="38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320" w:type="dxa"/>
            <w:vAlign w:val="bottom"/>
          </w:tcPr>
          <w:p>
            <w:pPr>
              <w:spacing w:after="0"/>
              <w:rPr>
                <w:sz w:val="17"/>
                <w:szCs w:val="17"/>
                <w:color w:val="auto"/>
              </w:rPr>
            </w:pP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46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46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020" w:type="dxa"/>
            <w:vAlign w:val="bottom"/>
            <w:gridSpan w:val="7"/>
          </w:tcPr>
          <w:p>
            <w:pPr>
              <w:spacing w:after="0"/>
              <w:rPr>
                <w:sz w:val="17"/>
                <w:szCs w:val="17"/>
                <w:color w:val="auto"/>
              </w:rPr>
            </w:pP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46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740" w:type="dxa"/>
            <w:vAlign w:val="bottom"/>
            <w:gridSpan w:val="5"/>
          </w:tcPr>
          <w:p>
            <w:pPr>
              <w:spacing w:after="0"/>
              <w:rPr>
                <w:sz w:val="17"/>
                <w:szCs w:val="17"/>
                <w:color w:val="auto"/>
              </w:rPr>
            </w:pP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740" w:type="dxa"/>
            <w:vAlign w:val="bottom"/>
            <w:gridSpan w:val="11"/>
          </w:tcPr>
          <w:p>
            <w:pPr>
              <w:spacing w:after="0"/>
              <w:rPr>
                <w:sz w:val="17"/>
                <w:szCs w:val="17"/>
                <w:color w:val="auto"/>
              </w:rPr>
            </w:pP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780" w:type="dxa"/>
            <w:vAlign w:val="bottom"/>
            <w:gridSpan w:val="12"/>
          </w:tcPr>
          <w:p>
            <w:pPr>
              <w:spacing w:after="0"/>
              <w:rPr>
                <w:sz w:val="17"/>
                <w:szCs w:val="17"/>
                <w:color w:val="auto"/>
              </w:rPr>
            </w:pP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0" w:type="dxa"/>
            <w:vAlign w:val="bottom"/>
            <w:gridSpan w:val="15"/>
          </w:tcPr>
          <w:p>
            <w:pPr>
              <w:spacing w:after="0"/>
              <w:rPr>
                <w:sz w:val="17"/>
                <w:szCs w:val="17"/>
                <w:color w:val="auto"/>
              </w:rPr>
            </w:pP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3100" w:type="dxa"/>
            <w:vAlign w:val="bottom"/>
            <w:gridSpan w:val="1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2860" w:type="dxa"/>
            <w:vAlign w:val="bottom"/>
            <w:gridSpan w:val="16"/>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r>
      <w:tr>
        <w:trPr>
          <w:trHeight w:val="196"/>
        </w:trPr>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7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have filed with the Securities and Exchange Commission (the “SEC”), utilizing a “shelf” registration process. Under the shelf registration process, we may, from time to time, offer and sell any combination of our securities described in the accompanying prospectus in one or more offerings. We are providing information to you about this offering of our common stock in two parts. The first part is this prospectus supplement, which provides you with specific information regarding the terms of this offering and our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common stock in this prospectus supplement, which describes the specific details regarding this offering. This prospectus supplement adds to, updates, and changes information contained in the accompanying prospectus and the information incorporated by reference therein with respect to this offering of our common stock. To the extent that any information in this prospectus supplement is inconsistent with the information in the accompanying prospectus or any information incorporated by reference therein,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9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common stock that we are offering, we urge you to carefully read this prospectus supplement and the accompanying prospectus and all of the information incorporated by reference herein and therein, as well as the additional information described under the sections titled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and TD Cowen has not, authorized any other person to provide you with any information different from that contained or incorporated by reference in this prospectus supplement and in the accompanying prospectus or in any free writing prospectus prepared by us or on our behalf. We and TD Cowen take no responsibility for, and can provide no assurance as to the reliability of, any other information that others may give you. We are not, and TD Cowen is not, making an offer to sell these securities in any jurisdiction where the offer or sale is not permitted. You should assume that the information appearing in this prospectus supplement or the accompanying prospectus, in the documents incorporated by reference herein or therein, or in any free writing prospectus is accurate only as of the date of such document. Our business, financial condition, results of operations, and prospects may have changed since that date.</w:t>
      </w:r>
    </w:p>
    <w:p>
      <w:pPr>
        <w:spacing w:after="0" w:line="18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or the accompanying prospectus by any person in any jurisdiction in which it is unlawful for such person to make such an offer or solicitation.</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supplement and the accompanying prospectus, the terms “Alector,” “Alector, Inc.,” “Company,” “we,” “us,” and “our” refer to Alector, Inc. and, where appropriate, its subsidiaries on a consolidated basis.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information incorporated herein and therein by reference include trademarks, service marks, and trade names owned by us or other companies. All trademarks, service marks, and trade names included or incorporated by reference into this prospectus supplement and the accompanying prospectus are the property of their respective owners.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0960"/>
          </w:cols>
          <w:pgMar w:left="320" w:top="455"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4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or incorporated by reference in this prospectus supplement and the accompanying prospectus, and does not contain all of the information that you need to consider in making your investment decision. You should carefully read the entire prospectus supplement, the accompanying prospectus, and the information incorporated by reference herein and therein, including the risks of investing in our securities discussed under the sections titled “Risk Factors” contained in this prospectus supplement and the accompanying prospectus, and the risk factors incorporated by reference herein from our most recent Annual Report on Form 10-K and our most recent Quarterly Report on Form 10-Q, as well as any amendments or updates thereto reflected in subsequent filings we make with the SEC. This summary is qualified in its entirety by the more detailed information appearing elsewhere or incorporated by reference in this prospectus supplement and the accompanying prospectus.</w:t>
      </w: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ALECTOR, INC.</w:t>
      </w:r>
    </w:p>
    <w:p>
      <w:pPr>
        <w:spacing w:after="0" w:line="229"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We are a biotechnology company developing therapies for neurodegenerative diseases, with a focus on areas of high unmet medical need. Our work is informed by advances in disease biology, including the roles of misfolded or deficient proteins, lysosomal dysfunction, and immune and neuronal pathway disruption.</w:t>
      </w:r>
    </w:p>
    <w:p>
      <w:pPr>
        <w:spacing w:after="0" w:line="176" w:lineRule="exact"/>
        <w:rPr>
          <w:sz w:val="20"/>
          <w:szCs w:val="20"/>
          <w:color w:val="auto"/>
        </w:rPr>
      </w:pPr>
    </w:p>
    <w:p>
      <w:pPr>
        <w:jc w:val="both"/>
        <w:ind w:left="300" w:right="380" w:firstLine="426"/>
        <w:spacing w:after="0" w:line="266" w:lineRule="auto"/>
        <w:rPr>
          <w:sz w:val="20"/>
          <w:szCs w:val="20"/>
          <w:color w:val="auto"/>
        </w:rPr>
      </w:pPr>
      <w:r>
        <w:rPr>
          <w:rFonts w:ascii="Times New Roman" w:cs="Times New Roman" w:eastAsia="Times New Roman" w:hAnsi="Times New Roman"/>
          <w:sz w:val="18"/>
          <w:szCs w:val="18"/>
          <w:color w:val="auto"/>
        </w:rPr>
        <w:t>Our objective is to develop product candidates that address disease through targeted mechanisms, such as removing pathogenic proteins, replacing deficient proteins, and restoring normal cellular function. We are advancing a portfolio of programs focused on genetically validated targets, supported by our experience in drug development, protein engineering, antibody discovery, and biomarker assessment.</w:t>
      </w:r>
    </w:p>
    <w:p>
      <w:pPr>
        <w:spacing w:after="0" w:line="176"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 key component of our strategy is the development and application of our Alector Brain Carrier (ABC) platform, a proprietary blood-brain barrier (BBB) delivery technology designed to improve central nervous system exposure across multiple therapeutic modalities. Built on the core design principles of versatility, translatability, and differentiated binding to a distinct region of the transferrin receptor (TfR), ABC is intended to support the targeted delivery of therapeutics to the brain and to optimize their safety and efficacy at lower doses. With a wide range of TfR binding affinities and binding kinetics, and the ability to target a distinct epitope of TfR, the platform can be aligned with the requirements of diverse therapeutic cargos, including antibodies, enzymes, proteins, and siRNA. The platform’s TfR binding domain is further adaptable to diverse engineered formats, enabling broad applicability to our product candidates. By leveraging these proprietary features, we aim to achieve efficient transport of our product candidates across the BBB with the goal of balancing brain uptake, potency, and safety. This next generation pipeline, built on the ABC platform and distinct from our prior clinical programs, positions us to develop therapeutic candidates for a range of neurodegenerative diseases.</w:t>
      </w: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We were initially formed as a limited liability company in Delaware in May 2013 under the name Alector LLC and completed our restructuring to a corporation in October 2017 under the name Alector, Inc. Our principal executive offices are located at 131 Oyster Point Boulevard, Suite 600, South San Francisco, California 94080. Our telephone number is (415) 231-5660. Our website address is www.alector.com. This website address is not intended to be an active link. Information contained on or accessible through our website is not a part of this prospectus supplement or the accompanying prospectus and is not incorporated by reference herein or therein, and the inclusion of our website address is an inactive textual reference only.</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195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1195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38" w:lineRule="auto"/>
        <w:rPr>
          <w:sz w:val="20"/>
          <w:szCs w:val="20"/>
          <w:color w:val="auto"/>
        </w:rPr>
      </w:pPr>
      <w:r>
        <w:rPr>
          <w:rFonts w:ascii="Times New Roman" w:cs="Times New Roman" w:eastAsia="Times New Roman" w:hAnsi="Times New Roman"/>
          <w:sz w:val="18"/>
          <w:szCs w:val="18"/>
          <w:color w:val="auto"/>
        </w:rPr>
        <w:t xml:space="preserve">We use Alector, the Alector logo, and other marks as trademarks in the United States and other countries. This prospectus supplement and the accompanying prospectus contain references to our trademarks and service marks and to those belonging to other entities. Solely for convenience, trademarks and trade names referred to in this prospectus supplement and the accompanying prospectus,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144"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Shares of common stock outstanding before this offering</w:t>
      </w:r>
    </w:p>
    <w:p>
      <w:pPr>
        <w:spacing w:after="0" w:line="74" w:lineRule="exact"/>
        <w:rPr>
          <w:sz w:val="20"/>
          <w:szCs w:val="20"/>
          <w:color w:val="auto"/>
        </w:rPr>
      </w:pPr>
    </w:p>
    <w:p>
      <w:pPr>
        <w:ind w:left="380" w:right="120" w:hanging="78"/>
        <w:spacing w:after="0" w:line="286" w:lineRule="auto"/>
        <w:rPr>
          <w:sz w:val="20"/>
          <w:szCs w:val="20"/>
          <w:color w:val="auto"/>
        </w:rPr>
      </w:pPr>
      <w:r>
        <w:rPr>
          <w:rFonts w:ascii="Times New Roman" w:cs="Times New Roman" w:eastAsia="Times New Roman" w:hAnsi="Times New Roman"/>
          <w:sz w:val="18"/>
          <w:szCs w:val="18"/>
          <w:b w:val="1"/>
          <w:bCs w:val="1"/>
          <w:color w:val="auto"/>
        </w:rPr>
        <w:t>Shares of common stock outstanding after this offering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$125,000,000.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111,025,187 shares.</w:t>
      </w:r>
    </w:p>
    <w:p>
      <w:pPr>
        <w:spacing w:after="0" w:line="3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159,663,319 shares, assuming the sale of $125,000,000 of shares of our common stock in this offering at a price of $2.57 per share, which was the closing price of our common stock on The Nasdaq Global Select Market on May 6, 2026. The actual number of shares issued will vary depending on the sales price under this offering.</w:t>
      </w:r>
    </w:p>
    <w:p>
      <w:pPr>
        <w:spacing w:after="0" w:line="81" w:lineRule="exact"/>
        <w:rPr>
          <w:sz w:val="20"/>
          <w:szCs w:val="20"/>
          <w:color w:val="auto"/>
        </w:rPr>
      </w:pPr>
    </w:p>
    <w:p>
      <w:pPr>
        <w:sectPr>
          <w:pgSz w:w="11900" w:h="16838" w:orient="portrait"/>
          <w:cols w:equalWidth="0" w:num="2">
            <w:col w:w="3980" w:space="360"/>
            <w:col w:w="6600"/>
          </w:cols>
          <w:pgMar w:left="320" w:top="455" w:right="639" w:bottom="1440" w:gutter="0" w:footer="0" w:header="0"/>
          <w:type w:val="continuous"/>
        </w:sect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Plan of distribution</w:t>
      </w:r>
      <w:r>
        <w:rPr>
          <w:sz w:val="20"/>
          <w:szCs w:val="20"/>
          <w:color w:val="auto"/>
        </w:rPr>
        <w:tab/>
      </w:r>
      <w:r>
        <w:rPr>
          <w:rFonts w:ascii="Times New Roman" w:cs="Times New Roman" w:eastAsia="Times New Roman" w:hAnsi="Times New Roman"/>
          <w:sz w:val="17"/>
          <w:szCs w:val="17"/>
          <w:color w:val="auto"/>
        </w:rPr>
        <w:t>“At-the-market” offering that may be made from time to time through TD Cowen as sales</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agent. See “Plan of Distribution” on page S-10.</w:t>
      </w:r>
    </w:p>
    <w:p>
      <w:pPr>
        <w:spacing w:after="0" w:line="108"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if any, from this offering for general corporate purposes,</w:t>
      </w:r>
    </w:p>
    <w:p>
      <w:pPr>
        <w:spacing w:after="0" w:line="31" w:lineRule="exact"/>
        <w:rPr>
          <w:sz w:val="20"/>
          <w:szCs w:val="20"/>
          <w:color w:val="auto"/>
        </w:rPr>
      </w:pPr>
    </w:p>
    <w:p>
      <w:pPr>
        <w:ind w:left="4340" w:right="240"/>
        <w:spacing w:after="0" w:line="253" w:lineRule="auto"/>
        <w:rPr>
          <w:sz w:val="20"/>
          <w:szCs w:val="20"/>
          <w:color w:val="auto"/>
        </w:rPr>
      </w:pPr>
      <w:r>
        <w:rPr>
          <w:rFonts w:ascii="Times New Roman" w:cs="Times New Roman" w:eastAsia="Times New Roman" w:hAnsi="Times New Roman"/>
          <w:sz w:val="18"/>
          <w:szCs w:val="18"/>
          <w:color w:val="auto"/>
        </w:rPr>
        <w:t>which may include research, development and manufacturing of our product candidates, working capital, capital expenditures, other corporate expenses, and acquisitions of, or strategic transactions in, complementary products, technologies, or businesses. See the section titled “Use of Proceeds” on page S-8 for more information.</w:t>
      </w:r>
    </w:p>
    <w:p>
      <w:pPr>
        <w:spacing w:after="0" w:line="9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Investing in our securities involves a high degree of risk. You should read the sections</w:t>
      </w:r>
    </w:p>
    <w:p>
      <w:pPr>
        <w:spacing w:after="0" w:line="31" w:lineRule="exact"/>
        <w:rPr>
          <w:sz w:val="20"/>
          <w:szCs w:val="20"/>
          <w:color w:val="auto"/>
        </w:rPr>
      </w:pPr>
    </w:p>
    <w:p>
      <w:pPr>
        <w:ind w:left="4340" w:right="140"/>
        <w:spacing w:after="0" w:line="253" w:lineRule="auto"/>
        <w:rPr>
          <w:sz w:val="20"/>
          <w:szCs w:val="20"/>
          <w:color w:val="auto"/>
        </w:rPr>
      </w:pPr>
      <w:r>
        <w:rPr>
          <w:rFonts w:ascii="Times New Roman" w:cs="Times New Roman" w:eastAsia="Times New Roman" w:hAnsi="Times New Roman"/>
          <w:sz w:val="18"/>
          <w:szCs w:val="18"/>
          <w:color w:val="auto"/>
        </w:rPr>
        <w:t>titled “Risk Factors,” beginning on page S-4 of this prospectus supplement and on page 4 of the accompanying prospectus, and in the documents incorporated by reference into this prospectus supplement and the accompanying prospectus for a discussion of factors to consider before deciding to purchase shares of our common stock.</w:t>
      </w:r>
    </w:p>
    <w:p>
      <w:pPr>
        <w:spacing w:after="0" w:line="9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The Nasdaq Global Select Market symbol</w:t>
      </w:r>
      <w:r>
        <w:rPr>
          <w:sz w:val="20"/>
          <w:szCs w:val="20"/>
          <w:color w:val="auto"/>
        </w:rPr>
        <w:tab/>
      </w:r>
      <w:r>
        <w:rPr>
          <w:rFonts w:ascii="Times New Roman" w:cs="Times New Roman" w:eastAsia="Times New Roman" w:hAnsi="Times New Roman"/>
          <w:sz w:val="17"/>
          <w:szCs w:val="17"/>
          <w:color w:val="auto"/>
        </w:rPr>
        <w:t>ALEC</w:t>
      </w:r>
    </w:p>
    <w:p>
      <w:pPr>
        <w:spacing w:after="0" w:line="243"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111,025,187 shares of common stock outstanding as of March 31, 2026, and excludes the following:</w:t>
      </w:r>
    </w:p>
    <w:p>
      <w:pPr>
        <w:spacing w:after="0" w:line="67" w:lineRule="exact"/>
        <w:rPr>
          <w:sz w:val="20"/>
          <w:szCs w:val="20"/>
          <w:color w:val="auto"/>
        </w:rPr>
      </w:pPr>
    </w:p>
    <w:p>
      <w:pPr>
        <w:ind w:left="1240" w:right="300" w:hanging="415"/>
        <w:spacing w:after="0" w:line="266"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10,721,932 shares of common stock issuable upon exercise of options to purchase shares of our common stock outstanding as of March 31, 2026 under our 2017 Stock Option and Grant Plan (the “2017 Plan”); 2019 Equity Incentive Plan (the “2019 Plan”) and 2022 Inducement Equity Incentive Plan (the “Inducement Plan”), at a weighted-average exercise price of $11.20 per share;</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3,407,410 shares of common stock issuable pursuant to restricted stock units (“RSUs”), as of March 31, 2026 under our 2019 Plan and Inducement Plan;</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16,502,300 shares of common stock reserved for future issuance under our 2019 Plan as of March 31, 2026, as well as any automatic increases in the number of shares of common stock reserved for future issuance under this plan;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2,621,656 shares of common stock reserved for future issuance under our Inducement Plan as of March 31, 2026; and</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4,353,083 shares of common stock reserved for issuance under our 2019 Employee Stock Purchase Plan as of March 31, 2026, as well as any automatic increases in the number of shares of common stock reserved for future issuance under this plan.</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under the heading “Risk Factors” contained or incorporated by reference in this prospectus supplement and the accompanying prospectus, including the risk factors incorporated by reference herein from our most recent Annual Report on Form 10-K and our most recent Quarterly Report on Form 10-Q, as well as any amendments or updates thereto reflected in subsequent filings we make with the SEC.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any net proceeds from this offering and may not use them effectively.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cannot specify with certainty the particular uses of any net proceeds we will receive from this offering. Our management will have broad discretion in the application of the net proceeds, including for any of the purposes described in the section titled “Use of Proceeds.” We intend to use the net proceeds from this offering, if any, for general corporate purposes, which may include research, development and manufacturing of our product candidates, working capital, capital expenditures, other corporate expenses, and acquisitions of, or strategic transactions in, complementary products, technologies, or businesses.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common stock you purchase in the offering.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as adjusted net tangible book value per share of our common stock outstanding as of March 31, 2026. Assuming that an aggregate of $125,000,000 of shares of our common stock are sold at a price of $2.57 per share, the last reported sale price of our common stock on The Nasdaq Global Select Market on May 6, 2026, and after deducting commissions and estimated aggregate offering expenses payable by us, you will experience immediate dilution of $1.74 per share, representing the difference between our as adjusted net tangible book value per share as of March 31, 2026 after giving effect to this offering and the assumed offering price. The exercise of outstanding stock options and the vesting and settlement of outstanding RSUs could result in further dilution of your investment. See the section titled “Dilution” below for a more detailed illustration of the dilution you would incur if you participate in this offering.</w:t>
      </w:r>
    </w:p>
    <w:p>
      <w:pPr>
        <w:spacing w:after="0" w:line="293" w:lineRule="exact"/>
        <w:rPr>
          <w:sz w:val="20"/>
          <w:szCs w:val="20"/>
          <w:color w:val="auto"/>
        </w:rPr>
      </w:pPr>
    </w:p>
    <w:p>
      <w:pPr>
        <w:jc w:val="both"/>
        <w:ind w:left="120"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restrict our operations or require us to relinquish rights to our technologies or product candidates, and if we sell shares of our common stock in future financings, stockholders may experience immediate dilution and, as a result, our stock price may decline.</w:t>
      </w:r>
    </w:p>
    <w:p>
      <w:pPr>
        <w:spacing w:after="0" w:line="2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partnerships and marketing, distribution, or licensing arrangements. In order to raise additional capital, we may, in the future, offer additional shares of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common stock or other securities convertible into or exchangeable for our common stock at prices that may not be the same as the price per share in this offering. In addition, as opportunities present themselves, we may enter into financing or similar arrangements in the future, including the issuance of debt securities or preferred stock.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If we issue common stock or securities convertible into common stock, our stockholders would experience additional dilution and, as a result, our stock price may decline. Debt financing, if available,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partnerships or marketing, distribution, or licensing arrangements with third parties, we may have to relinquish valuable rights to our technologies, future revenue streams,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common stock in the public markets, or the perception of such sales, could depress the trading price of our common stock.</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and gross proceeds resulting from those sales, at any one time or in total, is uncertain.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shares that are sold by TD Cowen after delivery of a placement notice will fluctuate based on the market price of our common stock during the sales period and limits we set with TD Cowen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supplement, the accompanying prospectus, and the documents incorporated by reference herein and therein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development and manufacturing of our product candidates and research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advancing research and pre-clinical stage programs into clinical development and our ability to execute on those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positive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and the European Union who suffer from the diseases we are targeting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future clinical trials,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our sales and marketing strategy and the regions and countries selected for commercialization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diseases we are targeting;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product candidates into additional indications and patient populations;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special designations, such as orphan drug designation, for our product candidates for various diseases;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potential future government actions, legislation, regulations, regulatory developments, and regulatory agencies in the United States and other jurisdictions;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our personnel needs and to attract and retain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additional financing needs;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potential volatility in our stock price;</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macroeconomic conditions, inflation, supply chain disruptions, trade tariffs, economic impacts of pandemics or other public health outbreaks and geopolitical events, such as international conflict;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the net proceeds from any sales of our common stock in this offering, under this prospectus supplement.</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$125,000,000 from time to time. Because there is no minimum offering amount required as a condition to close this offering, the actual total public offering amount, commissions, and proceeds to us, if any, are not determinable at this time.</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if any, for general corporate purposes, which may include research, development, and manufacturing of our product candidates, working capital, capital expenditures, other corporate expenses, and acquisitions of, or strategic transactions in, complementary products, technologies, or businesses. We do not have agreements or commitments for any specific acquisitions or strategic transactions at this time.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timing and amount of our actual expenditures will be based on many factors, including cash flows from operations and the anticipated growth of our business. As of the date of this prospectus supplement, we cannot specify with certainty all of the particular uses for the net proceeds to us from this offering. As a result, our management will have broad discretion regarding the timing and application of the net proceeds from this offering. Pending their ultimate use, we intend to invest the net proceeds in short-term, investment-grade, interest-bearing instruments.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in this offering, your interest will be diluted to the extent of the difference between the public offering price per share and the as adjusted net tangible book value per share of our common stock after this offering.</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March 31, 2026, was $10.4 million, or $0.09 per share, based on the total number of shares of our common stock outstanding as of March 31, 2026. Net tangible book value is total tangible assets less our total liabilities divided by the number of outstanding shares of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giving effect to the sale of an aggregate of $125,000,000 of shares of common stock in this offering at an assumed public offering price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$2.57 per share, which was the closing price of our common stock as reported on The Nasdaq Global Select Market on May 6, 2026, and after deducting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 commissions and estimated aggregate offering expenses payable by us, our as adjusted net tangible book value as of March 31, 2026, would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been $132.6 million, or $0.83 per share of common stock. This represents an immediate increase in as adjusted net tangible book value of $0.74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to our existing stockholders and an immediate dilution in as adjusted net tangible book value of $1.74 per share to investors participating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offering. The following table illustrates this dilution per share to investors participating in this offering:</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w:t>
            </w: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investors in offering</w:t>
            </w:r>
          </w:p>
        </w:tc>
        <w:tc>
          <w:tcPr>
            <w:tcW w:w="14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$0.74</w:t>
            </w: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111,025,187 shares of common stock outstanding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2026, and excludes the following:</w:t>
      </w:r>
    </w:p>
    <w:p>
      <w:pPr>
        <w:spacing w:after="0" w:line="112" w:lineRule="exact"/>
        <w:rPr>
          <w:sz w:val="20"/>
          <w:szCs w:val="20"/>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10,721,932 shares of common stock issuable upon exercise of options to purchase shares of our common stock outstanding as of March 31, 2026 under our 2017 Plan; our 2019 Plan; and our Inducement Plan, at a weighted-average exercise price of $11.20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3,407,410 shares of common stock issuable pursuant to RSUs as of March 31, 2026 under our 2019 Plan and Inducement Plan;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16,502,300 shares of common stock reserved for future issuance under our 2019 Plan as of March 31, 2026, as well as any automatic increases in the number of shares of common stock reserved for future issuance under this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2,621,656 shares of common stock reserved for future issuance under our Inducement Plan as of March 31, 2026;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4,353,083 shares of common stock reserved for issuance under our 2019 Employee Stock Purchase Plan as of March 31, 2026, as well as any automatic increases in the number of shares of common stock reserved for future issuance under this plan.</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above illustration of dilution per share to investors participating in this offering assumes no exercise of outstanding options or vesting and settlement of outstanding RSUs. To the extent that any outstanding options are exercised or outstanding RSUs are vested and settled, there will be further dilution to new investors.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such securities could result in further dilution to our stockholders.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 sales agreement with TD Cowen, under which we may issue and sell from time to time up to $125,000,000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the Nasdaq Global Select Market or on any other existing trading market for our common stock, or by any other method permitted by law. Sales pursuant to the sales agreement may be made through an affiliate of TD Cowen.</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We or TD Cowen may suspend the offering of our common stock being made through TD Cowen under the sales agreement upon proper notice to the other party. We and TD Cowen each have the right, by giving written notice as specified in the sales agreement, to terminate the sales agreement in each party’s sole discretion at any time.</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the execution of the sales agreement, in addition to certain ongoing disbursements of its legal counsel. We estimate that the total expenses of the offering payable by us, excluding commissions payable to TD Cowen under the sales agreement, will be approximately $286,000.</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TD Cowen under the sales agreement and the net proceeds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w:t>
      </w:r>
    </w:p>
    <w:p>
      <w:pPr>
        <w:spacing w:after="0" w:line="207"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76"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TD Cowen may be deemed to be an “underwriter” within the meaning of the Securities Act and the compensation paid to TD Cowen may be deemed to be underwriting commissions or discounts. We have agreed in the sales agreement to provide indemnification and contribution to TD Cowen against certain liabilities, including liabilities under the Securities Act or the Exchange Act. As sales agent, TD Cowen will not engage in any transactions that stabilize our common stock.</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and trades under the symbol “ALEC.” The transfer agent of our common stock is Equiniti Trust Company, LLC.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commercial banking and other financial services for us and our affiliates for which they have received, and may in the future receive, customary fees. TD Cowen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TD Cowen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TD Cowen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Palo Alto, California, will pass upon the validity of the shares of common stock offered hereby. TD Cowen is being represented by Davis Polk &amp; Wardwell LLP, Redwood City, California in connection with this offering.</w:t>
      </w:r>
    </w:p>
    <w:p>
      <w:pPr>
        <w:spacing w:after="0" w:line="3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860"/>
          </w:cols>
          <w:pgMar w:left="320" w:top="455" w:right="7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offer and sale of our securities. This prospectus supplement and the accompanying prospectus, which constitute part of that registration statement, do not include all of the information contained in the registration statement and the accompanying exhibits. Whenever a reference is made in this prospectus supplement or in the accompanying prospectus to any of our contracts, agreements, or other documents, the reference may not be complete, and you should refer to the exhibits to the reports or other documents incorporated by reference into this prospectus supplement or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www.alector.com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40"/>
          </w:cols>
          <w:pgMar w:left="320" w:top="45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accompanying prospectus the information or documents listed below that we have filed with the SEC (Commission File No. 001-38792):</w:t>
      </w:r>
    </w:p>
    <w:p>
      <w:pPr>
        <w:spacing w:after="0" w:line="93"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25,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7, 2026;</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2025, from our </w:t>
      </w:r>
      <w:hyperlink r:id="rId34">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2026 annual meeting of stockholders, filed with the SEC on April 28, 2026;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35">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January 31, 2019, including any amendments thereto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Any documents we file with the SEC pursuant to Sections 13(a), 13(c), 14 or 15(d) of the Exchange Act after the date of this prospectus supplement and prior to the termination of the offering of our common stock to which this prospectus supplement relates will automatically be deemed to be incorporated by reference into this prospectus supplement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Alector,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 Oyster Point Blvd., Suite 600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ind w:left="5460" w:right="4940" w:hanging="398"/>
        <w:spacing w:after="0" w:line="472" w:lineRule="auto"/>
        <w:tabs>
          <w:tab w:leader="none" w:pos="550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231-5660 S-14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ALECTOR,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189865</wp:posOffset>
            </wp:positionV>
            <wp:extent cx="2151380" cy="643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21513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Up to $400,000,000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We may offer and sell the securities identified above from time to time in one or more offerings. This prospectus provides you with a general description of the securities.</w:t>
      </w:r>
    </w:p>
    <w:p>
      <w:pPr>
        <w:spacing w:after="0" w:line="163"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8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20" w:right="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4 OF THIS PROSPECTUS AND IN ANY SIMILAR SECTION CONTAINED IN OR INCORPORATED BY REFERENCE HEREIN OR IN THE APPLICABLE PROSPECTUS SUPPLEMENT CONCERNING FACTORS YOU SHOULD CONSIDER BEFORE INVESTING IN OUR SECURITIES.</w:t>
      </w:r>
    </w:p>
    <w:p>
      <w:pPr>
        <w:spacing w:after="0" w:line="182"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(“Nasdaq”) under the symbol “ALEC.” On March 11, 2026, the last reported sale price of our common stock on Nasdaq was $2.32 per share.</w:t>
      </w:r>
    </w:p>
    <w:p>
      <w:pPr>
        <w:spacing w:after="0" w:line="159"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200660</wp:posOffset>
            </wp:positionV>
            <wp:extent cx="147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The date of this prospectus is April 30, 2026.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40" w:type="dxa"/>
            <w:vAlign w:val="bottom"/>
            <w:tcBorders>
              <w:top w:val="single" w:sz="8" w:color="0000EE"/>
            </w:tcBorders>
            <w:gridSpan w:val="5"/>
          </w:tcPr>
          <w:p>
            <w:pPr>
              <w:spacing w:after="0"/>
              <w:rPr>
                <w:sz w:val="17"/>
                <w:szCs w:val="17"/>
                <w:color w:val="auto"/>
              </w:rPr>
            </w:pP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0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8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6"/>
          </w:tcPr>
          <w:p>
            <w:pPr>
              <w:spacing w:after="0"/>
              <w:rPr>
                <w:sz w:val="17"/>
                <w:szCs w:val="17"/>
                <w:color w:val="auto"/>
              </w:rPr>
            </w:pPr>
          </w:p>
        </w:tc>
        <w:tc>
          <w:tcPr>
            <w:tcW w:w="44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59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8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Pursuant to Rule 415(a)(6), the securities being registered hereunder include $308,196,683.14 of unsold securities which remain unsold as of the date hereof (the “Unsold Securities”) previously registered by the registrant’s registration on Form S-3 (File No. 333-270126) which was initially filed with the Securities and Exchange Commission on February 28, 2023 and declared effective on May 1, 2023 (the “Prior Registration Statement”). The aggregate filing fee paid in connection with such Unsold Securities was $18,961.80. Pursuant to Rule 415(a)(6) under the Securities Act, (i) the registration fee applicable to the Unsold Securities is being carried forward to this registration statement and will continue to be applied to the Unsold Securities and (ii) the offering of the Unsold Securities registered on the Prior Registration Statement will be deemed terminated as of the date of effectiveness of this registration statement. If,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and the updated amount of new securities to be registered on this registration statement.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w:t>
      </w:r>
    </w:p>
    <w:p>
      <w:pPr>
        <w:spacing w:after="0" w:line="19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9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When we refer to “Alector,” “we,” “our,” “us” and the “Company” in this prospectus, we mean Alector, Inc., unless the context indicates otherwise or unless otherwise specified. When we refer to “you,” we mean the holders of the applicable series of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are a clinical stage biotechnology company developing therapies for neurodegenerative diseases, with a focus on areas of high unmet medical need. Our work is informed by advances in disease biology, including the roles of misfolded or deficient proteins, lysosomal dysfunction, and immune and neuronal pathway disruption.</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objective is to develop product candidates that address disease through targeted mechanisms, such as removing pathogenic proteins, replacing deficient proteins, and restoring normal cellular function. We are advancing a portfolio of programs focused on genetically validated targets, supported by our expertise in drug development, protein engineering, and antibody discovery.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key component of our strategy is the development and application of our Alector Brain Carrier (ABC) platform, a proprietary blood-brain barrier</w:t>
      </w:r>
    </w:p>
    <w:p>
      <w:pPr>
        <w:spacing w:after="0" w:line="27" w:lineRule="exact"/>
        <w:rPr>
          <w:sz w:val="20"/>
          <w:szCs w:val="20"/>
          <w:color w:val="auto"/>
        </w:rPr>
      </w:pPr>
    </w:p>
    <w:p>
      <w:pPr>
        <w:ind w:left="120" w:right="100" w:hanging="4"/>
        <w:spacing w:after="0" w:line="253" w:lineRule="auto"/>
        <w:tabs>
          <w:tab w:leader="none" w:pos="6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technology designed to improve central nervous system exposure across multiple therapeutic modalities. We continue to refine and expand this platform to enable effective brain delivery at clinically practical doses of antibodies, enzymes, and siRNA therapeutics. In parallel, we are investing in biomarkers and biomarker assays to guide patient selection, demonstrate target and pathway engagement, and assess biological impact in the clinic, with the goal of improving development efficiency and the likelihood of technical success.</w:t>
      </w:r>
    </w:p>
    <w:p>
      <w:pPr>
        <w:spacing w:after="0" w:line="18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Our portfolio includes nivisnebart (formerly AL101/GSK4527226), an investigational progranulin (PGRN)-elevating antibody that has completed enrollment in a placebo-controlled, double-blinded Phase 2 study in early Alzheimer’s disease under our 2021 collaboration with GlaxoSmithKline (GSK).</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our wholly owned programs include lead candidates in preclinical development for a brain-penetrant anti-amyloid beta antibody for Alzheimer’s disease (AD) and a brain-penetrant GCase enzyme replacement therapy for Parkinson’s disease (PD) and Lewy body dementia (LBD). We are also advancing brain-penetrant siRNA programs targeting tau for Alzheimer’s disease, α-synuclein for Parkinson’s disease, and NLRP3, with potential applications across multiple neurodegenerative conditions.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55" w:right="5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8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development and manufacturing of our product candidates and research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advancing research and pre-clinical stage programs into clinical development and our ability to execute on those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positive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and the European Union who suffer from the diseases we are targeting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future clinical trials,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our sales and marketing strategy and the regions and countries selected for commercialization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diseases we are targeting;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product candidates into additional indications and patient populations;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special designations, such as orphan drug designation, for our product candidates for various diseases;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potential future government actions, legislation, regulations, regulatory developments, and regulatory agencies in the United States and other jurisdictions;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our personnel needs and to attract and retain personnel;</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additional financing needs;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potential volatility in our stock price;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macroeconomic conditions, inflation, supply chain disruptions, trade tariffs, and economic impacts of pandemics or other public health outbreaks and geopolitical events on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and</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 We will retain broad discretion over the use of the net proceeds to us from the sale of our securities under this prospectus. Pending these uses, we may invest the net proceeds of this offering in short and intermediate-term investment grade instruments, certificates of deposit or guaranteed obligations of the U.S. government in accordance with our investment policy.</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320" w:top="455" w:right="7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par value $0.0001 per share,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par value $0.0001 per share,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senior or subordinated, and which may be convertible into our common stock or be non-convertible;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our common stock or preferred stock or other securities from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representing two or more of the foregoing securities.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and/or free writing prospectus a description of any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were filed with the SEC and referenced in the exhibits to our registration statement, of which this prospectus forms a part.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par value $0.0001 per share, and 20,000,000 shares of convertible preferred stock, par value $0.0001 per share. All of our outstanding shares of common stock are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left="120" w:right="640"/>
        <w:spacing w:after="0" w:line="312"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(“Nasdaq”) under the symbol “ALEC.” The transfer agent and registrar for our common stock is Equiniti Trust Company, LLC. The transfer agent and registrar’s address is 28 Liberty Street, Floor 53, New York, NY 10005.</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 In addition, the payment of dividends on our common stock may be restricted by the provisions of our existing debt agreements or other financing documents that we may enter into or the terms of securities that we may issue from time to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Our board of directors has the authority, without further action by the stockholders, to issue up to 20,000,000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w:t>
      </w:r>
    </w:p>
    <w:p>
      <w:pPr>
        <w:spacing w:after="0" w:line="27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Our Amended and Restated Certificate of Incorporation and Our Amended and Restated Bylaws</w:t>
      </w:r>
    </w:p>
    <w:p>
      <w:pPr>
        <w:spacing w:after="0" w:line="5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our board of directors is divided into three classes, designated Class I, Class II, and Class III. Each class is an equal number of directors, as nearly as possible, consisting of one-third of the total number of directors constituting the entire board of directors. The term of initial Class I directors terminated on the date of the 2022 annual meeting, the term of the initial Class II directors terminated on the date of the 2020 annual meeting, and the term of the initial Class III directors terminated on the date of the 2021 annual meeting. At each annual meeting of stockholders, successors to the class of directors whose term expires at that annual meeting will be elected for a three-year term.</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provides that, except as otherwise required by law, special meetings of the stockholders may be called only by the Chairperson of our board of directors, the Chief Executive Officer, the President, or our board of directors acting pursuant to a resolution adopted by a majority of the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 for Director Nominations</w:t>
      </w:r>
    </w:p>
    <w:p>
      <w:pPr>
        <w:spacing w:after="0" w:line="121"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Our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Amending our Certificate of Incorporation and Bylaws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certain provisions set forth in the bylaws,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400"/>
        <w:spacing w:after="0" w:line="281" w:lineRule="auto"/>
        <w:rPr>
          <w:sz w:val="20"/>
          <w:szCs w:val="20"/>
          <w:color w:val="auto"/>
        </w:rPr>
      </w:pPr>
      <w:r>
        <w:rPr>
          <w:rFonts w:ascii="Times New Roman" w:cs="Times New Roman" w:eastAsia="Times New Roman" w:hAnsi="Times New Roman"/>
          <w:sz w:val="17"/>
          <w:szCs w:val="17"/>
          <w:color w:val="auto"/>
        </w:rPr>
        <w:t>Our authorized but unissued shares of common stock and preferred stock are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to the selection of an alternative forum, the Court of Chancery of the State of Delaware, or if the Court of Chancery does not have jurisdiction, another state court in Delaware or the federal district court for the District of Delaware, is the exclusive forum for (i) any derivative action or proceeding brought on behalf of us, (ii) any action asserting a claim of breach of a fiduciary duty owed by any director, officer, or other employee to the us or our stockholders, (iii) any action arising pursuant to any provision of the DGCL or our certificate of incorporation or bylaws (as either may be amended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from time to time), or (iv) any action asserting a claim governed by the internal affairs doctrine, except, in each case, (A) any claim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Additionally, unless we consent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our securities, including, without limitation and for the avoidance of doubt, any auditor, underwriter, expert, control person or other defendant. Although our amended and restated bylaws contain the exclusive of forum provisions described above, it is possible that a court could find that such provision is inapplicable for a particular claim or action or that such provision is unenforceable, and our stockholders will not be deemed to have waived our compliance with the federal securities laws and the rules and regulations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9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360" w:firstLine="536"/>
        <w:spacing w:after="0" w:line="578" w:lineRule="auto"/>
        <w:tabs>
          <w:tab w:leader="none" w:pos="109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5540" w:right="20" w:hanging="4884"/>
        <w:spacing w:after="0" w:line="454" w:lineRule="auto"/>
        <w:tabs>
          <w:tab w:leader="none" w:pos="10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 17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7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right="49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b w:val="1"/>
          <w:bCs w:val="1"/>
          <w:i w:val="1"/>
          <w:iCs w:val="1"/>
          <w:color w:val="auto"/>
        </w:rPr>
        <w:t>Legal Defeasance</w:t>
      </w: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131" w:lineRule="exact"/>
        <w:rPr>
          <w:sz w:val="20"/>
          <w:szCs w:val="20"/>
          <w:color w:val="auto"/>
        </w:rPr>
      </w:pPr>
    </w:p>
    <w:p>
      <w:pPr>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or preferred stock. We may offer warrants separately or together with one or more additional warrants, common stock, preferred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as applicable:</w:t>
      </w:r>
    </w:p>
    <w:p>
      <w:pPr>
        <w:spacing w:after="0" w:line="8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common stock or preferred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common stock, or preferred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320" w:top="455" w:right="5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7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320" w:top="455" w:right="5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common stock and warrants to purchase preferred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87"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included in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dealer may then resell such securities to the public at varying prices to be determined by such dealer at the time of resale.</w:t>
      </w:r>
    </w:p>
    <w:p>
      <w:pPr>
        <w:spacing w:after="0" w:line="20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320" w:top="455" w:right="5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2"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Palo Alto, California, will pass upon certain legal matters relating to the issuance and sale of the securities offered hereby on behalf of Alector, Inc.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www.alector.com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25, 2026;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35">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January 31, 2019, including any amendments thereto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Any documents we file with the SEC pursuant to Section 13(a), 13(c), 14 or 15(d) of the Exchange Act after the date of the initial registration statement of which this prospectus forms a part and prior to the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Alector,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 Oyster Point Blvd., Suite 600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(415) 231-5660</w:t>
      </w:r>
    </w:p>
    <w:p>
      <w:pPr>
        <w:spacing w:after="0" w:line="207" w:lineRule="exact"/>
        <w:rPr>
          <w:rFonts w:ascii="Times New Roman" w:cs="Times New Roman" w:eastAsia="Times New Roman" w:hAnsi="Times New Roman"/>
          <w:sz w:val="18"/>
          <w:szCs w:val="18"/>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information accessible through any website referred to in this prospectus or any document incorporated herein is not, and should not be deemed to be, a part of this prospectus.</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9"/>
          <w:szCs w:val="29"/>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180975</wp:posOffset>
            </wp:positionV>
            <wp:extent cx="2880360" cy="805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8803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1275715</wp:posOffset>
            </wp:positionV>
            <wp:extent cx="1474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5"/>
          <w:szCs w:val="25"/>
          <w:b w:val="1"/>
          <w:bCs w:val="1"/>
          <w:color w:val="auto"/>
        </w:rPr>
        <w:t>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808355</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876935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415"/>
    </w:lvl>
  </w:abstractNum>
  <w:abstractNum w:abstractNumId="6">
    <w:nsid w:val="519B500D"/>
    <w:multiLevelType w:val="hybridMultilevel"/>
    <w:lvl w:ilvl="0">
      <w:lvlJc w:val="left"/>
      <w:lvlText w:val="(%1)"/>
      <w:numFmt w:val="upperLetter"/>
      <w:start w:val="54"/>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jpe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jpe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32" Type="http://schemas.openxmlformats.org/officeDocument/2006/relationships/hyperlink" Target="http://www.sec.gov/ix?doc=/Archives/edgar/data/0001653087/000119312526071593/alec-20251231.htm" TargetMode="External"/><Relationship Id="rId33" Type="http://schemas.openxmlformats.org/officeDocument/2006/relationships/hyperlink" Target="http://www.sec.gov/ix?doc=/Archives/edgar/data/0001653087/000119312526211981/alec-20260331.htm" TargetMode="External"/><Relationship Id="rId34" Type="http://schemas.openxmlformats.org/officeDocument/2006/relationships/hyperlink" Target="http://www.sec.gov/ix?doc=/Archives/edgar/data/1653087/000119312526186928/alec-20260421.htm" TargetMode="External"/><Relationship Id="rId35" Type="http://schemas.openxmlformats.org/officeDocument/2006/relationships/hyperlink" Target="http://www.sec.gov/Archives/edgar/data/1653087/000119312519024072/d708505d8a12b.htm" TargetMode="External"/><Relationship Id="rId70" Type="http://schemas.openxmlformats.org/officeDocument/2006/relationships/hyperlink" Target="http://www.sec.gov/ix?doc=/Archives/edgar/data/1653087/000119312526071593/alec-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2026-05-07T16:17:55Z</dcterms:created>
  <dcterms:modified xsi:type="dcterms:W3CDTF">2026-05-07T16:17:55Z</dcterms:modified>
</cp:coreProperties>
</file>