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jc w:val="center"/>
        <w:spacing w:after="0" w:line="224" w:lineRule="auto"/>
        <w:rPr>
          <w:sz w:val="20"/>
          <w:szCs w:val="20"/>
          <w:color w:val="auto"/>
        </w:rPr>
      </w:pPr>
      <w:r>
        <w:rPr>
          <w:rFonts w:ascii="Arial" w:cs="Arial" w:eastAsia="Arial" w:hAnsi="Arial"/>
          <w:sz w:val="28"/>
          <w:szCs w:val="28"/>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635</wp:posOffset>
            </wp:positionV>
            <wp:extent cx="5891530" cy="3417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91530" cy="341757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highlight w:val="white"/>
        </w:rPr>
        <w:t xml:space="preserve">Washington, </w:t>
      </w:r>
      <w:r>
        <w:rPr>
          <w:rFonts w:ascii="Arial" w:cs="Arial" w:eastAsia="Arial" w:hAnsi="Arial"/>
          <w:sz w:val="18"/>
          <w:szCs w:val="18"/>
          <w:b w:val="1"/>
          <w:bCs w:val="1"/>
          <w:color w:val="auto"/>
        </w:rPr>
        <w:t>D.C. 20549</w:t>
      </w:r>
      <w:r>
        <w:rPr>
          <w:sz w:val="1"/>
          <w:szCs w:val="1"/>
          <w:color w:val="auto"/>
        </w:rPr>
        <w:drawing>
          <wp:inline distT="0" distB="0" distL="0" distR="0">
            <wp:extent cx="55880" cy="13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133350"/>
                    </a:xfrm>
                    <a:prstGeom prst="rect">
                      <a:avLst/>
                    </a:prstGeom>
                    <a:noFill/>
                    <a:ln>
                      <a:noFill/>
                    </a:ln>
                  </pic:spPr>
                </pic:pic>
              </a:graphicData>
            </a:graphic>
          </wp:inline>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highlight w:val="white"/>
        </w:rPr>
        <w:t xml:space="preserve">FORM </w:t>
      </w:r>
      <w:r>
        <w:rPr>
          <w:rFonts w:ascii="Arial" w:cs="Arial" w:eastAsia="Arial" w:hAnsi="Arial"/>
          <w:sz w:val="28"/>
          <w:szCs w:val="28"/>
          <w:b w:val="1"/>
          <w:bCs w:val="1"/>
          <w:color w:val="auto"/>
        </w:rPr>
        <w:t>10-K</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3560" w:right="1160" w:hanging="3386"/>
        <w:spacing w:after="0"/>
        <w:rPr>
          <w:sz w:val="20"/>
          <w:szCs w:val="20"/>
          <w:color w:val="auto"/>
        </w:rPr>
      </w:pPr>
      <w:r>
        <w:rPr>
          <w:sz w:val="1"/>
          <w:szCs w:val="1"/>
          <w:color w:val="auto"/>
        </w:rPr>
        <w:drawing>
          <wp:inline distT="0" distB="0" distL="0" distR="0">
            <wp:extent cx="217170" cy="158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170" cy="158115"/>
                    </a:xfrm>
                    <a:prstGeom prst="rect">
                      <a:avLst/>
                    </a:prstGeom>
                    <a:noFill/>
                    <a:ln>
                      <a:noFill/>
                    </a:ln>
                  </pic:spPr>
                </pic:pic>
              </a:graphicData>
            </a:graphic>
          </wp:inline>
        </w:drawing>
      </w:r>
      <w:r>
        <w:rPr>
          <w:rFonts w:ascii="Arial" w:cs="Arial" w:eastAsia="Arial" w:hAnsi="Arial"/>
          <w:sz w:val="18"/>
          <w:szCs w:val="18"/>
          <w:b w:val="1"/>
          <w:bCs w:val="1"/>
          <w:color w:val="auto"/>
          <w:highlight w:val="white"/>
        </w:rPr>
        <w:t>ANNUAL REPORT PURSUANT TO SECTION 13 OR 15(d) OF THE SECURITIES EXCHANGE ACT OF 1934</w:t>
      </w:r>
      <w:r>
        <w:rPr>
          <w:sz w:val="1"/>
          <w:szCs w:val="1"/>
          <w:color w:val="auto"/>
        </w:rPr>
        <w:drawing>
          <wp:inline distT="0" distB="0" distL="0" distR="0">
            <wp:extent cx="55880" cy="158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158115"/>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For the fiscal year ended December 31,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highlight w:val="white"/>
        </w:rPr>
        <w:t>OR</w:t>
      </w:r>
    </w:p>
    <w:p>
      <w:pPr>
        <w:spacing w:after="0" w:line="115" w:lineRule="auto"/>
        <w:rPr>
          <w:sz w:val="24"/>
          <w:szCs w:val="24"/>
          <w:color w:val="auto"/>
        </w:rPr>
      </w:pPr>
      <w:r>
        <w:rPr>
          <w:rFonts w:ascii="Arial" w:cs="Arial" w:eastAsia="Arial" w:hAnsi="Arial"/>
          <w:sz w:val="1"/>
          <w:szCs w:val="1"/>
          <w:b w:val="1"/>
          <w:bCs w:val="1"/>
          <w:color w:val="auto"/>
          <w:highlight w:val="white"/>
        </w:rPr>
        <w:t>TRANSITION REPORT PURSUANT TO SECTION 13 OR 15(d) OF THE SECURITIES EXCHANGE ACT OF 1934 FOR THE</w:t>
      </w:r>
    </w:p>
    <w:p>
      <w:pPr>
        <w:spacing w:after="0" w:line="203" w:lineRule="exact"/>
        <w:rPr>
          <w:sz w:val="24"/>
          <w:szCs w:val="24"/>
          <w:color w:val="auto"/>
        </w:rPr>
      </w:pPr>
    </w:p>
    <w:p>
      <w:pPr>
        <w:ind w:left="50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w:t>
      </w:r>
      <w:r>
        <w:rPr>
          <w:rFonts w:ascii="Arial" w:cs="Arial" w:eastAsia="Arial" w:hAnsi="Arial"/>
          <w:sz w:val="16"/>
          <w:szCs w:val="16"/>
          <w:b w:val="1"/>
          <w:bCs w:val="1"/>
          <w:color w:val="auto"/>
          <w:highlight w:val="white"/>
        </w:rPr>
        <w:t>Number</w:t>
      </w:r>
      <w:r>
        <w:rPr>
          <w:rFonts w:ascii="Arial" w:cs="Arial" w:eastAsia="Arial" w:hAnsi="Arial"/>
          <w:sz w:val="16"/>
          <w:szCs w:val="16"/>
          <w:b w:val="1"/>
          <w:bCs w:val="1"/>
          <w:color w:val="auto"/>
        </w:rPr>
        <w:t xml:space="preserve"> 001-38792</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 xml:space="preserve">Alector, </w:t>
      </w:r>
      <w:r>
        <w:rPr>
          <w:rFonts w:ascii="Arial" w:cs="Arial" w:eastAsia="Arial" w:hAnsi="Arial"/>
          <w:sz w:val="40"/>
          <w:szCs w:val="40"/>
          <w:b w:val="1"/>
          <w:bCs w:val="1"/>
          <w:color w:val="auto"/>
          <w:highlight w:val="white"/>
        </w:rPr>
        <w:t>Inc.</w:t>
      </w:r>
    </w:p>
    <w:p>
      <w:pPr>
        <w:jc w:val="center"/>
        <w:ind w:right="-59"/>
        <w:spacing w:after="0"/>
        <w:rPr>
          <w:sz w:val="20"/>
          <w:szCs w:val="20"/>
          <w:color w:val="auto"/>
        </w:rPr>
      </w:pPr>
      <w:r>
        <w:rPr>
          <w:rFonts w:ascii="Arial" w:cs="Arial" w:eastAsia="Arial" w:hAnsi="Arial"/>
          <w:sz w:val="16"/>
          <w:szCs w:val="16"/>
          <w:b w:val="1"/>
          <w:bCs w:val="1"/>
          <w:color w:val="auto"/>
          <w:highlight w:val="white"/>
        </w:rPr>
        <w:t>(Exact name of Registrant</w:t>
      </w:r>
      <w:r>
        <w:rPr>
          <w:sz w:val="1"/>
          <w:szCs w:val="1"/>
          <w:color w:val="auto"/>
        </w:rPr>
        <w:drawing>
          <wp:inline distT="0" distB="0" distL="0" distR="0">
            <wp:extent cx="52705" cy="11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05" cy="114300"/>
                    </a:xfrm>
                    <a:prstGeom prst="rect">
                      <a:avLst/>
                    </a:prstGeom>
                    <a:noFill/>
                    <a:ln>
                      <a:noFill/>
                    </a:ln>
                  </pic:spPr>
                </pic:pic>
              </a:graphicData>
            </a:graphic>
          </wp:inline>
        </w:drawing>
      </w:r>
      <w:r>
        <w:rPr>
          <w:rFonts w:ascii="Arial" w:cs="Arial" w:eastAsia="Arial" w:hAnsi="Arial"/>
          <w:sz w:val="16"/>
          <w:szCs w:val="16"/>
          <w:b w:val="1"/>
          <w:bCs w:val="1"/>
          <w:color w:val="auto"/>
        </w:rPr>
        <w:t xml:space="preserve">as </w:t>
      </w:r>
      <w:r>
        <w:rPr>
          <w:rFonts w:ascii="Arial" w:cs="Arial" w:eastAsia="Arial" w:hAnsi="Arial"/>
          <w:sz w:val="16"/>
          <w:szCs w:val="16"/>
          <w:b w:val="1"/>
          <w:bCs w:val="1"/>
          <w:color w:val="auto"/>
          <w:highlight w:val="white"/>
        </w:rPr>
        <w:t>specified in its Charter)</w:t>
      </w:r>
      <w:r>
        <w:rPr>
          <w:sz w:val="1"/>
          <w:szCs w:val="1"/>
          <w:color w:val="auto"/>
        </w:rPr>
        <w:drawing>
          <wp:inline distT="0" distB="0" distL="0" distR="0">
            <wp:extent cx="52705" cy="114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05" cy="114300"/>
                    </a:xfrm>
                    <a:prstGeom prst="rect">
                      <a:avLst/>
                    </a:prstGeom>
                    <a:noFill/>
                    <a:ln>
                      <a:noFill/>
                    </a:ln>
                  </pic:spPr>
                </pic:pic>
              </a:graphicData>
            </a:graphic>
          </wp:inline>
        </w:drawing>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040" w:type="dxa"/>
            <w:vAlign w:val="bottom"/>
          </w:tcPr>
          <w:p>
            <w:pPr>
              <w:ind w:left="1180"/>
              <w:spacing w:after="0"/>
              <w:rPr>
                <w:sz w:val="20"/>
                <w:szCs w:val="20"/>
                <w:color w:val="auto"/>
              </w:rPr>
            </w:pPr>
            <w:r>
              <w:rPr>
                <w:rFonts w:ascii="Arial" w:cs="Arial" w:eastAsia="Arial" w:hAnsi="Arial"/>
                <w:sz w:val="18"/>
                <w:szCs w:val="18"/>
                <w:b w:val="1"/>
                <w:bCs w:val="1"/>
                <w:color w:val="auto"/>
              </w:rPr>
              <w:t>Delaware</w:t>
            </w:r>
          </w:p>
        </w:tc>
        <w:tc>
          <w:tcPr>
            <w:tcW w:w="3260" w:type="dxa"/>
            <w:vAlign w:val="bottom"/>
            <w:gridSpan w:val="2"/>
          </w:tcPr>
          <w:p>
            <w:pPr>
              <w:jc w:val="right"/>
              <w:ind w:right="677"/>
              <w:spacing w:after="0"/>
              <w:rPr>
                <w:sz w:val="20"/>
                <w:szCs w:val="20"/>
                <w:color w:val="auto"/>
              </w:rPr>
            </w:pPr>
            <w:r>
              <w:rPr>
                <w:rFonts w:ascii="Arial" w:cs="Arial" w:eastAsia="Arial" w:hAnsi="Arial"/>
                <w:sz w:val="18"/>
                <w:szCs w:val="18"/>
                <w:b w:val="1"/>
                <w:bCs w:val="1"/>
                <w:color w:val="auto"/>
              </w:rPr>
              <w:t>001-38792</w:t>
            </w:r>
          </w:p>
        </w:tc>
        <w:tc>
          <w:tcPr>
            <w:tcW w:w="520" w:type="dxa"/>
            <w:vAlign w:val="bottom"/>
          </w:tcPr>
          <w:p>
            <w:pPr>
              <w:spacing w:after="0"/>
              <w:rPr>
                <w:sz w:val="17"/>
                <w:szCs w:val="17"/>
                <w:color w:val="auto"/>
              </w:rPr>
            </w:pPr>
          </w:p>
        </w:tc>
        <w:tc>
          <w:tcPr>
            <w:tcW w:w="370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82-2933343</w:t>
            </w:r>
          </w:p>
        </w:tc>
      </w:tr>
      <w:tr>
        <w:trPr>
          <w:trHeight w:val="162"/>
        </w:trPr>
        <w:tc>
          <w:tcPr>
            <w:tcW w:w="3040" w:type="dxa"/>
            <w:vAlign w:val="bottom"/>
          </w:tcPr>
          <w:p>
            <w:pPr>
              <w:ind w:left="320"/>
              <w:spacing w:after="0"/>
              <w:rPr>
                <w:sz w:val="20"/>
                <w:szCs w:val="20"/>
                <w:color w:val="auto"/>
              </w:rPr>
            </w:pPr>
            <w:r>
              <w:rPr>
                <w:rFonts w:ascii="Arial" w:cs="Arial" w:eastAsia="Arial" w:hAnsi="Arial"/>
                <w:sz w:val="14"/>
                <w:szCs w:val="14"/>
                <w:b w:val="1"/>
                <w:bCs w:val="1"/>
                <w:color w:val="auto"/>
                <w:w w:val="92"/>
              </w:rPr>
              <w:t xml:space="preserve">(State or other jurisdiction of </w:t>
            </w:r>
            <w:r>
              <w:rPr>
                <w:rFonts w:ascii="Arial" w:cs="Arial" w:eastAsia="Arial" w:hAnsi="Arial"/>
                <w:sz w:val="14"/>
                <w:szCs w:val="14"/>
                <w:b w:val="1"/>
                <w:bCs w:val="1"/>
                <w:color w:val="auto"/>
                <w:highlight w:val="white"/>
                <w:w w:val="92"/>
              </w:rPr>
              <w:t>incorporation)</w:t>
            </w:r>
          </w:p>
        </w:tc>
        <w:tc>
          <w:tcPr>
            <w:tcW w:w="500" w:type="dxa"/>
            <w:vAlign w:val="bottom"/>
          </w:tcPr>
          <w:p>
            <w:pPr>
              <w:spacing w:after="0"/>
              <w:rPr>
                <w:sz w:val="14"/>
                <w:szCs w:val="14"/>
                <w:color w:val="auto"/>
              </w:rPr>
            </w:pPr>
          </w:p>
        </w:tc>
        <w:tc>
          <w:tcPr>
            <w:tcW w:w="3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highlight w:val="white"/>
                <w:w w:val="87"/>
              </w:rPr>
              <w:t>(Commission File Number)</w:t>
            </w:r>
          </w:p>
        </w:tc>
        <w:tc>
          <w:tcPr>
            <w:tcW w:w="3700" w:type="dxa"/>
            <w:vAlign w:val="bottom"/>
          </w:tcPr>
          <w:p>
            <w:pPr>
              <w:jc w:val="center"/>
              <w:ind w:left="202"/>
              <w:spacing w:after="0"/>
              <w:rPr>
                <w:sz w:val="20"/>
                <w:szCs w:val="20"/>
                <w:color w:val="auto"/>
              </w:rPr>
            </w:pPr>
            <w:r>
              <w:rPr>
                <w:rFonts w:ascii="Arial" w:cs="Arial" w:eastAsia="Arial" w:hAnsi="Arial"/>
                <w:sz w:val="14"/>
                <w:szCs w:val="14"/>
                <w:b w:val="1"/>
                <w:bCs w:val="1"/>
                <w:color w:val="auto"/>
                <w:highlight w:val="white"/>
                <w:w w:val="89"/>
              </w:rPr>
              <w:t>(IRS Employer</w:t>
            </w:r>
          </w:p>
        </w:tc>
      </w:tr>
      <w:tr>
        <w:trPr>
          <w:trHeight w:val="161"/>
        </w:trPr>
        <w:tc>
          <w:tcPr>
            <w:tcW w:w="3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700" w:type="dxa"/>
            <w:vAlign w:val="bottom"/>
          </w:tcPr>
          <w:p>
            <w:pPr>
              <w:jc w:val="center"/>
              <w:ind w:left="182"/>
              <w:spacing w:after="0"/>
              <w:rPr>
                <w:sz w:val="20"/>
                <w:szCs w:val="20"/>
                <w:color w:val="auto"/>
              </w:rPr>
            </w:pPr>
            <w:r>
              <w:rPr>
                <w:rFonts w:ascii="Arial" w:cs="Arial" w:eastAsia="Arial" w:hAnsi="Arial"/>
                <w:sz w:val="14"/>
                <w:szCs w:val="14"/>
                <w:b w:val="1"/>
                <w:bCs w:val="1"/>
                <w:color w:val="auto"/>
                <w:highlight w:val="white"/>
                <w:w w:val="87"/>
              </w:rPr>
              <w:t>Identification No.)</w:t>
            </w:r>
          </w:p>
        </w:tc>
      </w:tr>
      <w:tr>
        <w:trPr>
          <w:trHeight w:val="205"/>
        </w:trPr>
        <w:tc>
          <w:tcPr>
            <w:tcW w:w="3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80" w:type="dxa"/>
            <w:vAlign w:val="bottom"/>
            <w:gridSpan w:val="2"/>
          </w:tcPr>
          <w:p>
            <w:pPr>
              <w:jc w:val="center"/>
              <w:ind w:left="77"/>
              <w:spacing w:after="0" w:line="205" w:lineRule="exact"/>
              <w:rPr>
                <w:sz w:val="20"/>
                <w:szCs w:val="20"/>
                <w:color w:val="auto"/>
              </w:rPr>
            </w:pPr>
            <w:r>
              <w:rPr>
                <w:rFonts w:ascii="Arial" w:cs="Arial" w:eastAsia="Arial" w:hAnsi="Arial"/>
                <w:sz w:val="18"/>
                <w:szCs w:val="18"/>
                <w:b w:val="1"/>
                <w:bCs w:val="1"/>
                <w:color w:val="auto"/>
                <w:highlight w:val="white"/>
                <w:w w:val="90"/>
              </w:rPr>
              <w:t>131 Oyster Point Blvd, Suite 600</w:t>
            </w:r>
          </w:p>
        </w:tc>
        <w:tc>
          <w:tcPr>
            <w:tcW w:w="3700" w:type="dxa"/>
            <w:vAlign w:val="bottom"/>
          </w:tcPr>
          <w:p>
            <w:pPr>
              <w:spacing w:after="0"/>
              <w:rPr>
                <w:sz w:val="17"/>
                <w:szCs w:val="17"/>
                <w:color w:val="auto"/>
              </w:rPr>
            </w:pPr>
          </w:p>
        </w:tc>
      </w:tr>
      <w:tr>
        <w:trPr>
          <w:trHeight w:val="209"/>
        </w:trPr>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8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highlight w:val="white"/>
                <w:w w:val="90"/>
              </w:rPr>
              <w:t>South San Francisco, California 94080</w:t>
            </w:r>
          </w:p>
        </w:tc>
        <w:tc>
          <w:tcPr>
            <w:tcW w:w="3700" w:type="dxa"/>
            <w:vAlign w:val="bottom"/>
          </w:tcPr>
          <w:p>
            <w:pPr>
              <w:spacing w:after="0"/>
              <w:rPr>
                <w:sz w:val="18"/>
                <w:szCs w:val="18"/>
                <w:color w:val="auto"/>
              </w:rPr>
            </w:pPr>
          </w:p>
        </w:tc>
      </w:tr>
      <w:tr>
        <w:trPr>
          <w:trHeight w:val="183"/>
        </w:trPr>
        <w:tc>
          <w:tcPr>
            <w:tcW w:w="3040" w:type="dxa"/>
            <w:vAlign w:val="bottom"/>
          </w:tcPr>
          <w:p>
            <w:pPr>
              <w:spacing w:after="0"/>
              <w:rPr>
                <w:sz w:val="15"/>
                <w:szCs w:val="15"/>
                <w:color w:val="auto"/>
              </w:rPr>
            </w:pPr>
          </w:p>
        </w:tc>
        <w:tc>
          <w:tcPr>
            <w:tcW w:w="7480" w:type="dxa"/>
            <w:vAlign w:val="bottom"/>
            <w:gridSpan w:val="4"/>
          </w:tcPr>
          <w:p>
            <w:pPr>
              <w:jc w:val="center"/>
              <w:ind w:right="2922"/>
              <w:spacing w:after="0"/>
              <w:rPr>
                <w:sz w:val="20"/>
                <w:szCs w:val="20"/>
                <w:color w:val="auto"/>
              </w:rPr>
            </w:pPr>
            <w:r>
              <w:rPr>
                <w:rFonts w:ascii="Arial" w:cs="Arial" w:eastAsia="Arial" w:hAnsi="Arial"/>
                <w:sz w:val="16"/>
                <w:szCs w:val="16"/>
                <w:b w:val="1"/>
                <w:bCs w:val="1"/>
                <w:color w:val="auto"/>
                <w:w w:val="84"/>
              </w:rPr>
              <w:t>(Address of principal executive offices, including zip code)</w:t>
            </w:r>
          </w:p>
        </w:tc>
      </w:tr>
      <w:tr>
        <w:trPr>
          <w:trHeight w:val="345"/>
        </w:trPr>
        <w:tc>
          <w:tcPr>
            <w:tcW w:w="3040" w:type="dxa"/>
            <w:vAlign w:val="bottom"/>
          </w:tcPr>
          <w:p>
            <w:pPr>
              <w:spacing w:after="0"/>
              <w:rPr>
                <w:sz w:val="24"/>
                <w:szCs w:val="24"/>
                <w:color w:val="auto"/>
              </w:rPr>
            </w:pPr>
          </w:p>
        </w:tc>
        <w:tc>
          <w:tcPr>
            <w:tcW w:w="3260" w:type="dxa"/>
            <w:vAlign w:val="bottom"/>
            <w:gridSpan w:val="2"/>
          </w:tcPr>
          <w:p>
            <w:pPr>
              <w:jc w:val="center"/>
              <w:ind w:left="1095"/>
              <w:spacing w:after="0"/>
              <w:rPr>
                <w:sz w:val="20"/>
                <w:szCs w:val="20"/>
                <w:color w:val="auto"/>
              </w:rPr>
            </w:pPr>
            <w:r>
              <w:rPr>
                <w:rFonts w:ascii="Arial" w:cs="Arial" w:eastAsia="Arial" w:hAnsi="Arial"/>
                <w:sz w:val="18"/>
                <w:szCs w:val="18"/>
                <w:b w:val="1"/>
                <w:bCs w:val="1"/>
                <w:color w:val="auto"/>
                <w:w w:val="90"/>
              </w:rPr>
              <w:t>(415) 231-5660</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3"/>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980" w:type="dxa"/>
            <w:vAlign w:val="bottom"/>
            <w:gridSpan w:val="3"/>
          </w:tcPr>
          <w:p>
            <w:pPr>
              <w:jc w:val="center"/>
              <w:ind w:right="3462"/>
              <w:spacing w:after="0"/>
              <w:rPr>
                <w:sz w:val="20"/>
                <w:szCs w:val="20"/>
                <w:color w:val="auto"/>
              </w:rPr>
            </w:pPr>
            <w:r>
              <w:rPr>
                <w:rFonts w:ascii="Arial" w:cs="Arial" w:eastAsia="Arial" w:hAnsi="Arial"/>
                <w:sz w:val="16"/>
                <w:szCs w:val="16"/>
                <w:b w:val="1"/>
                <w:bCs w:val="1"/>
                <w:color w:val="auto"/>
                <w:highlight w:val="white"/>
                <w:w w:val="83"/>
              </w:rPr>
              <w:t>(Registrant’s telephone number, including area code)</w:t>
            </w:r>
          </w:p>
        </w:tc>
      </w:tr>
      <w:tr>
        <w:trPr>
          <w:trHeight w:val="268"/>
        </w:trPr>
        <w:tc>
          <w:tcPr>
            <w:tcW w:w="3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8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highlight w:val="white"/>
                <w:w w:val="90"/>
              </w:rPr>
              <w:t>Not applicable</w:t>
            </w:r>
          </w:p>
        </w:tc>
        <w:tc>
          <w:tcPr>
            <w:tcW w:w="3700" w:type="dxa"/>
            <w:vAlign w:val="bottom"/>
          </w:tcPr>
          <w:p>
            <w:pPr>
              <w:spacing w:after="0"/>
              <w:rPr>
                <w:sz w:val="23"/>
                <w:szCs w:val="23"/>
                <w:color w:val="auto"/>
              </w:rPr>
            </w:pPr>
          </w:p>
        </w:tc>
      </w:tr>
      <w:tr>
        <w:trPr>
          <w:trHeight w:val="183"/>
        </w:trPr>
        <w:tc>
          <w:tcPr>
            <w:tcW w:w="3040" w:type="dxa"/>
            <w:vAlign w:val="bottom"/>
          </w:tcPr>
          <w:p>
            <w:pPr>
              <w:spacing w:after="0"/>
              <w:rPr>
                <w:sz w:val="15"/>
                <w:szCs w:val="15"/>
                <w:color w:val="auto"/>
              </w:rPr>
            </w:pPr>
          </w:p>
        </w:tc>
        <w:tc>
          <w:tcPr>
            <w:tcW w:w="7480" w:type="dxa"/>
            <w:vAlign w:val="bottom"/>
            <w:gridSpan w:val="4"/>
          </w:tcPr>
          <w:p>
            <w:pPr>
              <w:jc w:val="center"/>
              <w:ind w:right="2922"/>
              <w:spacing w:after="0"/>
              <w:rPr>
                <w:sz w:val="20"/>
                <w:szCs w:val="20"/>
                <w:color w:val="auto"/>
              </w:rPr>
            </w:pPr>
            <w:r>
              <w:rPr>
                <w:rFonts w:ascii="Arial" w:cs="Arial" w:eastAsia="Arial" w:hAnsi="Arial"/>
                <w:sz w:val="16"/>
                <w:szCs w:val="16"/>
                <w:b w:val="1"/>
                <w:bCs w:val="1"/>
                <w:color w:val="auto"/>
                <w:highlight w:val="white"/>
                <w:w w:val="83"/>
              </w:rPr>
              <w:t>(Former name or former address, if changed since last report)</w:t>
            </w:r>
          </w:p>
        </w:tc>
      </w:tr>
      <w:tr>
        <w:trPr>
          <w:trHeight w:val="478"/>
        </w:trPr>
        <w:tc>
          <w:tcPr>
            <w:tcW w:w="6820" w:type="dxa"/>
            <w:vAlign w:val="bottom"/>
            <w:gridSpan w:val="4"/>
          </w:tcPr>
          <w:p>
            <w:pPr>
              <w:ind w:left="500"/>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c>
          <w:tcPr>
            <w:tcW w:w="3700" w:type="dxa"/>
            <w:vAlign w:val="bottom"/>
          </w:tcPr>
          <w:p>
            <w:pPr>
              <w:spacing w:after="0"/>
              <w:rPr>
                <w:sz w:val="24"/>
                <w:szCs w:val="24"/>
                <w:color w:val="auto"/>
              </w:rPr>
            </w:pPr>
          </w:p>
        </w:tc>
      </w:tr>
      <w:tr>
        <w:trPr>
          <w:trHeight w:val="60"/>
        </w:trPr>
        <w:tc>
          <w:tcPr>
            <w:tcW w:w="30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r>
      <w:tr>
        <w:trPr>
          <w:trHeight w:val="172"/>
        </w:trPr>
        <w:tc>
          <w:tcPr>
            <w:tcW w:w="3040" w:type="dxa"/>
            <w:vAlign w:val="bottom"/>
            <w:tcBorders>
              <w:left w:val="single" w:sz="8" w:color="auto"/>
              <w:bottom w:val="single" w:sz="8" w:color="auto"/>
            </w:tcBorders>
          </w:tcPr>
          <w:p>
            <w:pPr>
              <w:ind w:left="1160"/>
              <w:spacing w:after="0" w:line="172" w:lineRule="exact"/>
              <w:rPr>
                <w:sz w:val="20"/>
                <w:szCs w:val="20"/>
                <w:color w:val="auto"/>
              </w:rPr>
            </w:pPr>
            <w:r>
              <w:rPr>
                <w:rFonts w:ascii="Arial" w:cs="Arial" w:eastAsia="Arial" w:hAnsi="Arial"/>
                <w:sz w:val="16"/>
                <w:szCs w:val="16"/>
                <w:b w:val="1"/>
                <w:bCs w:val="1"/>
                <w:color w:val="auto"/>
                <w:highlight w:val="white"/>
              </w:rPr>
              <w:t xml:space="preserve">Title </w:t>
            </w:r>
            <w:r>
              <w:rPr>
                <w:rFonts w:ascii="Arial" w:cs="Arial" w:eastAsia="Arial" w:hAnsi="Arial"/>
                <w:sz w:val="16"/>
                <w:szCs w:val="16"/>
                <w:b w:val="1"/>
                <w:bCs w:val="1"/>
                <w:color w:val="auto"/>
              </w:rPr>
              <w:t>of</w:t>
            </w:r>
            <w:r>
              <w:rPr>
                <w:rFonts w:ascii="Arial" w:cs="Arial" w:eastAsia="Arial" w:hAnsi="Arial"/>
                <w:sz w:val="16"/>
                <w:szCs w:val="16"/>
                <w:b w:val="1"/>
                <w:bCs w:val="1"/>
                <w:color w:val="auto"/>
                <w:highlight w:val="white"/>
              </w:rPr>
              <w:t xml:space="preserve"> each class</w:t>
            </w:r>
          </w:p>
        </w:tc>
        <w:tc>
          <w:tcPr>
            <w:tcW w:w="50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highlight w:val="white"/>
                <w:w w:val="92"/>
              </w:rPr>
              <w:t>Trading Symbol</w:t>
            </w:r>
          </w:p>
        </w:tc>
        <w:tc>
          <w:tcPr>
            <w:tcW w:w="520" w:type="dxa"/>
            <w:vAlign w:val="bottom"/>
          </w:tcPr>
          <w:p>
            <w:pPr>
              <w:spacing w:after="0"/>
              <w:rPr>
                <w:sz w:val="14"/>
                <w:szCs w:val="14"/>
                <w:color w:val="auto"/>
              </w:rPr>
            </w:pPr>
          </w:p>
        </w:tc>
        <w:tc>
          <w:tcPr>
            <w:tcW w:w="3700" w:type="dxa"/>
            <w:vAlign w:val="bottom"/>
            <w:tcBorders>
              <w:right w:val="single" w:sz="8" w:color="auto"/>
            </w:tcBorders>
          </w:tcPr>
          <w:p>
            <w:pPr>
              <w:jc w:val="center"/>
              <w:ind w:right="482"/>
              <w:spacing w:after="0" w:line="172" w:lineRule="exact"/>
              <w:rPr>
                <w:sz w:val="20"/>
                <w:szCs w:val="20"/>
                <w:color w:val="auto"/>
              </w:rPr>
            </w:pPr>
            <w:r>
              <w:rPr>
                <w:rFonts w:ascii="Arial" w:cs="Arial" w:eastAsia="Arial" w:hAnsi="Arial"/>
                <w:sz w:val="16"/>
                <w:szCs w:val="16"/>
                <w:b w:val="1"/>
                <w:bCs w:val="1"/>
                <w:color w:val="auto"/>
                <w:highlight w:val="white"/>
                <w:w w:val="88"/>
              </w:rPr>
              <w:t>Name of each exchange on which registered</w:t>
            </w:r>
          </w:p>
        </w:tc>
      </w:tr>
      <w:tr>
        <w:trPr>
          <w:trHeight w:val="175"/>
        </w:trPr>
        <w:tc>
          <w:tcPr>
            <w:tcW w:w="3040" w:type="dxa"/>
            <w:vAlign w:val="bottom"/>
            <w:tcBorders>
              <w:left w:val="single" w:sz="8" w:color="auto"/>
            </w:tcBorders>
          </w:tcPr>
          <w:p>
            <w:pPr>
              <w:ind w:left="1260"/>
              <w:spacing w:after="0" w:line="175" w:lineRule="exact"/>
              <w:rPr>
                <w:sz w:val="20"/>
                <w:szCs w:val="20"/>
                <w:color w:val="auto"/>
              </w:rPr>
            </w:pPr>
            <w:r>
              <w:rPr>
                <w:rFonts w:ascii="Arial" w:cs="Arial" w:eastAsia="Arial" w:hAnsi="Arial"/>
                <w:sz w:val="16"/>
                <w:szCs w:val="16"/>
                <w:b w:val="1"/>
                <w:bCs w:val="1"/>
                <w:color w:val="auto"/>
                <w:highlight w:val="white"/>
              </w:rPr>
              <w:t xml:space="preserve">Common </w:t>
            </w:r>
            <w:r>
              <w:rPr>
                <w:rFonts w:ascii="Arial" w:cs="Arial" w:eastAsia="Arial" w:hAnsi="Arial"/>
                <w:sz w:val="16"/>
                <w:szCs w:val="16"/>
                <w:b w:val="1"/>
                <w:bCs w:val="1"/>
                <w:color w:val="auto"/>
              </w:rPr>
              <w:t>Stock</w:t>
            </w:r>
          </w:p>
        </w:tc>
        <w:tc>
          <w:tcPr>
            <w:tcW w:w="500" w:type="dxa"/>
            <w:vAlign w:val="bottom"/>
            <w:tcBorders>
              <w:right w:val="single" w:sz="8" w:color="auto"/>
            </w:tcBorders>
          </w:tcPr>
          <w:p>
            <w:pPr>
              <w:spacing w:after="0"/>
              <w:rPr>
                <w:sz w:val="15"/>
                <w:szCs w:val="15"/>
                <w:color w:val="auto"/>
              </w:rPr>
            </w:pPr>
          </w:p>
        </w:tc>
        <w:tc>
          <w:tcPr>
            <w:tcW w:w="2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6"/>
              </w:rPr>
              <w:t>ALEC</w:t>
            </w:r>
          </w:p>
        </w:tc>
        <w:tc>
          <w:tcPr>
            <w:tcW w:w="520" w:type="dxa"/>
            <w:vAlign w:val="bottom"/>
          </w:tcPr>
          <w:p>
            <w:pPr>
              <w:spacing w:after="0"/>
              <w:rPr>
                <w:sz w:val="15"/>
                <w:szCs w:val="15"/>
                <w:color w:val="auto"/>
              </w:rPr>
            </w:pPr>
          </w:p>
        </w:tc>
        <w:tc>
          <w:tcPr>
            <w:tcW w:w="3700" w:type="dxa"/>
            <w:vAlign w:val="bottom"/>
            <w:tcBorders>
              <w:right w:val="single" w:sz="8" w:color="auto"/>
            </w:tcBorders>
          </w:tcPr>
          <w:p>
            <w:pPr>
              <w:jc w:val="center"/>
              <w:ind w:right="482"/>
              <w:spacing w:after="0" w:line="175" w:lineRule="exact"/>
              <w:rPr>
                <w:sz w:val="20"/>
                <w:szCs w:val="20"/>
                <w:color w:val="auto"/>
              </w:rPr>
            </w:pPr>
            <w:r>
              <w:rPr>
                <w:rFonts w:ascii="Arial" w:cs="Arial" w:eastAsia="Arial" w:hAnsi="Arial"/>
                <w:sz w:val="16"/>
                <w:szCs w:val="16"/>
                <w:b w:val="1"/>
                <w:bCs w:val="1"/>
                <w:color w:val="auto"/>
                <w:highlight w:val="white"/>
                <w:w w:val="87"/>
              </w:rPr>
              <w:t>The Nasdaq Stock Market LLC</w:t>
            </w:r>
          </w:p>
        </w:tc>
      </w:tr>
      <w:tr>
        <w:trPr>
          <w:trHeight w:val="183"/>
        </w:trPr>
        <w:tc>
          <w:tcPr>
            <w:tcW w:w="3040" w:type="dxa"/>
            <w:vAlign w:val="bottom"/>
            <w:tcBorders>
              <w:left w:val="single" w:sz="8" w:color="auto"/>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700" w:type="dxa"/>
            <w:vAlign w:val="bottom"/>
            <w:tcBorders>
              <w:right w:val="single" w:sz="8" w:color="auto"/>
            </w:tcBorders>
          </w:tcPr>
          <w:p>
            <w:pPr>
              <w:jc w:val="center"/>
              <w:ind w:right="462"/>
              <w:spacing w:after="0"/>
              <w:rPr>
                <w:sz w:val="20"/>
                <w:szCs w:val="20"/>
                <w:color w:val="auto"/>
              </w:rPr>
            </w:pPr>
            <w:r>
              <w:rPr>
                <w:rFonts w:ascii="Arial" w:cs="Arial" w:eastAsia="Arial" w:hAnsi="Arial"/>
                <w:sz w:val="16"/>
                <w:szCs w:val="16"/>
                <w:b w:val="1"/>
                <w:bCs w:val="1"/>
                <w:color w:val="auto"/>
                <w:highlight w:val="white"/>
                <w:w w:val="86"/>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930275</wp:posOffset>
            </wp:positionH>
            <wp:positionV relativeFrom="paragraph">
              <wp:posOffset>-375285</wp:posOffset>
            </wp:positionV>
            <wp:extent cx="5760085" cy="389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085" cy="389890"/>
                    </a:xfrm>
                    <a:prstGeom prst="rect">
                      <a:avLst/>
                    </a:prstGeom>
                    <a:noFill/>
                  </pic:spPr>
                </pic:pic>
              </a:graphicData>
            </a:graphic>
          </wp:anchor>
        </w:drawing>
      </w:r>
    </w:p>
    <w:p>
      <w:pPr>
        <w:spacing w:after="0" w:line="106" w:lineRule="exact"/>
        <w:rPr>
          <w:sz w:val="24"/>
          <w:szCs w:val="24"/>
          <w:color w:val="auto"/>
        </w:rPr>
      </w:pPr>
    </w:p>
    <w:p>
      <w:pPr>
        <w:ind w:right="2000"/>
        <w:spacing w:after="0" w:line="319" w:lineRule="auto"/>
        <w:rPr>
          <w:sz w:val="20"/>
          <w:szCs w:val="20"/>
          <w:color w:val="auto"/>
        </w:rPr>
      </w:pPr>
      <w:r>
        <w:rPr>
          <w:rFonts w:ascii="Arial" w:cs="Arial" w:eastAsia="Arial" w:hAnsi="Arial"/>
          <w:sz w:val="14"/>
          <w:szCs w:val="14"/>
          <w:b w:val="1"/>
          <w:bCs w:val="1"/>
          <w:color w:val="auto"/>
        </w:rPr>
        <w:t>Indicate by check mark if the registrant is a well-known seasoned issuer, as defined in Rule 405 of the Securities Act. YES NO Indicate by check mark if the registrant is not required to file reports pursuant to Section 13 or 15(d) of the Act. YES NO</w:t>
      </w:r>
    </w:p>
    <w:p>
      <w:pPr>
        <w:ind w:right="60"/>
        <w:spacing w:after="0" w:line="236"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9" w:lineRule="exact"/>
        <w:rPr>
          <w:sz w:val="24"/>
          <w:szCs w:val="24"/>
          <w:color w:val="auto"/>
        </w:rPr>
      </w:pPr>
    </w:p>
    <w:p>
      <w:pPr>
        <w:jc w:val="both"/>
        <w:ind w:right="100"/>
        <w:spacing w:after="0" w:line="341" w:lineRule="auto"/>
        <w:rPr>
          <w:sz w:val="20"/>
          <w:szCs w:val="20"/>
          <w:color w:val="auto"/>
        </w:rPr>
      </w:pPr>
      <w:r>
        <w:rPr>
          <w:rFonts w:ascii="Arial" w:cs="Arial" w:eastAsia="Arial" w:hAnsi="Arial"/>
          <w:sz w:val="13"/>
          <w:szCs w:val="13"/>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2" w:lineRule="exact"/>
        <w:rPr>
          <w:sz w:val="24"/>
          <w:szCs w:val="24"/>
          <w:color w:val="auto"/>
        </w:rPr>
      </w:pPr>
    </w:p>
    <w:p>
      <w:pPr>
        <w:jc w:val="both"/>
        <w:ind w:right="100"/>
        <w:spacing w:after="0" w:line="23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220" w:type="dxa"/>
            <w:vAlign w:val="bottom"/>
          </w:tcPr>
          <w:p>
            <w:pPr>
              <w:spacing w:after="0"/>
              <w:rPr>
                <w:sz w:val="16"/>
                <w:szCs w:val="16"/>
                <w:color w:val="auto"/>
              </w:rPr>
            </w:pPr>
          </w:p>
        </w:tc>
        <w:tc>
          <w:tcPr>
            <w:tcW w:w="4820" w:type="dxa"/>
            <w:vAlign w:val="bottom"/>
          </w:tcPr>
          <w:p>
            <w:pPr>
              <w:ind w:left="2940"/>
              <w:spacing w:after="0"/>
              <w:rPr>
                <w:sz w:val="20"/>
                <w:szCs w:val="20"/>
                <w:color w:val="auto"/>
              </w:rPr>
            </w:pPr>
            <w:r>
              <w:rPr>
                <w:rFonts w:ascii="Arial" w:cs="Arial" w:eastAsia="Arial" w:hAnsi="Arial"/>
                <w:sz w:val="16"/>
                <w:szCs w:val="16"/>
                <w:b w:val="1"/>
                <w:bCs w:val="1"/>
                <w:color w:val="auto"/>
              </w:rPr>
              <w:t>Accelerated filer</w:t>
            </w:r>
          </w:p>
        </w:tc>
        <w:tc>
          <w:tcPr>
            <w:tcW w:w="280" w:type="dxa"/>
            <w:vAlign w:val="bottom"/>
          </w:tcPr>
          <w:p>
            <w:pPr>
              <w:spacing w:after="0"/>
              <w:rPr>
                <w:sz w:val="16"/>
                <w:szCs w:val="16"/>
                <w:color w:val="auto"/>
              </w:rPr>
            </w:pPr>
          </w:p>
        </w:tc>
      </w:tr>
      <w:tr>
        <w:trPr>
          <w:trHeight w:val="286"/>
        </w:trPr>
        <w:tc>
          <w:tcPr>
            <w:tcW w:w="19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220" w:type="dxa"/>
            <w:vAlign w:val="bottom"/>
          </w:tcPr>
          <w:p>
            <w:pPr>
              <w:spacing w:after="0"/>
              <w:rPr>
                <w:sz w:val="24"/>
                <w:szCs w:val="24"/>
                <w:color w:val="auto"/>
              </w:rPr>
            </w:pPr>
          </w:p>
        </w:tc>
        <w:tc>
          <w:tcPr>
            <w:tcW w:w="4820" w:type="dxa"/>
            <w:vAlign w:val="bottom"/>
          </w:tcPr>
          <w:p>
            <w:pPr>
              <w:ind w:left="2940"/>
              <w:spacing w:after="0"/>
              <w:rPr>
                <w:sz w:val="20"/>
                <w:szCs w:val="20"/>
                <w:color w:val="auto"/>
              </w:rPr>
            </w:pPr>
            <w:r>
              <w:rPr>
                <w:rFonts w:ascii="Arial" w:cs="Arial" w:eastAsia="Arial" w:hAnsi="Arial"/>
                <w:sz w:val="16"/>
                <w:szCs w:val="16"/>
                <w:b w:val="1"/>
                <w:bCs w:val="1"/>
                <w:color w:val="auto"/>
                <w:w w:val="89"/>
              </w:rPr>
              <w:t>Smaller reporting company</w:t>
            </w:r>
          </w:p>
        </w:tc>
        <w:tc>
          <w:tcPr>
            <w:tcW w:w="280" w:type="dxa"/>
            <w:vAlign w:val="bottom"/>
          </w:tcPr>
          <w:p>
            <w:pPr>
              <w:spacing w:after="0"/>
              <w:rPr>
                <w:sz w:val="24"/>
                <w:szCs w:val="24"/>
                <w:color w:val="auto"/>
              </w:rPr>
            </w:pPr>
          </w:p>
        </w:tc>
      </w:tr>
      <w:tr>
        <w:trPr>
          <w:trHeight w:val="257"/>
        </w:trPr>
        <w:tc>
          <w:tcPr>
            <w:tcW w:w="1900" w:type="dxa"/>
            <w:vAlign w:val="bottom"/>
          </w:tcPr>
          <w:p>
            <w:pPr>
              <w:spacing w:after="0"/>
              <w:rPr>
                <w:sz w:val="20"/>
                <w:szCs w:val="20"/>
                <w:color w:val="auto"/>
              </w:rPr>
            </w:pPr>
            <w:r>
              <w:rPr>
                <w:rFonts w:ascii="Arial" w:cs="Arial" w:eastAsia="Arial" w:hAnsi="Arial"/>
                <w:sz w:val="16"/>
                <w:szCs w:val="16"/>
                <w:b w:val="1"/>
                <w:bCs w:val="1"/>
                <w:color w:val="auto"/>
                <w:w w:val="91"/>
              </w:rPr>
              <w:t>Emerging growth company</w:t>
            </w:r>
          </w:p>
        </w:tc>
        <w:tc>
          <w:tcPr>
            <w:tcW w:w="322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r>
    </w:tbl>
    <w:p>
      <w:pPr>
        <w:spacing w:after="0" w:line="68" w:lineRule="exact"/>
        <w:rPr>
          <w:sz w:val="24"/>
          <w:szCs w:val="24"/>
          <w:color w:val="auto"/>
        </w:rPr>
      </w:pPr>
    </w:p>
    <w:p>
      <w:pPr>
        <w:ind w:right="480"/>
        <w:spacing w:after="0" w:line="236" w:lineRule="auto"/>
        <w:rPr>
          <w:sz w:val="20"/>
          <w:szCs w:val="20"/>
          <w:color w:val="auto"/>
        </w:rPr>
      </w:pPr>
      <w:r>
        <w:rPr>
          <w:rFonts w:ascii="Arial" w:cs="Arial" w:eastAsia="Arial" w:hAnsi="Arial"/>
          <w:sz w:val="16"/>
          <w:szCs w:val="16"/>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jc w:val="both"/>
        <w:ind w:right="220"/>
        <w:spacing w:after="0" w:line="237" w:lineRule="auto"/>
        <w:rPr>
          <w:sz w:val="20"/>
          <w:szCs w:val="20"/>
          <w:color w:val="auto"/>
        </w:rPr>
      </w:pPr>
      <w:r>
        <w:rPr>
          <w:rFonts w:ascii="Arial" w:cs="Arial" w:eastAsia="Arial" w:hAnsi="Arial"/>
          <w:sz w:val="16"/>
          <w:szCs w:val="16"/>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7" w:lineRule="exact"/>
        <w:rPr>
          <w:sz w:val="24"/>
          <w:szCs w:val="24"/>
          <w:color w:val="auto"/>
        </w:rPr>
      </w:pPr>
    </w:p>
    <w:p>
      <w:pPr>
        <w:ind w:right="420"/>
        <w:spacing w:after="0" w:line="236" w:lineRule="auto"/>
        <w:rPr>
          <w:sz w:val="20"/>
          <w:szCs w:val="20"/>
          <w:color w:val="auto"/>
        </w:rPr>
      </w:pPr>
      <w:r>
        <w:rPr>
          <w:rFonts w:ascii="Arial" w:cs="Arial" w:eastAsia="Arial" w:hAnsi="Arial"/>
          <w:sz w:val="16"/>
          <w:szCs w:val="16"/>
          <w:b w:val="1"/>
          <w:bCs w:val="1"/>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68" w:lineRule="exact"/>
        <w:rPr>
          <w:sz w:val="24"/>
          <w:szCs w:val="24"/>
          <w:color w:val="auto"/>
        </w:rPr>
      </w:pPr>
    </w:p>
    <w:p>
      <w:pPr>
        <w:ind w:right="140"/>
        <w:spacing w:after="0" w:line="234" w:lineRule="auto"/>
        <w:rPr>
          <w:sz w:val="20"/>
          <w:szCs w:val="20"/>
          <w:color w:val="auto"/>
        </w:rPr>
      </w:pPr>
      <w:r>
        <w:rPr>
          <w:rFonts w:ascii="Arial" w:cs="Arial" w:eastAsia="Arial" w:hAnsi="Arial"/>
          <w:sz w:val="16"/>
          <w:szCs w:val="16"/>
          <w:b w:val="1"/>
          <w:bCs w:val="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61" w:lineRule="exact"/>
        <w:rPr>
          <w:sz w:val="24"/>
          <w:szCs w:val="24"/>
          <w:color w:val="auto"/>
        </w:rPr>
      </w:pPr>
    </w:p>
    <w:p>
      <w:pPr>
        <w:spacing w:after="0"/>
        <w:tabs>
          <w:tab w:leader="none" w:pos="7820" w:val="left"/>
        </w:tabs>
        <w:rPr>
          <w:sz w:val="20"/>
          <w:szCs w:val="20"/>
          <w:color w:val="auto"/>
        </w:rPr>
      </w:pPr>
      <w:r>
        <w:rPr>
          <w:rFonts w:ascii="Arial" w:cs="Arial" w:eastAsia="Arial" w:hAnsi="Arial"/>
          <w:sz w:val="14"/>
          <w:szCs w:val="14"/>
          <w:b w:val="1"/>
          <w:bCs w:val="1"/>
          <w:color w:val="auto"/>
        </w:rPr>
        <w:t>Indicate by check mark whether the registrant is a shell company (as defined in Rule 12b-2 of the Exchange Act). YES</w:t>
      </w:r>
      <w:r>
        <w:rPr>
          <w:sz w:val="20"/>
          <w:szCs w:val="20"/>
          <w:color w:val="auto"/>
        </w:rPr>
        <w:tab/>
      </w:r>
      <w:r>
        <w:rPr>
          <w:rFonts w:ascii="Arial" w:cs="Arial" w:eastAsia="Arial" w:hAnsi="Arial"/>
          <w:sz w:val="16"/>
          <w:szCs w:val="16"/>
          <w:b w:val="1"/>
          <w:bCs w:val="1"/>
          <w:color w:val="auto"/>
        </w:rPr>
        <w:t>NO</w:t>
      </w:r>
    </w:p>
    <w:p>
      <w:pPr>
        <w:spacing w:after="0" w:line="69" w:lineRule="exact"/>
        <w:rPr>
          <w:sz w:val="24"/>
          <w:szCs w:val="24"/>
          <w:color w:val="auto"/>
        </w:rPr>
      </w:pPr>
    </w:p>
    <w:p>
      <w:pPr>
        <w:jc w:val="both"/>
        <w:ind w:right="100"/>
        <w:spacing w:after="0" w:line="236" w:lineRule="auto"/>
        <w:rPr>
          <w:sz w:val="20"/>
          <w:szCs w:val="20"/>
          <w:color w:val="auto"/>
        </w:rPr>
      </w:pPr>
      <w:r>
        <w:rPr>
          <w:rFonts w:ascii="Arial" w:cs="Arial" w:eastAsia="Arial" w:hAnsi="Arial"/>
          <w:sz w:val="16"/>
          <w:szCs w:val="16"/>
          <w:b w:val="1"/>
          <w:bCs w:val="1"/>
          <w:color w:val="auto"/>
        </w:rPr>
        <w:t>The aggregate market value of the common stock held by non-affiliates of the registrant as of June 30, 2025 (the last business day of the registrant’s most recently completed second fiscal quarter) was approximately $115.4 million, based on the closing price of the registrant’s common stock, as reported by the Nasdaq Global Select Market on June 30, 2025 of $1.40 per share.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20, 2026 was 110,362,581.</w:t>
      </w:r>
    </w:p>
    <w:p>
      <w:pPr>
        <w:spacing w:after="0" w:line="65" w:lineRule="exact"/>
        <w:rPr>
          <w:sz w:val="24"/>
          <w:szCs w:val="24"/>
          <w:color w:val="auto"/>
        </w:rPr>
      </w:pPr>
    </w:p>
    <w:p>
      <w:pPr>
        <w:ind w:right="20"/>
        <w:spacing w:after="0" w:line="237" w:lineRule="auto"/>
        <w:rPr>
          <w:sz w:val="20"/>
          <w:szCs w:val="20"/>
          <w:color w:val="auto"/>
        </w:rPr>
      </w:pPr>
      <w:r>
        <w:rPr>
          <w:rFonts w:ascii="Arial" w:cs="Arial" w:eastAsia="Arial" w:hAnsi="Arial"/>
          <w:sz w:val="16"/>
          <w:szCs w:val="16"/>
          <w:b w:val="1"/>
          <w:bCs w:val="1"/>
          <w:color w:val="auto"/>
        </w:rPr>
        <w:t>Portions of the registrant’s Definitive Proxy Statement relating to the registrant’s 2026 Annual Meeting of Stockholders are incorporated by reference into Part III of this Annual Report on Form 10-K where indicated. Such Definitive Proxy Statement will be filed with the Securities and Exchange Commission within 120 days after the end of the registrant’s 2025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15875</wp:posOffset>
            </wp:positionV>
            <wp:extent cx="6700520" cy="54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0520" cy="54610"/>
                    </a:xfrm>
                    <a:prstGeom prst="rect">
                      <a:avLst/>
                    </a:prstGeom>
                    <a:noFill/>
                  </pic:spPr>
                </pic:pic>
              </a:graphicData>
            </a:graphic>
          </wp:anchor>
        </w:drawing>
      </w:r>
    </w:p>
    <w:p>
      <w:pPr>
        <w:sectPr>
          <w:pgSz w:w="12240" w:h="15840" w:orient="portrait"/>
          <w:cols w:equalWidth="0" w:num="1">
            <w:col w:w="10520"/>
          </w:cols>
          <w:pgMar w:left="860" w:top="1012" w:right="860" w:bottom="800" w:gutter="0" w:footer="0" w:header="0"/>
        </w:sectPr>
      </w:pPr>
    </w:p>
    <w:bookmarkStart w:id="1" w:name="page2"/>
    <w:bookmarkEnd w:id="1"/>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9"/>
          </w:tcPr>
          <w:p>
            <w:pPr>
              <w:jc w:val="center"/>
              <w:ind w:right="4000"/>
              <w:spacing w:after="0"/>
              <w:rPr>
                <w:sz w:val="20"/>
                <w:szCs w:val="20"/>
                <w:color w:val="auto"/>
              </w:rPr>
            </w:pPr>
            <w:r>
              <w:rPr>
                <w:rFonts w:ascii="Arial" w:cs="Arial" w:eastAsia="Arial" w:hAnsi="Arial"/>
                <w:sz w:val="20"/>
                <w:szCs w:val="20"/>
                <w:b w:val="1"/>
                <w:bCs w:val="1"/>
                <w:color w:val="auto"/>
                <w:w w:val="92"/>
              </w:rPr>
              <w:t>Alector, Inc.</w:t>
            </w:r>
          </w:p>
        </w:tc>
        <w:tc>
          <w:tcPr>
            <w:tcW w:w="68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80" w:type="dxa"/>
            <w:vAlign w:val="bottom"/>
            <w:gridSpan w:val="12"/>
          </w:tcPr>
          <w:p>
            <w:pPr>
              <w:jc w:val="center"/>
              <w:ind w:right="2560"/>
              <w:spacing w:after="0"/>
              <w:rPr>
                <w:sz w:val="20"/>
                <w:szCs w:val="20"/>
                <w:color w:val="auto"/>
              </w:rPr>
            </w:pPr>
            <w:r>
              <w:rPr>
                <w:rFonts w:ascii="Arial" w:cs="Arial" w:eastAsia="Arial" w:hAnsi="Arial"/>
                <w:sz w:val="20"/>
                <w:szCs w:val="20"/>
                <w:b w:val="1"/>
                <w:bCs w:val="1"/>
                <w:color w:val="auto"/>
                <w:w w:val="94"/>
              </w:rPr>
              <w:t>Annual Report on Form 10-K</w:t>
            </w:r>
          </w:p>
        </w:tc>
        <w:tc>
          <w:tcPr>
            <w:tcW w:w="680" w:type="dxa"/>
            <w:vAlign w:val="bottom"/>
          </w:tcPr>
          <w:p>
            <w:pPr>
              <w:spacing w:after="0"/>
              <w:rPr>
                <w:sz w:val="20"/>
                <w:szCs w:val="20"/>
                <w:color w:val="auto"/>
              </w:rPr>
            </w:pPr>
          </w:p>
        </w:tc>
      </w:tr>
      <w:tr>
        <w:trPr>
          <w:trHeight w:val="468"/>
        </w:trPr>
        <w:tc>
          <w:tcPr>
            <w:tcW w:w="10120" w:type="dxa"/>
            <w:vAlign w:val="bottom"/>
            <w:gridSpan w:val="22"/>
          </w:tcPr>
          <w:p>
            <w:pPr>
              <w:spacing w:after="0"/>
              <w:rPr>
                <w:sz w:val="20"/>
                <w:szCs w:val="20"/>
                <w:color w:val="auto"/>
              </w:rPr>
            </w:pPr>
            <w:r>
              <w:rPr>
                <w:rFonts w:ascii="Arial" w:cs="Arial" w:eastAsia="Arial" w:hAnsi="Arial"/>
                <w:sz w:val="20"/>
                <w:szCs w:val="20"/>
                <w:b w:val="1"/>
                <w:bCs w:val="1"/>
                <w:color w:val="auto"/>
              </w:rPr>
              <w:t>TABLE OF CONTENTS</w:t>
            </w:r>
          </w:p>
        </w:tc>
        <w:tc>
          <w:tcPr>
            <w:tcW w:w="680" w:type="dxa"/>
            <w:vAlign w:val="bottom"/>
          </w:tcPr>
          <w:p>
            <w:pPr>
              <w:spacing w:after="0"/>
              <w:rPr>
                <w:sz w:val="24"/>
                <w:szCs w:val="24"/>
                <w:color w:val="auto"/>
              </w:rPr>
            </w:pPr>
          </w:p>
        </w:tc>
      </w:tr>
      <w:tr>
        <w:trPr>
          <w:trHeight w:val="212"/>
        </w:trPr>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Page</w:t>
            </w:r>
          </w:p>
        </w:tc>
      </w:tr>
      <w:tr>
        <w:trPr>
          <w:trHeight w:val="228"/>
        </w:trPr>
        <w:tc>
          <w:tcPr>
            <w:tcW w:w="960" w:type="dxa"/>
            <w:vAlign w:val="bottom"/>
          </w:tcPr>
          <w:p>
            <w:pPr>
              <w:spacing w:after="0" w:line="229" w:lineRule="exact"/>
              <w:rPr>
                <w:sz w:val="20"/>
                <w:szCs w:val="20"/>
                <w:color w:val="auto"/>
              </w:rPr>
            </w:pPr>
            <w:r>
              <w:rPr>
                <w:rFonts w:ascii="Arial" w:cs="Arial" w:eastAsia="Arial" w:hAnsi="Arial"/>
                <w:sz w:val="20"/>
                <w:szCs w:val="20"/>
                <w:b w:val="1"/>
                <w:bCs w:val="1"/>
                <w:color w:val="auto"/>
                <w:highlight w:val="white"/>
              </w:rPr>
              <w:t xml:space="preserve">PART </w:t>
            </w:r>
            <w:r>
              <w:rPr>
                <w:rFonts w:ascii="Arial" w:cs="Arial" w:eastAsia="Arial" w:hAnsi="Arial"/>
                <w:sz w:val="20"/>
                <w:szCs w:val="20"/>
                <w:b w:val="1"/>
                <w:bCs w:val="1"/>
                <w:color w:val="auto"/>
              </w:rPr>
              <w:t>I</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1.</w:t>
            </w:r>
          </w:p>
        </w:tc>
        <w:tc>
          <w:tcPr>
            <w:tcW w:w="720" w:type="dxa"/>
            <w:vAlign w:val="bottom"/>
            <w:tcBorders>
              <w:bottom w:val="single" w:sz="8" w:color="0000FF"/>
            </w:tcBorders>
          </w:tcPr>
          <w:p>
            <w:pPr>
              <w:spacing w:after="0"/>
              <w:rPr>
                <w:sz w:val="20"/>
                <w:szCs w:val="20"/>
                <w:color w:val="auto"/>
              </w:rPr>
            </w:pPr>
            <w:r>
              <w:rPr>
                <w:rFonts w:ascii="Arial" w:cs="Arial" w:eastAsia="Arial" w:hAnsi="Arial"/>
                <w:sz w:val="20"/>
                <w:szCs w:val="20"/>
                <w:b w:val="1"/>
                <w:bCs w:val="1"/>
                <w:color w:val="0000FF"/>
                <w:w w:val="78"/>
              </w:rPr>
              <w:t>Business</w:t>
            </w:r>
          </w:p>
        </w:tc>
        <w:tc>
          <w:tcPr>
            <w:tcW w:w="8440" w:type="dxa"/>
            <w:vAlign w:val="bottom"/>
            <w:gridSpan w:val="20"/>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1A.</w:t>
            </w:r>
          </w:p>
        </w:tc>
        <w:tc>
          <w:tcPr>
            <w:tcW w:w="1020" w:type="dxa"/>
            <w:vAlign w:val="bottom"/>
            <w:tcBorders>
              <w:bottom w:val="single" w:sz="8" w:color="0000FF"/>
            </w:tcBorders>
            <w:gridSpan w:val="3"/>
          </w:tcPr>
          <w:p>
            <w:pPr>
              <w:spacing w:after="0" w:line="225" w:lineRule="exact"/>
              <w:rPr>
                <w:sz w:val="20"/>
                <w:szCs w:val="20"/>
                <w:color w:val="auto"/>
              </w:rPr>
            </w:pPr>
            <w:r>
              <w:rPr>
                <w:rFonts w:ascii="Arial" w:cs="Arial" w:eastAsia="Arial" w:hAnsi="Arial"/>
                <w:sz w:val="20"/>
                <w:szCs w:val="20"/>
                <w:b w:val="1"/>
                <w:bCs w:val="1"/>
                <w:color w:val="0000FF"/>
                <w:highlight w:val="white"/>
                <w:w w:val="83"/>
              </w:rPr>
              <w:t xml:space="preserve">Risk </w:t>
            </w:r>
            <w:r>
              <w:rPr>
                <w:rFonts w:ascii="Arial" w:cs="Arial" w:eastAsia="Arial" w:hAnsi="Arial"/>
                <w:sz w:val="20"/>
                <w:szCs w:val="20"/>
                <w:b w:val="1"/>
                <w:bCs w:val="1"/>
                <w:color w:val="0000FF"/>
                <w:w w:val="83"/>
              </w:rPr>
              <w:t>Factors</w:t>
            </w:r>
          </w:p>
        </w:tc>
        <w:tc>
          <w:tcPr>
            <w:tcW w:w="8140" w:type="dxa"/>
            <w:vAlign w:val="bottom"/>
            <w:gridSpan w:val="18"/>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33</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1B.</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Unresolved Staff </w:t>
            </w:r>
            <w:r>
              <w:rPr>
                <w:rFonts w:ascii="Arial" w:cs="Arial" w:eastAsia="Arial" w:hAnsi="Arial"/>
                <w:sz w:val="20"/>
                <w:szCs w:val="20"/>
                <w:b w:val="1"/>
                <w:bCs w:val="1"/>
                <w:color w:val="0000FF"/>
              </w:rPr>
              <w:t>Comments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92</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1C.</w:t>
            </w:r>
          </w:p>
        </w:tc>
        <w:tc>
          <w:tcPr>
            <w:tcW w:w="2280" w:type="dxa"/>
            <w:vAlign w:val="bottom"/>
            <w:tcBorders>
              <w:top w:val="single" w:sz="8" w:color="0000FF"/>
            </w:tcBorders>
            <w:gridSpan w:val="9"/>
          </w:tcPr>
          <w:p>
            <w:pPr>
              <w:spacing w:after="0" w:line="225" w:lineRule="exact"/>
              <w:rPr>
                <w:sz w:val="20"/>
                <w:szCs w:val="20"/>
                <w:color w:val="auto"/>
              </w:rPr>
            </w:pPr>
            <w:r>
              <w:rPr>
                <w:rFonts w:ascii="Arial" w:cs="Arial" w:eastAsia="Arial" w:hAnsi="Arial"/>
                <w:sz w:val="20"/>
                <w:szCs w:val="20"/>
                <w:b w:val="1"/>
                <w:bCs w:val="1"/>
                <w:color w:val="0000FF"/>
              </w:rPr>
              <w:t>Cybersecurity</w:t>
            </w:r>
          </w:p>
        </w:tc>
        <w:tc>
          <w:tcPr>
            <w:tcW w:w="6880" w:type="dxa"/>
            <w:vAlign w:val="bottom"/>
            <w:gridSpan w:val="12"/>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92</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2.</w:t>
            </w:r>
          </w:p>
        </w:tc>
        <w:tc>
          <w:tcPr>
            <w:tcW w:w="840" w:type="dxa"/>
            <w:vAlign w:val="bottom"/>
            <w:tcBorders>
              <w:top w:val="single" w:sz="8" w:color="0000FF"/>
              <w:bottom w:val="single" w:sz="8" w:color="0000FF"/>
            </w:tcBorders>
            <w:gridSpan w:val="2"/>
          </w:tcPr>
          <w:p>
            <w:pPr>
              <w:spacing w:after="0" w:line="225" w:lineRule="exact"/>
              <w:rPr>
                <w:sz w:val="20"/>
                <w:szCs w:val="20"/>
                <w:color w:val="auto"/>
              </w:rPr>
            </w:pPr>
            <w:r>
              <w:rPr>
                <w:rFonts w:ascii="Arial" w:cs="Arial" w:eastAsia="Arial" w:hAnsi="Arial"/>
                <w:sz w:val="20"/>
                <w:szCs w:val="20"/>
                <w:b w:val="1"/>
                <w:bCs w:val="1"/>
                <w:color w:val="0000FF"/>
                <w:w w:val="80"/>
              </w:rPr>
              <w:t>Properties</w:t>
            </w:r>
          </w:p>
        </w:tc>
        <w:tc>
          <w:tcPr>
            <w:tcW w:w="280" w:type="dxa"/>
            <w:vAlign w:val="bottom"/>
            <w:tcBorders>
              <w:top w:val="single" w:sz="8" w:color="0000FF"/>
            </w:tcBorders>
            <w:gridSpan w:val="2"/>
          </w:tcPr>
          <w:p>
            <w:pPr>
              <w:spacing w:after="0"/>
              <w:rPr>
                <w:sz w:val="19"/>
                <w:szCs w:val="19"/>
                <w:color w:val="auto"/>
              </w:rPr>
            </w:pPr>
          </w:p>
        </w:tc>
        <w:tc>
          <w:tcPr>
            <w:tcW w:w="8040" w:type="dxa"/>
            <w:vAlign w:val="bottom"/>
            <w:gridSpan w:val="17"/>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93</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3.</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Legal </w:t>
            </w:r>
            <w:r>
              <w:rPr>
                <w:rFonts w:ascii="Arial" w:cs="Arial" w:eastAsia="Arial" w:hAnsi="Arial"/>
                <w:sz w:val="20"/>
                <w:szCs w:val="20"/>
                <w:b w:val="1"/>
                <w:bCs w:val="1"/>
                <w:color w:val="0000FF"/>
              </w:rPr>
              <w:t>Proceedings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93</w:t>
            </w:r>
          </w:p>
        </w:tc>
      </w:tr>
      <w:tr>
        <w:trPr>
          <w:trHeight w:val="20"/>
        </w:trPr>
        <w:tc>
          <w:tcPr>
            <w:tcW w:w="96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4.</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Mine Safety </w:t>
            </w:r>
            <w:r>
              <w:rPr>
                <w:rFonts w:ascii="Arial" w:cs="Arial" w:eastAsia="Arial" w:hAnsi="Arial"/>
                <w:sz w:val="20"/>
                <w:szCs w:val="20"/>
                <w:b w:val="1"/>
                <w:bCs w:val="1"/>
                <w:color w:val="0000FF"/>
              </w:rPr>
              <w:t>Disclosures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93</w:t>
            </w:r>
          </w:p>
        </w:tc>
      </w:tr>
      <w:tr>
        <w:trPr>
          <w:trHeight w:val="486"/>
        </w:trPr>
        <w:tc>
          <w:tcPr>
            <w:tcW w:w="960" w:type="dxa"/>
            <w:vAlign w:val="bottom"/>
          </w:tcPr>
          <w:p>
            <w:pPr>
              <w:spacing w:after="0"/>
              <w:rPr>
                <w:sz w:val="20"/>
                <w:szCs w:val="20"/>
                <w:color w:val="auto"/>
              </w:rPr>
            </w:pPr>
            <w:r>
              <w:rPr>
                <w:rFonts w:ascii="Arial" w:cs="Arial" w:eastAsia="Arial" w:hAnsi="Arial"/>
                <w:sz w:val="20"/>
                <w:szCs w:val="20"/>
                <w:b w:val="1"/>
                <w:bCs w:val="1"/>
                <w:color w:val="auto"/>
                <w:highlight w:val="white"/>
              </w:rPr>
              <w:t xml:space="preserve">PART </w:t>
            </w:r>
            <w:r>
              <w:rPr>
                <w:rFonts w:ascii="Arial" w:cs="Arial" w:eastAsia="Arial" w:hAnsi="Arial"/>
                <w:sz w:val="20"/>
                <w:szCs w:val="20"/>
                <w:b w:val="1"/>
                <w:bCs w:val="1"/>
                <w:color w:val="auto"/>
              </w:rPr>
              <w:t>II</w:t>
            </w:r>
          </w:p>
        </w:tc>
        <w:tc>
          <w:tcPr>
            <w:tcW w:w="7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960" w:type="dxa"/>
            <w:vAlign w:val="bottom"/>
          </w:tcPr>
          <w:p>
            <w:pPr>
              <w:ind w:left="140"/>
              <w:spacing w:after="0" w:line="228"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5.</w:t>
            </w:r>
          </w:p>
        </w:tc>
        <w:tc>
          <w:tcPr>
            <w:tcW w:w="9160" w:type="dxa"/>
            <w:vAlign w:val="bottom"/>
            <w:gridSpan w:val="21"/>
          </w:tcPr>
          <w:p>
            <w:pPr>
              <w:spacing w:after="0" w:line="228" w:lineRule="exact"/>
              <w:rPr>
                <w:sz w:val="20"/>
                <w:szCs w:val="20"/>
                <w:color w:val="auto"/>
              </w:rPr>
            </w:pPr>
            <w:r>
              <w:rPr>
                <w:rFonts w:ascii="Arial" w:cs="Arial" w:eastAsia="Arial" w:hAnsi="Arial"/>
                <w:sz w:val="20"/>
                <w:szCs w:val="20"/>
                <w:b w:val="1"/>
                <w:bCs w:val="1"/>
                <w:color w:val="0000FF"/>
                <w:highlight w:val="white"/>
                <w:w w:val="86"/>
              </w:rPr>
              <w:t>Market for Registrant’s Common Equity, Related Stockholder Matters and Issuer Purchases of Equity Securities</w:t>
            </w:r>
          </w:p>
        </w:tc>
        <w:tc>
          <w:tcPr>
            <w:tcW w:w="6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94</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6.</w:t>
            </w:r>
          </w:p>
        </w:tc>
        <w:tc>
          <w:tcPr>
            <w:tcW w:w="9000" w:type="dxa"/>
            <w:vAlign w:val="bottom"/>
            <w:tcBorders>
              <w:top w:val="single" w:sz="8" w:color="0000FF"/>
            </w:tcBorders>
            <w:gridSpan w:val="20"/>
          </w:tcPr>
          <w:p>
            <w:pPr>
              <w:spacing w:after="0" w:line="225" w:lineRule="exact"/>
              <w:rPr>
                <w:sz w:val="20"/>
                <w:szCs w:val="20"/>
                <w:color w:val="auto"/>
              </w:rPr>
            </w:pPr>
            <w:r>
              <w:rPr>
                <w:rFonts w:ascii="Arial" w:cs="Arial" w:eastAsia="Arial" w:hAnsi="Arial"/>
                <w:sz w:val="20"/>
                <w:szCs w:val="20"/>
                <w:b w:val="1"/>
                <w:bCs w:val="1"/>
                <w:color w:val="0000FF"/>
              </w:rPr>
              <w:t>[Reserved]</w:t>
            </w:r>
          </w:p>
        </w:tc>
        <w:tc>
          <w:tcPr>
            <w:tcW w:w="1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94</w:t>
            </w:r>
          </w:p>
        </w:tc>
      </w:tr>
      <w:tr>
        <w:trPr>
          <w:trHeight w:val="20"/>
        </w:trPr>
        <w:tc>
          <w:tcPr>
            <w:tcW w:w="96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7.</w:t>
            </w:r>
          </w:p>
        </w:tc>
        <w:tc>
          <w:tcPr>
            <w:tcW w:w="7200" w:type="dxa"/>
            <w:vAlign w:val="bottom"/>
            <w:tcBorders>
              <w:bottom w:val="single" w:sz="8" w:color="0000FF"/>
            </w:tcBorders>
            <w:gridSpan w:val="17"/>
          </w:tcPr>
          <w:p>
            <w:pPr>
              <w:spacing w:after="0" w:line="225" w:lineRule="exact"/>
              <w:rPr>
                <w:sz w:val="20"/>
                <w:szCs w:val="20"/>
                <w:color w:val="auto"/>
              </w:rPr>
            </w:pPr>
            <w:r>
              <w:rPr>
                <w:rFonts w:ascii="Arial" w:cs="Arial" w:eastAsia="Arial" w:hAnsi="Arial"/>
                <w:sz w:val="20"/>
                <w:szCs w:val="20"/>
                <w:b w:val="1"/>
                <w:bCs w:val="1"/>
                <w:color w:val="0000FF"/>
                <w:highlight w:val="white"/>
                <w:w w:val="84"/>
              </w:rPr>
              <w:t xml:space="preserve">Management’s Discussion and Analysis of Financial Condition and Results of </w:t>
            </w:r>
            <w:r>
              <w:rPr>
                <w:rFonts w:ascii="Arial" w:cs="Arial" w:eastAsia="Arial" w:hAnsi="Arial"/>
                <w:sz w:val="20"/>
                <w:szCs w:val="20"/>
                <w:b w:val="1"/>
                <w:bCs w:val="1"/>
                <w:color w:val="0000FF"/>
                <w:w w:val="84"/>
              </w:rPr>
              <w:t>Operations</w:t>
            </w:r>
          </w:p>
        </w:tc>
        <w:tc>
          <w:tcPr>
            <w:tcW w:w="1960" w:type="dxa"/>
            <w:vAlign w:val="bottom"/>
            <w:gridSpan w:val="4"/>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94</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7A.</w:t>
            </w:r>
          </w:p>
        </w:tc>
        <w:tc>
          <w:tcPr>
            <w:tcW w:w="4860" w:type="dxa"/>
            <w:vAlign w:val="bottom"/>
            <w:tcBorders>
              <w:bottom w:val="single" w:sz="8" w:color="0000FF"/>
            </w:tcBorders>
            <w:gridSpan w:val="14"/>
          </w:tcPr>
          <w:p>
            <w:pPr>
              <w:spacing w:after="0" w:line="225" w:lineRule="exact"/>
              <w:rPr>
                <w:sz w:val="20"/>
                <w:szCs w:val="20"/>
                <w:color w:val="auto"/>
              </w:rPr>
            </w:pPr>
            <w:r>
              <w:rPr>
                <w:rFonts w:ascii="Arial" w:cs="Arial" w:eastAsia="Arial" w:hAnsi="Arial"/>
                <w:sz w:val="20"/>
                <w:szCs w:val="20"/>
                <w:b w:val="1"/>
                <w:bCs w:val="1"/>
                <w:color w:val="0000FF"/>
                <w:highlight w:val="white"/>
                <w:w w:val="85"/>
              </w:rPr>
              <w:t xml:space="preserve">Quantitative and Qualitative Disclosures About Market </w:t>
            </w:r>
            <w:r>
              <w:rPr>
                <w:rFonts w:ascii="Arial" w:cs="Arial" w:eastAsia="Arial" w:hAnsi="Arial"/>
                <w:sz w:val="20"/>
                <w:szCs w:val="20"/>
                <w:b w:val="1"/>
                <w:bCs w:val="1"/>
                <w:color w:val="0000FF"/>
                <w:w w:val="85"/>
              </w:rPr>
              <w:t>Risk</w:t>
            </w:r>
          </w:p>
        </w:tc>
        <w:tc>
          <w:tcPr>
            <w:tcW w:w="4300" w:type="dxa"/>
            <w:vAlign w:val="bottom"/>
            <w:gridSpan w:val="7"/>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101</w:t>
            </w:r>
          </w:p>
        </w:tc>
      </w:tr>
      <w:tr>
        <w:trPr>
          <w:trHeight w:val="227"/>
        </w:trPr>
        <w:tc>
          <w:tcPr>
            <w:tcW w:w="960" w:type="dxa"/>
            <w:vAlign w:val="bottom"/>
          </w:tcPr>
          <w:p>
            <w:pPr>
              <w:ind w:left="140"/>
              <w:spacing w:after="0" w:line="228"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8.</w:t>
            </w:r>
          </w:p>
        </w:tc>
        <w:tc>
          <w:tcPr>
            <w:tcW w:w="9160" w:type="dxa"/>
            <w:vAlign w:val="bottom"/>
            <w:gridSpan w:val="21"/>
          </w:tcPr>
          <w:p>
            <w:pPr>
              <w:spacing w:after="0" w:line="228" w:lineRule="exact"/>
              <w:rPr>
                <w:sz w:val="20"/>
                <w:szCs w:val="20"/>
                <w:color w:val="auto"/>
              </w:rPr>
            </w:pPr>
            <w:r>
              <w:rPr>
                <w:rFonts w:ascii="Arial" w:cs="Arial" w:eastAsia="Arial" w:hAnsi="Arial"/>
                <w:sz w:val="20"/>
                <w:szCs w:val="20"/>
                <w:b w:val="1"/>
                <w:bCs w:val="1"/>
                <w:color w:val="0000FF"/>
                <w:highlight w:val="white"/>
              </w:rPr>
              <w:t xml:space="preserve">Financial Statements and Supplementary </w:t>
            </w:r>
            <w:r>
              <w:rPr>
                <w:rFonts w:ascii="Arial" w:cs="Arial" w:eastAsia="Arial" w:hAnsi="Arial"/>
                <w:sz w:val="20"/>
                <w:szCs w:val="20"/>
                <w:b w:val="1"/>
                <w:bCs w:val="1"/>
                <w:color w:val="0000FF"/>
              </w:rPr>
              <w:t>Data</w:t>
            </w:r>
          </w:p>
        </w:tc>
        <w:tc>
          <w:tcPr>
            <w:tcW w:w="6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highlight w:val="white"/>
              </w:rPr>
              <w:t>103</w:t>
            </w:r>
          </w:p>
        </w:tc>
      </w:tr>
      <w:tr>
        <w:trPr>
          <w:trHeight w:val="20"/>
        </w:trPr>
        <w:tc>
          <w:tcPr>
            <w:tcW w:w="96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9.</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Changes in and Disagreements With Accountants on Accounting and Financial </w:t>
            </w:r>
            <w:r>
              <w:rPr>
                <w:rFonts w:ascii="Arial" w:cs="Arial" w:eastAsia="Arial" w:hAnsi="Arial"/>
                <w:sz w:val="20"/>
                <w:szCs w:val="20"/>
                <w:b w:val="1"/>
                <w:bCs w:val="1"/>
                <w:color w:val="0000FF"/>
              </w:rPr>
              <w:t>Disclosure</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127</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9A.</w:t>
            </w:r>
          </w:p>
        </w:tc>
        <w:tc>
          <w:tcPr>
            <w:tcW w:w="1980" w:type="dxa"/>
            <w:vAlign w:val="bottom"/>
            <w:tcBorders>
              <w:top w:val="single" w:sz="8" w:color="0000FF"/>
              <w:bottom w:val="single" w:sz="8" w:color="0000FF"/>
            </w:tcBorders>
            <w:gridSpan w:val="7"/>
          </w:tcPr>
          <w:p>
            <w:pPr>
              <w:spacing w:after="0" w:line="225" w:lineRule="exact"/>
              <w:rPr>
                <w:sz w:val="20"/>
                <w:szCs w:val="20"/>
                <w:color w:val="auto"/>
              </w:rPr>
            </w:pPr>
            <w:r>
              <w:rPr>
                <w:rFonts w:ascii="Arial" w:cs="Arial" w:eastAsia="Arial" w:hAnsi="Arial"/>
                <w:sz w:val="20"/>
                <w:szCs w:val="20"/>
                <w:b w:val="1"/>
                <w:bCs w:val="1"/>
                <w:color w:val="0000FF"/>
                <w:highlight w:val="white"/>
                <w:w w:val="82"/>
              </w:rPr>
              <w:t xml:space="preserve">Controls and </w:t>
            </w:r>
            <w:r>
              <w:rPr>
                <w:rFonts w:ascii="Arial" w:cs="Arial" w:eastAsia="Arial" w:hAnsi="Arial"/>
                <w:sz w:val="20"/>
                <w:szCs w:val="20"/>
                <w:b w:val="1"/>
                <w:bCs w:val="1"/>
                <w:color w:val="0000FF"/>
                <w:w w:val="82"/>
              </w:rPr>
              <w:t>Procedures</w:t>
            </w:r>
          </w:p>
        </w:tc>
        <w:tc>
          <w:tcPr>
            <w:tcW w:w="5260" w:type="dxa"/>
            <w:vAlign w:val="bottom"/>
            <w:tcBorders>
              <w:top w:val="single" w:sz="8" w:color="0000FF"/>
            </w:tcBorders>
            <w:gridSpan w:val="11"/>
          </w:tcPr>
          <w:p>
            <w:pPr>
              <w:spacing w:after="0"/>
              <w:rPr>
                <w:sz w:val="19"/>
                <w:szCs w:val="19"/>
                <w:color w:val="auto"/>
              </w:rPr>
            </w:pPr>
          </w:p>
        </w:tc>
        <w:tc>
          <w:tcPr>
            <w:tcW w:w="1920" w:type="dxa"/>
            <w:vAlign w:val="bottom"/>
            <w:gridSpan w:val="3"/>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127</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9B.</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Other </w:t>
            </w:r>
            <w:r>
              <w:rPr>
                <w:rFonts w:ascii="Arial" w:cs="Arial" w:eastAsia="Arial" w:hAnsi="Arial"/>
                <w:sz w:val="20"/>
                <w:szCs w:val="20"/>
                <w:b w:val="1"/>
                <w:bCs w:val="1"/>
                <w:color w:val="0000FF"/>
              </w:rPr>
              <w:t>Information</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128</w:t>
            </w:r>
          </w:p>
        </w:tc>
      </w:tr>
      <w:tr>
        <w:trPr>
          <w:trHeight w:val="20"/>
        </w:trPr>
        <w:tc>
          <w:tcPr>
            <w:tcW w:w="96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 xml:space="preserve">Item </w:t>
            </w:r>
            <w:r>
              <w:rPr>
                <w:rFonts w:ascii="Arial" w:cs="Arial" w:eastAsia="Arial" w:hAnsi="Arial"/>
                <w:sz w:val="20"/>
                <w:szCs w:val="20"/>
                <w:b w:val="1"/>
                <w:bCs w:val="1"/>
                <w:color w:val="auto"/>
              </w:rPr>
              <w:t>9C.</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rPr>
              <w:t>Disclosure Regarding Foreign Jurisdictions that Prevent Inspections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128</w:t>
            </w:r>
          </w:p>
        </w:tc>
      </w:tr>
      <w:tr>
        <w:trPr>
          <w:trHeight w:val="486"/>
        </w:trPr>
        <w:tc>
          <w:tcPr>
            <w:tcW w:w="960" w:type="dxa"/>
            <w:vAlign w:val="bottom"/>
          </w:tcPr>
          <w:p>
            <w:pPr>
              <w:spacing w:after="0"/>
              <w:rPr>
                <w:sz w:val="20"/>
                <w:szCs w:val="20"/>
                <w:color w:val="auto"/>
              </w:rPr>
            </w:pPr>
            <w:r>
              <w:rPr>
                <w:rFonts w:ascii="Arial" w:cs="Arial" w:eastAsia="Arial" w:hAnsi="Arial"/>
                <w:sz w:val="20"/>
                <w:szCs w:val="20"/>
                <w:b w:val="1"/>
                <w:bCs w:val="1"/>
                <w:color w:val="auto"/>
                <w:highlight w:val="white"/>
              </w:rPr>
              <w:t xml:space="preserve">PART </w:t>
            </w:r>
            <w:r>
              <w:rPr>
                <w:rFonts w:ascii="Arial" w:cs="Arial" w:eastAsia="Arial" w:hAnsi="Arial"/>
                <w:sz w:val="20"/>
                <w:szCs w:val="20"/>
                <w:b w:val="1"/>
                <w:bCs w:val="1"/>
                <w:color w:val="auto"/>
              </w:rPr>
              <w:t>III</w:t>
            </w:r>
          </w:p>
        </w:tc>
        <w:tc>
          <w:tcPr>
            <w:tcW w:w="7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960" w:type="dxa"/>
            <w:vAlign w:val="bottom"/>
          </w:tcPr>
          <w:p>
            <w:pPr>
              <w:ind w:left="140"/>
              <w:spacing w:after="0" w:line="228" w:lineRule="exact"/>
              <w:rPr>
                <w:sz w:val="20"/>
                <w:szCs w:val="20"/>
                <w:color w:val="auto"/>
              </w:rPr>
            </w:pPr>
            <w:r>
              <w:rPr>
                <w:rFonts w:ascii="Arial" w:cs="Arial" w:eastAsia="Arial" w:hAnsi="Arial"/>
                <w:sz w:val="20"/>
                <w:szCs w:val="20"/>
                <w:b w:val="1"/>
                <w:bCs w:val="1"/>
                <w:color w:val="auto"/>
                <w:highlight w:val="white"/>
              </w:rPr>
              <w:t>Item 10.</w:t>
            </w:r>
          </w:p>
        </w:tc>
        <w:tc>
          <w:tcPr>
            <w:tcW w:w="4560" w:type="dxa"/>
            <w:vAlign w:val="bottom"/>
            <w:tcBorders>
              <w:bottom w:val="single" w:sz="8" w:color="0000FF"/>
            </w:tcBorders>
            <w:gridSpan w:val="13"/>
          </w:tcPr>
          <w:p>
            <w:pPr>
              <w:spacing w:after="0" w:line="228" w:lineRule="exact"/>
              <w:rPr>
                <w:sz w:val="20"/>
                <w:szCs w:val="20"/>
                <w:color w:val="auto"/>
              </w:rPr>
            </w:pPr>
            <w:r>
              <w:rPr>
                <w:rFonts w:ascii="Arial" w:cs="Arial" w:eastAsia="Arial" w:hAnsi="Arial"/>
                <w:sz w:val="20"/>
                <w:szCs w:val="20"/>
                <w:b w:val="1"/>
                <w:bCs w:val="1"/>
                <w:color w:val="0000FF"/>
                <w:highlight w:val="white"/>
                <w:w w:val="84"/>
              </w:rPr>
              <w:t xml:space="preserve">Directors, Executive Officers and Corporate </w:t>
            </w:r>
            <w:r>
              <w:rPr>
                <w:rFonts w:ascii="Arial" w:cs="Arial" w:eastAsia="Arial" w:hAnsi="Arial"/>
                <w:sz w:val="20"/>
                <w:szCs w:val="20"/>
                <w:b w:val="1"/>
                <w:bCs w:val="1"/>
                <w:color w:val="0000FF"/>
                <w:w w:val="84"/>
              </w:rPr>
              <w:t>Governance</w:t>
            </w:r>
          </w:p>
        </w:tc>
        <w:tc>
          <w:tcPr>
            <w:tcW w:w="4600" w:type="dxa"/>
            <w:vAlign w:val="bottom"/>
            <w:gridSpan w:val="8"/>
          </w:tcPr>
          <w:p>
            <w:pPr>
              <w:spacing w:after="0"/>
              <w:rPr>
                <w:sz w:val="19"/>
                <w:szCs w:val="19"/>
                <w:color w:val="auto"/>
              </w:rPr>
            </w:pPr>
          </w:p>
        </w:tc>
        <w:tc>
          <w:tcPr>
            <w:tcW w:w="6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highlight w:val="white"/>
              </w:rPr>
              <w:t>129</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11.</w:t>
            </w:r>
          </w:p>
        </w:tc>
        <w:tc>
          <w:tcPr>
            <w:tcW w:w="2020" w:type="dxa"/>
            <w:vAlign w:val="bottom"/>
            <w:tcBorders>
              <w:bottom w:val="single" w:sz="8" w:color="0000FF"/>
            </w:tcBorders>
            <w:gridSpan w:val="8"/>
          </w:tcPr>
          <w:p>
            <w:pPr>
              <w:spacing w:after="0" w:line="225" w:lineRule="exact"/>
              <w:rPr>
                <w:sz w:val="20"/>
                <w:szCs w:val="20"/>
                <w:color w:val="auto"/>
              </w:rPr>
            </w:pPr>
            <w:r>
              <w:rPr>
                <w:rFonts w:ascii="Arial" w:cs="Arial" w:eastAsia="Arial" w:hAnsi="Arial"/>
                <w:sz w:val="20"/>
                <w:szCs w:val="20"/>
                <w:b w:val="1"/>
                <w:bCs w:val="1"/>
                <w:color w:val="0000FF"/>
                <w:highlight w:val="white"/>
                <w:w w:val="84"/>
              </w:rPr>
              <w:t xml:space="preserve">Executive </w:t>
            </w:r>
            <w:r>
              <w:rPr>
                <w:rFonts w:ascii="Arial" w:cs="Arial" w:eastAsia="Arial" w:hAnsi="Arial"/>
                <w:sz w:val="20"/>
                <w:szCs w:val="20"/>
                <w:b w:val="1"/>
                <w:bCs w:val="1"/>
                <w:color w:val="0000FF"/>
                <w:w w:val="84"/>
              </w:rPr>
              <w:t>Compensation</w:t>
            </w:r>
          </w:p>
        </w:tc>
        <w:tc>
          <w:tcPr>
            <w:tcW w:w="7140" w:type="dxa"/>
            <w:vAlign w:val="bottom"/>
            <w:gridSpan w:val="13"/>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129</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12.</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w w:val="96"/>
              </w:rPr>
              <w:t xml:space="preserve">Security Ownership of Certain Beneficial Owners and Management and Related Stockholder </w:t>
            </w:r>
            <w:r>
              <w:rPr>
                <w:rFonts w:ascii="Arial" w:cs="Arial" w:eastAsia="Arial" w:hAnsi="Arial"/>
                <w:sz w:val="20"/>
                <w:szCs w:val="20"/>
                <w:b w:val="1"/>
                <w:bCs w:val="1"/>
                <w:color w:val="0000FF"/>
                <w:w w:val="96"/>
              </w:rPr>
              <w:t>Matters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129</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13.</w:t>
            </w:r>
          </w:p>
        </w:tc>
        <w:tc>
          <w:tcPr>
            <w:tcW w:w="6080" w:type="dxa"/>
            <w:vAlign w:val="bottom"/>
            <w:tcBorders>
              <w:top w:val="single" w:sz="8" w:color="0000FF"/>
              <w:bottom w:val="single" w:sz="8" w:color="0000FF"/>
            </w:tcBorders>
            <w:gridSpan w:val="16"/>
          </w:tcPr>
          <w:p>
            <w:pPr>
              <w:spacing w:after="0" w:line="225" w:lineRule="exact"/>
              <w:rPr>
                <w:sz w:val="20"/>
                <w:szCs w:val="20"/>
                <w:color w:val="auto"/>
              </w:rPr>
            </w:pPr>
            <w:r>
              <w:rPr>
                <w:rFonts w:ascii="Arial" w:cs="Arial" w:eastAsia="Arial" w:hAnsi="Arial"/>
                <w:sz w:val="20"/>
                <w:szCs w:val="20"/>
                <w:b w:val="1"/>
                <w:bCs w:val="1"/>
                <w:color w:val="0000FF"/>
                <w:highlight w:val="white"/>
                <w:w w:val="83"/>
              </w:rPr>
              <w:t xml:space="preserve">Certain Relationships and Related Transactions, and Director </w:t>
            </w:r>
            <w:r>
              <w:rPr>
                <w:rFonts w:ascii="Arial" w:cs="Arial" w:eastAsia="Arial" w:hAnsi="Arial"/>
                <w:sz w:val="20"/>
                <w:szCs w:val="20"/>
                <w:b w:val="1"/>
                <w:bCs w:val="1"/>
                <w:color w:val="0000FF"/>
                <w:w w:val="83"/>
              </w:rPr>
              <w:t>Independence</w:t>
            </w:r>
          </w:p>
        </w:tc>
        <w:tc>
          <w:tcPr>
            <w:tcW w:w="2020" w:type="dxa"/>
            <w:vAlign w:val="bottom"/>
            <w:tcBorders>
              <w:top w:val="single" w:sz="8" w:color="0000FF"/>
            </w:tcBorders>
            <w:gridSpan w:val="3"/>
          </w:tcPr>
          <w:p>
            <w:pPr>
              <w:spacing w:after="0"/>
              <w:rPr>
                <w:sz w:val="19"/>
                <w:szCs w:val="19"/>
                <w:color w:val="auto"/>
              </w:rPr>
            </w:pPr>
          </w:p>
        </w:tc>
        <w:tc>
          <w:tcPr>
            <w:tcW w:w="1060" w:type="dxa"/>
            <w:vAlign w:val="bottom"/>
            <w:gridSpan w:val="2"/>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129</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14.</w:t>
            </w:r>
          </w:p>
        </w:tc>
        <w:tc>
          <w:tcPr>
            <w:tcW w:w="9160" w:type="dxa"/>
            <w:vAlign w:val="bottom"/>
            <w:gridSpan w:val="21"/>
          </w:tcPr>
          <w:p>
            <w:pPr>
              <w:spacing w:after="0" w:line="225" w:lineRule="exact"/>
              <w:rPr>
                <w:sz w:val="20"/>
                <w:szCs w:val="20"/>
                <w:color w:val="auto"/>
              </w:rPr>
            </w:pPr>
            <w:r>
              <w:rPr>
                <w:rFonts w:ascii="Arial" w:cs="Arial" w:eastAsia="Arial" w:hAnsi="Arial"/>
                <w:sz w:val="20"/>
                <w:szCs w:val="20"/>
                <w:b w:val="1"/>
                <w:bCs w:val="1"/>
                <w:color w:val="0000FF"/>
                <w:highlight w:val="white"/>
              </w:rPr>
              <w:t xml:space="preserve">Principal Accounting Fees and </w:t>
            </w:r>
            <w:r>
              <w:rPr>
                <w:rFonts w:ascii="Arial" w:cs="Arial" w:eastAsia="Arial" w:hAnsi="Arial"/>
                <w:sz w:val="20"/>
                <w:szCs w:val="20"/>
                <w:b w:val="1"/>
                <w:bCs w:val="1"/>
                <w:color w:val="0000FF"/>
              </w:rPr>
              <w:t>Services</w:t>
            </w: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129</w:t>
            </w:r>
          </w:p>
        </w:tc>
      </w:tr>
      <w:tr>
        <w:trPr>
          <w:trHeight w:val="486"/>
        </w:trPr>
        <w:tc>
          <w:tcPr>
            <w:tcW w:w="960" w:type="dxa"/>
            <w:vAlign w:val="bottom"/>
          </w:tcPr>
          <w:p>
            <w:pPr>
              <w:spacing w:after="0"/>
              <w:rPr>
                <w:sz w:val="20"/>
                <w:szCs w:val="20"/>
                <w:color w:val="auto"/>
              </w:rPr>
            </w:pPr>
            <w:r>
              <w:rPr>
                <w:rFonts w:ascii="Arial" w:cs="Arial" w:eastAsia="Arial" w:hAnsi="Arial"/>
                <w:sz w:val="20"/>
                <w:szCs w:val="20"/>
                <w:b w:val="1"/>
                <w:bCs w:val="1"/>
                <w:color w:val="auto"/>
                <w:highlight w:val="white"/>
              </w:rPr>
              <w:t xml:space="preserve">PART </w:t>
            </w:r>
            <w:r>
              <w:rPr>
                <w:rFonts w:ascii="Arial" w:cs="Arial" w:eastAsia="Arial" w:hAnsi="Arial"/>
                <w:sz w:val="20"/>
                <w:szCs w:val="20"/>
                <w:b w:val="1"/>
                <w:bCs w:val="1"/>
                <w:color w:val="auto"/>
              </w:rPr>
              <w:t>IV</w:t>
            </w:r>
          </w:p>
        </w:tc>
        <w:tc>
          <w:tcPr>
            <w:tcW w:w="7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20"/>
                <w:szCs w:val="20"/>
                <w:b w:val="1"/>
                <w:bCs w:val="1"/>
                <w:color w:val="auto"/>
                <w:highlight w:val="white"/>
              </w:rPr>
              <w:t>Item 15.</w:t>
            </w:r>
          </w:p>
        </w:tc>
        <w:tc>
          <w:tcPr>
            <w:tcW w:w="9160" w:type="dxa"/>
            <w:vAlign w:val="bottom"/>
            <w:gridSpan w:val="21"/>
          </w:tcPr>
          <w:p>
            <w:pPr>
              <w:spacing w:after="0"/>
              <w:rPr>
                <w:sz w:val="20"/>
                <w:szCs w:val="20"/>
                <w:color w:val="auto"/>
              </w:rPr>
            </w:pPr>
            <w:r>
              <w:rPr>
                <w:rFonts w:ascii="Arial" w:cs="Arial" w:eastAsia="Arial" w:hAnsi="Arial"/>
                <w:sz w:val="20"/>
                <w:szCs w:val="20"/>
                <w:b w:val="1"/>
                <w:bCs w:val="1"/>
                <w:color w:val="0000FF"/>
                <w:highlight w:val="white"/>
              </w:rPr>
              <w:t xml:space="preserve">Exhibits, Financial Statement </w:t>
            </w:r>
            <w:r>
              <w:rPr>
                <w:rFonts w:ascii="Arial" w:cs="Arial" w:eastAsia="Arial" w:hAnsi="Arial"/>
                <w:sz w:val="20"/>
                <w:szCs w:val="20"/>
                <w:b w:val="1"/>
                <w:bCs w:val="1"/>
                <w:color w:val="0000FF"/>
              </w:rPr>
              <w:t>Schedules</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highlight w:val="white"/>
              </w:rPr>
              <w:t>130</w:t>
            </w:r>
          </w:p>
        </w:tc>
      </w:tr>
      <w:tr>
        <w:trPr>
          <w:trHeight w:val="225"/>
        </w:trPr>
        <w:tc>
          <w:tcPr>
            <w:tcW w:w="960" w:type="dxa"/>
            <w:vAlign w:val="bottom"/>
          </w:tcPr>
          <w:p>
            <w:pPr>
              <w:ind w:left="140"/>
              <w:spacing w:after="0" w:line="225" w:lineRule="exact"/>
              <w:rPr>
                <w:sz w:val="20"/>
                <w:szCs w:val="20"/>
                <w:color w:val="auto"/>
              </w:rPr>
            </w:pPr>
            <w:r>
              <w:rPr>
                <w:rFonts w:ascii="Arial" w:cs="Arial" w:eastAsia="Arial" w:hAnsi="Arial"/>
                <w:sz w:val="20"/>
                <w:szCs w:val="20"/>
                <w:b w:val="1"/>
                <w:bCs w:val="1"/>
                <w:color w:val="auto"/>
                <w:highlight w:val="white"/>
              </w:rPr>
              <w:t>Item 16.</w:t>
            </w:r>
          </w:p>
        </w:tc>
        <w:tc>
          <w:tcPr>
            <w:tcW w:w="3220" w:type="dxa"/>
            <w:vAlign w:val="bottom"/>
            <w:tcBorders>
              <w:top w:val="single" w:sz="8" w:color="0000FF"/>
            </w:tcBorders>
            <w:gridSpan w:val="11"/>
          </w:tcPr>
          <w:p>
            <w:pPr>
              <w:spacing w:after="0" w:line="225" w:lineRule="exact"/>
              <w:rPr>
                <w:sz w:val="20"/>
                <w:szCs w:val="20"/>
                <w:color w:val="auto"/>
              </w:rPr>
            </w:pPr>
            <w:r>
              <w:rPr>
                <w:rFonts w:ascii="Arial" w:cs="Arial" w:eastAsia="Arial" w:hAnsi="Arial"/>
                <w:sz w:val="20"/>
                <w:szCs w:val="20"/>
                <w:b w:val="1"/>
                <w:bCs w:val="1"/>
                <w:color w:val="0000FF"/>
                <w:highlight w:val="white"/>
              </w:rPr>
              <w:t>Form 10-K Summary</w:t>
            </w:r>
          </w:p>
        </w:tc>
        <w:tc>
          <w:tcPr>
            <w:tcW w:w="5940" w:type="dxa"/>
            <w:vAlign w:val="bottom"/>
            <w:gridSpan w:val="10"/>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130</w:t>
            </w:r>
          </w:p>
        </w:tc>
      </w:tr>
      <w:tr>
        <w:trPr>
          <w:trHeight w:val="225"/>
        </w:trPr>
        <w:tc>
          <w:tcPr>
            <w:tcW w:w="960" w:type="dxa"/>
            <w:vAlign w:val="bottom"/>
          </w:tcPr>
          <w:p>
            <w:pPr>
              <w:spacing w:after="0"/>
              <w:rPr>
                <w:sz w:val="19"/>
                <w:szCs w:val="19"/>
                <w:color w:val="auto"/>
              </w:rPr>
            </w:pPr>
          </w:p>
        </w:tc>
        <w:tc>
          <w:tcPr>
            <w:tcW w:w="1720" w:type="dxa"/>
            <w:vAlign w:val="bottom"/>
            <w:tcBorders>
              <w:top w:val="single" w:sz="8" w:color="0000FF"/>
            </w:tcBorders>
            <w:gridSpan w:val="6"/>
          </w:tcPr>
          <w:p>
            <w:pPr>
              <w:spacing w:after="0" w:line="225" w:lineRule="exact"/>
              <w:rPr>
                <w:sz w:val="20"/>
                <w:szCs w:val="20"/>
                <w:color w:val="auto"/>
              </w:rPr>
            </w:pPr>
            <w:r>
              <w:rPr>
                <w:rFonts w:ascii="Arial" w:cs="Arial" w:eastAsia="Arial" w:hAnsi="Arial"/>
                <w:sz w:val="20"/>
                <w:szCs w:val="20"/>
                <w:b w:val="1"/>
                <w:bCs w:val="1"/>
                <w:color w:val="0000FF"/>
              </w:rPr>
              <w:t>Signatures</w:t>
            </w:r>
          </w:p>
        </w:tc>
        <w:tc>
          <w:tcPr>
            <w:tcW w:w="7440" w:type="dxa"/>
            <w:vAlign w:val="bottom"/>
            <w:gridSpan w:val="15"/>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highlight w:val="white"/>
              </w:rPr>
              <w:t>133</w:t>
            </w:r>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-5114925</wp:posOffset>
            </wp:positionV>
            <wp:extent cx="6883400" cy="5132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3400" cy="5132070"/>
                    </a:xfrm>
                    <a:prstGeom prst="rect">
                      <a:avLst/>
                    </a:prstGeom>
                    <a:noFill/>
                  </pic:spPr>
                </pic:pic>
              </a:graphicData>
            </a:graphic>
          </wp:anchor>
        </w:drawing>
      </w:r>
    </w:p>
    <w:p>
      <w:pPr>
        <w:sectPr>
          <w:pgSz w:w="12240" w:h="15840" w:orient="portrait"/>
          <w:cols w:equalWidth="0" w:num="1">
            <w:col w:w="10800"/>
          </w:cols>
          <w:pgMar w:left="720" w:top="1440" w:right="72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51" w:lineRule="exact"/>
        <w:rPr>
          <w:sz w:val="20"/>
          <w:szCs w:val="20"/>
          <w:color w:val="auto"/>
        </w:rPr>
      </w:pPr>
    </w:p>
    <w:p>
      <w:pPr>
        <w:ind w:right="20" w:firstLine="490"/>
        <w:spacing w:after="0" w:line="286" w:lineRule="auto"/>
        <w:rPr>
          <w:sz w:val="20"/>
          <w:szCs w:val="20"/>
          <w:color w:val="auto"/>
        </w:rPr>
      </w:pPr>
      <w:r>
        <w:rPr>
          <w:rFonts w:ascii="Arial" w:cs="Arial" w:eastAsia="Arial" w:hAnsi="Arial"/>
          <w:sz w:val="17"/>
          <w:szCs w:val="17"/>
          <w:b w:val="1"/>
          <w:bCs w:val="1"/>
          <w:color w:val="auto"/>
        </w:rPr>
        <w:t>This Annual Report on Form 10-K contains forward-looking statements. All statements other than statements of historical facts contained in this Annual Report, including statements regarding our future results of operations and financial position, business strategy, product candidates, plans for and results of our research, preclinical studies and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95" w:lineRule="exact"/>
        <w:rPr>
          <w:sz w:val="20"/>
          <w:szCs w:val="20"/>
          <w:color w:val="auto"/>
        </w:rPr>
      </w:pPr>
    </w:p>
    <w:p>
      <w:pPr>
        <w:ind w:right="40" w:firstLine="490"/>
        <w:spacing w:after="0" w:line="272" w:lineRule="auto"/>
        <w:rPr>
          <w:sz w:val="20"/>
          <w:szCs w:val="20"/>
          <w:color w:val="auto"/>
        </w:rPr>
      </w:pPr>
      <w:r>
        <w:rPr>
          <w:rFonts w:ascii="Arial" w:cs="Arial" w:eastAsia="Arial" w:hAnsi="Arial"/>
          <w:sz w:val="18"/>
          <w:szCs w:val="18"/>
          <w:b w:val="1"/>
          <w:bCs w:val="1"/>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w:t>
      </w:r>
    </w:p>
    <w:p>
      <w:pPr>
        <w:spacing w:after="0" w:line="95" w:lineRule="exact"/>
        <w:rPr>
          <w:sz w:val="20"/>
          <w:szCs w:val="20"/>
          <w:color w:val="auto"/>
        </w:rPr>
      </w:pPr>
    </w:p>
    <w:p>
      <w:pPr>
        <w:ind w:left="980" w:right="700"/>
        <w:spacing w:after="0" w:line="233" w:lineRule="auto"/>
        <w:rPr>
          <w:sz w:val="20"/>
          <w:szCs w:val="20"/>
          <w:color w:val="auto"/>
        </w:rPr>
      </w:pPr>
      <w:r>
        <w:rPr>
          <w:rFonts w:ascii="Arial" w:cs="Arial" w:eastAsia="Arial" w:hAnsi="Arial"/>
          <w:sz w:val="20"/>
          <w:szCs w:val="20"/>
          <w:b w:val="1"/>
          <w:bCs w:val="1"/>
          <w:color w:val="auto"/>
        </w:rPr>
        <w:t>our plans relating to the development and manufacturing of our product candidates and research programs;</w:t>
      </w:r>
    </w:p>
    <w:p>
      <w:pPr>
        <w:spacing w:after="0" w:line="146" w:lineRule="exact"/>
        <w:rPr>
          <w:sz w:val="20"/>
          <w:szCs w:val="20"/>
          <w:color w:val="auto"/>
        </w:rPr>
      </w:pPr>
    </w:p>
    <w:p>
      <w:pPr>
        <w:ind w:left="980" w:right="460"/>
        <w:spacing w:after="0" w:line="234" w:lineRule="auto"/>
        <w:rPr>
          <w:sz w:val="20"/>
          <w:szCs w:val="20"/>
          <w:color w:val="auto"/>
        </w:rPr>
      </w:pPr>
      <w:r>
        <w:rPr>
          <w:rFonts w:ascii="Arial" w:cs="Arial" w:eastAsia="Arial" w:hAnsi="Arial"/>
          <w:sz w:val="20"/>
          <w:szCs w:val="20"/>
          <w:b w:val="1"/>
          <w:bCs w:val="1"/>
          <w:color w:val="auto"/>
        </w:rPr>
        <w:t>our plans for advancing research and pre-clinical stage programs into clinical development and our ability to execute on those plans;</w:t>
      </w:r>
    </w:p>
    <w:p>
      <w:pPr>
        <w:spacing w:after="0" w:line="146" w:lineRule="exact"/>
        <w:rPr>
          <w:sz w:val="20"/>
          <w:szCs w:val="20"/>
          <w:color w:val="auto"/>
        </w:rPr>
      </w:pPr>
    </w:p>
    <w:p>
      <w:pPr>
        <w:ind w:left="980" w:right="220"/>
        <w:spacing w:after="0" w:line="234" w:lineRule="auto"/>
        <w:rPr>
          <w:sz w:val="20"/>
          <w:szCs w:val="20"/>
          <w:color w:val="auto"/>
        </w:rPr>
      </w:pPr>
      <w:r>
        <w:rPr>
          <w:rFonts w:ascii="Arial" w:cs="Arial" w:eastAsia="Arial" w:hAnsi="Arial"/>
          <w:sz w:val="20"/>
          <w:szCs w:val="20"/>
          <w:b w:val="1"/>
          <w:bCs w:val="1"/>
          <w:color w:val="auto"/>
        </w:rPr>
        <w:t>the ability of our clinical trials to demonstrate safety and efficacy of our product candidates, and other positive results;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beneficial characteristics, safety, efficacy, and therapeutic effects of our product candidates;</w:t>
      </w:r>
    </w:p>
    <w:p>
      <w:pPr>
        <w:spacing w:after="0" w:line="155" w:lineRule="exact"/>
        <w:rPr>
          <w:sz w:val="20"/>
          <w:szCs w:val="20"/>
          <w:color w:val="auto"/>
        </w:rPr>
      </w:pPr>
    </w:p>
    <w:p>
      <w:pPr>
        <w:ind w:left="980" w:right="420"/>
        <w:spacing w:after="0" w:line="281" w:lineRule="auto"/>
        <w:rPr>
          <w:sz w:val="20"/>
          <w:szCs w:val="20"/>
          <w:color w:val="auto"/>
        </w:rPr>
      </w:pPr>
      <w:r>
        <w:rPr>
          <w:rFonts w:ascii="Arial" w:cs="Arial" w:eastAsia="Arial" w:hAnsi="Arial"/>
          <w:sz w:val="18"/>
          <w:szCs w:val="18"/>
          <w:b w:val="1"/>
          <w:bCs w:val="1"/>
          <w:color w:val="auto"/>
        </w:rPr>
        <w:t>the expected potential benefits of strategic collaborations with third parties and our ability to attract collaborators with development, regulatory and commercialization expertise;</w:t>
      </w:r>
    </w:p>
    <w:p>
      <w:pPr>
        <w:spacing w:after="0" w:line="110" w:lineRule="exact"/>
        <w:rPr>
          <w:sz w:val="20"/>
          <w:szCs w:val="20"/>
          <w:color w:val="auto"/>
        </w:rPr>
      </w:pPr>
    </w:p>
    <w:p>
      <w:pPr>
        <w:ind w:left="980" w:right="280"/>
        <w:spacing w:after="0" w:line="312" w:lineRule="auto"/>
        <w:rPr>
          <w:sz w:val="20"/>
          <w:szCs w:val="20"/>
          <w:color w:val="auto"/>
        </w:rPr>
      </w:pPr>
      <w:r>
        <w:rPr>
          <w:rFonts w:ascii="Arial" w:cs="Arial" w:eastAsia="Arial" w:hAnsi="Arial"/>
          <w:sz w:val="17"/>
          <w:szCs w:val="17"/>
          <w:b w:val="1"/>
          <w:bCs w:val="1"/>
          <w:color w:val="auto"/>
        </w:rPr>
        <w:t>our estimates of the number of patients in the United States and the European Union who suffer from the diseases we are targeting and the number of patients that will enroll in our clinical trials;</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the timing and focus of our future clinical trials, and the reporting of data from those trials;</w:t>
      </w:r>
    </w:p>
    <w:p>
      <w:pPr>
        <w:spacing w:after="0" w:line="145" w:lineRule="exact"/>
        <w:rPr>
          <w:sz w:val="20"/>
          <w:szCs w:val="20"/>
          <w:color w:val="auto"/>
        </w:rPr>
      </w:pPr>
    </w:p>
    <w:p>
      <w:pPr>
        <w:ind w:left="980" w:right="540"/>
        <w:spacing w:after="0" w:line="309" w:lineRule="auto"/>
        <w:rPr>
          <w:sz w:val="20"/>
          <w:szCs w:val="20"/>
          <w:color w:val="auto"/>
        </w:rPr>
      </w:pPr>
      <w:r>
        <w:rPr>
          <w:rFonts w:ascii="Arial" w:cs="Arial" w:eastAsia="Arial" w:hAnsi="Arial"/>
          <w:sz w:val="17"/>
          <w:szCs w:val="17"/>
          <w:b w:val="1"/>
          <w:bCs w:val="1"/>
          <w:color w:val="auto"/>
        </w:rPr>
        <w:t>our plans relating to commercializing our product candidates, if approved, including our sales and marketing strategy and the regions and countries selected for commercialization activities;</w:t>
      </w:r>
    </w:p>
    <w:p>
      <w:pPr>
        <w:spacing w:after="0" w:line="89" w:lineRule="exact"/>
        <w:rPr>
          <w:sz w:val="20"/>
          <w:szCs w:val="20"/>
          <w:color w:val="auto"/>
        </w:rPr>
      </w:pPr>
    </w:p>
    <w:p>
      <w:pPr>
        <w:ind w:left="980" w:right="280"/>
        <w:spacing w:after="0" w:line="507" w:lineRule="auto"/>
        <w:rPr>
          <w:sz w:val="20"/>
          <w:szCs w:val="20"/>
          <w:color w:val="auto"/>
        </w:rPr>
      </w:pPr>
      <w:r>
        <w:rPr>
          <w:rFonts w:ascii="Arial" w:cs="Arial" w:eastAsia="Arial" w:hAnsi="Arial"/>
          <w:sz w:val="15"/>
          <w:szCs w:val="15"/>
          <w:b w:val="1"/>
          <w:bCs w:val="1"/>
          <w:color w:val="auto"/>
        </w:rPr>
        <w:t>the size of the market opportunity for our product candidates in each of the diseases we are targeting; our ability to expand our product candidates into additional indications and patient populations;</w:t>
      </w:r>
    </w:p>
    <w:p>
      <w:pPr>
        <w:ind w:left="620"/>
        <w:spacing w:after="0"/>
        <w:rPr>
          <w:sz w:val="20"/>
          <w:szCs w:val="20"/>
          <w:color w:val="auto"/>
        </w:rPr>
      </w:pPr>
      <w:r>
        <w:rPr>
          <w:rFonts w:ascii="Arial" w:cs="Arial" w:eastAsia="Arial" w:hAnsi="Arial"/>
          <w:sz w:val="20"/>
          <w:szCs w:val="20"/>
          <w:b w:val="1"/>
          <w:bCs w:val="1"/>
          <w:color w:val="auto"/>
        </w:rPr>
        <w:t>the success of competing therapies that are or may become available;</w:t>
      </w:r>
    </w:p>
    <w:p>
      <w:pPr>
        <w:spacing w:after="0" w:line="145" w:lineRule="exact"/>
        <w:rPr>
          <w:sz w:val="20"/>
          <w:szCs w:val="20"/>
          <w:color w:val="auto"/>
        </w:rPr>
      </w:pPr>
    </w:p>
    <w:p>
      <w:pPr>
        <w:ind w:left="980" w:right="300"/>
        <w:spacing w:after="0" w:line="386" w:lineRule="auto"/>
        <w:rPr>
          <w:sz w:val="20"/>
          <w:szCs w:val="20"/>
          <w:color w:val="auto"/>
        </w:rPr>
      </w:pPr>
      <w:r>
        <w:rPr>
          <w:rFonts w:ascii="Arial" w:cs="Arial" w:eastAsia="Arial" w:hAnsi="Arial"/>
          <w:sz w:val="15"/>
          <w:szCs w:val="15"/>
          <w:b w:val="1"/>
          <w:bCs w:val="1"/>
          <w:color w:val="auto"/>
        </w:rPr>
        <w:t>the timing or likelihood of regulatory filings and approvals, including our expectation to seek special designations, such as orphan drug designation, for our product candidates for various diseases;</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ability to obtain and maintain regulatory approval of our product candidates;</w:t>
      </w:r>
    </w:p>
    <w:p>
      <w:pPr>
        <w:spacing w:after="0" w:line="145" w:lineRule="exact"/>
        <w:rPr>
          <w:sz w:val="20"/>
          <w:szCs w:val="20"/>
          <w:color w:val="auto"/>
        </w:rPr>
      </w:pPr>
    </w:p>
    <w:p>
      <w:pPr>
        <w:ind w:left="980" w:right="120"/>
        <w:spacing w:after="0" w:line="234" w:lineRule="auto"/>
        <w:rPr>
          <w:sz w:val="20"/>
          <w:szCs w:val="20"/>
          <w:color w:val="auto"/>
        </w:rPr>
      </w:pPr>
      <w:r>
        <w:rPr>
          <w:rFonts w:ascii="Arial" w:cs="Arial" w:eastAsia="Arial" w:hAnsi="Arial"/>
          <w:sz w:val="20"/>
          <w:szCs w:val="20"/>
          <w:b w:val="1"/>
          <w:bCs w:val="1"/>
          <w:color w:val="auto"/>
        </w:rPr>
        <w:t>existing and potential future government actions, legislation, regulations, regulatory developments, and regulatory agencies in the United States and other jurisdictions;</w:t>
      </w:r>
    </w:p>
    <w:p>
      <w:pPr>
        <w:spacing w:after="0" w:line="146" w:lineRule="exact"/>
        <w:rPr>
          <w:sz w:val="20"/>
          <w:szCs w:val="20"/>
          <w:color w:val="auto"/>
        </w:rPr>
      </w:pPr>
    </w:p>
    <w:p>
      <w:pPr>
        <w:ind w:left="980" w:right="300"/>
        <w:spacing w:after="0" w:line="281" w:lineRule="auto"/>
        <w:rPr>
          <w:sz w:val="20"/>
          <w:szCs w:val="20"/>
          <w:color w:val="auto"/>
        </w:rPr>
      </w:pPr>
      <w:r>
        <w:rPr>
          <w:rFonts w:ascii="Arial" w:cs="Arial" w:eastAsia="Arial" w:hAnsi="Arial"/>
          <w:sz w:val="18"/>
          <w:szCs w:val="18"/>
          <w:b w:val="1"/>
          <w:bCs w:val="1"/>
          <w:color w:val="auto"/>
        </w:rPr>
        <w:t>our continued reliance on third parties to conduct clinical trials of our product candidates, and for the manufacture of our product candidates for preclinical studies and clinical trials;</w:t>
      </w:r>
    </w:p>
    <w:p>
      <w:pPr>
        <w:spacing w:after="0" w:line="110" w:lineRule="exact"/>
        <w:rPr>
          <w:sz w:val="20"/>
          <w:szCs w:val="20"/>
          <w:color w:val="auto"/>
        </w:rPr>
      </w:pPr>
    </w:p>
    <w:p>
      <w:pPr>
        <w:ind w:left="980" w:right="340"/>
        <w:spacing w:after="0" w:line="233" w:lineRule="auto"/>
        <w:rPr>
          <w:sz w:val="20"/>
          <w:szCs w:val="20"/>
          <w:color w:val="auto"/>
        </w:rPr>
      </w:pPr>
      <w:r>
        <w:rPr>
          <w:rFonts w:ascii="Arial" w:cs="Arial" w:eastAsia="Arial" w:hAnsi="Arial"/>
          <w:sz w:val="20"/>
          <w:szCs w:val="20"/>
          <w:b w:val="1"/>
          <w:bCs w:val="1"/>
          <w:color w:val="auto"/>
        </w:rPr>
        <w:t>our plans and ability to obtain or protect intellectual property rights, including extensions of existing patent terms where available;</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ability to anticipate our personnel needs and to attract and retain personnel;</w:t>
      </w:r>
    </w:p>
    <w:p>
      <w:pPr>
        <w:spacing w:after="0" w:line="145" w:lineRule="exact"/>
        <w:rPr>
          <w:sz w:val="20"/>
          <w:szCs w:val="20"/>
          <w:color w:val="auto"/>
        </w:rPr>
      </w:pPr>
    </w:p>
    <w:p>
      <w:pPr>
        <w:ind w:left="980" w:right="240"/>
        <w:spacing w:after="0" w:line="234" w:lineRule="auto"/>
        <w:rPr>
          <w:sz w:val="20"/>
          <w:szCs w:val="20"/>
          <w:color w:val="auto"/>
        </w:rPr>
      </w:pPr>
      <w:r>
        <w:rPr>
          <w:rFonts w:ascii="Arial" w:cs="Arial" w:eastAsia="Arial" w:hAnsi="Arial"/>
          <w:sz w:val="20"/>
          <w:szCs w:val="20"/>
          <w:b w:val="1"/>
          <w:bCs w:val="1"/>
          <w:color w:val="auto"/>
        </w:rPr>
        <w:t>the accuracy of our estimates regarding expenses, future revenue, capital requirements, and additional financing needs;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financial performance, including potential volatility in our stock price;</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9360"/>
          </w:cols>
          <w:pgMar w:left="1440" w:top="1439" w:right="1440" w:bottom="181" w:gutter="0" w:footer="0" w:header="0"/>
          <w:type w:val="continuous"/>
        </w:sectPr>
      </w:pPr>
    </w:p>
    <w:bookmarkStart w:id="3" w:name="page4"/>
    <w:bookmarkEnd w:id="3"/>
    <w:p>
      <w:pPr>
        <w:spacing w:after="0" w:line="1" w:lineRule="exact"/>
        <w:rPr>
          <w:sz w:val="20"/>
          <w:szCs w:val="20"/>
          <w:color w:val="auto"/>
        </w:rPr>
      </w:pPr>
    </w:p>
    <w:p>
      <w:pPr>
        <w:ind w:left="980" w:right="40"/>
        <w:spacing w:after="0" w:line="235" w:lineRule="auto"/>
        <w:rPr>
          <w:sz w:val="20"/>
          <w:szCs w:val="20"/>
          <w:color w:val="auto"/>
        </w:rPr>
      </w:pPr>
      <w:r>
        <w:rPr>
          <w:rFonts w:ascii="Arial" w:cs="Arial" w:eastAsia="Arial" w:hAnsi="Arial"/>
          <w:sz w:val="20"/>
          <w:szCs w:val="20"/>
          <w:b w:val="1"/>
          <w:bCs w:val="1"/>
          <w:color w:val="auto"/>
        </w:rPr>
        <w:t>the impact of worldwide economic conditions, including macroeconomic conditions, inflation, supply chain disruptions, trade tariffs, and economic impacts of pandemics or other public health outbreaks and geopolitical events on our business;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the effects of inflation; and</w:t>
      </w:r>
    </w:p>
    <w:p>
      <w:pPr>
        <w:spacing w:after="0" w:line="145" w:lineRule="exact"/>
        <w:rPr>
          <w:sz w:val="20"/>
          <w:szCs w:val="20"/>
          <w:color w:val="auto"/>
        </w:rPr>
      </w:pPr>
    </w:p>
    <w:p>
      <w:pPr>
        <w:ind w:left="980" w:right="560"/>
        <w:spacing w:after="0" w:line="234" w:lineRule="auto"/>
        <w:rPr>
          <w:sz w:val="20"/>
          <w:szCs w:val="20"/>
          <w:color w:val="auto"/>
        </w:rPr>
      </w:pPr>
      <w:r>
        <w:rPr>
          <w:rFonts w:ascii="Arial" w:cs="Arial" w:eastAsia="Arial" w:hAnsi="Arial"/>
          <w:sz w:val="20"/>
          <w:szCs w:val="20"/>
          <w:b w:val="1"/>
          <w:bCs w:val="1"/>
          <w:color w:val="auto"/>
        </w:rPr>
        <w:t>the sufficiency of our existing cash, cash equivalents, and marketable securities to fund our future operating expenses and capital expenditure requirements.</w:t>
      </w:r>
    </w:p>
    <w:p>
      <w:pPr>
        <w:spacing w:after="0" w:line="155"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96" w:lineRule="exact"/>
        <w:rPr>
          <w:sz w:val="20"/>
          <w:szCs w:val="20"/>
          <w:color w:val="auto"/>
        </w:rPr>
      </w:pPr>
    </w:p>
    <w:p>
      <w:pPr>
        <w:ind w:firstLine="490"/>
        <w:spacing w:after="0" w:line="269" w:lineRule="auto"/>
        <w:rPr>
          <w:sz w:val="20"/>
          <w:szCs w:val="20"/>
          <w:color w:val="auto"/>
        </w:rPr>
      </w:pPr>
      <w:r>
        <w:rPr>
          <w:rFonts w:ascii="Arial" w:cs="Arial" w:eastAsia="Arial" w:hAnsi="Arial"/>
          <w:sz w:val="18"/>
          <w:szCs w:val="18"/>
          <w:b w:val="1"/>
          <w:b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w:t>
      </w:r>
    </w:p>
    <w:p>
      <w:pPr>
        <w:sectPr>
          <w:pgSz w:w="12240" w:h="15840" w:orient="portrait"/>
          <w:cols w:equalWidth="0" w:num="1">
            <w:col w:w="9360"/>
          </w:cols>
          <w:pgMar w:left="1440" w:top="1440" w:right="1440" w:bottom="18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ind w:right="240" w:firstLine="490"/>
        <w:spacing w:after="0" w:line="353" w:lineRule="auto"/>
        <w:rPr>
          <w:sz w:val="20"/>
          <w:szCs w:val="20"/>
          <w:color w:val="auto"/>
        </w:rPr>
      </w:pPr>
      <w:r>
        <w:rPr>
          <w:rFonts w:ascii="Arial" w:cs="Arial" w:eastAsia="Arial" w:hAnsi="Arial"/>
          <w:sz w:val="15"/>
          <w:szCs w:val="15"/>
          <w:b w:val="1"/>
          <w:bCs w:val="1"/>
          <w:color w:val="auto"/>
        </w:rPr>
        <w:t>We are a clinical-stage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w:t>
      </w:r>
    </w:p>
    <w:p>
      <w:pPr>
        <w:spacing w:after="0" w:line="50" w:lineRule="exact"/>
        <w:rPr>
          <w:sz w:val="20"/>
          <w:szCs w:val="20"/>
          <w:color w:val="auto"/>
        </w:rPr>
      </w:pPr>
    </w:p>
    <w:p>
      <w:pPr>
        <w:ind w:firstLine="490"/>
        <w:spacing w:after="0" w:line="252" w:lineRule="auto"/>
        <w:rPr>
          <w:sz w:val="20"/>
          <w:szCs w:val="20"/>
          <w:color w:val="auto"/>
        </w:rPr>
      </w:pPr>
      <w:r>
        <w:rPr>
          <w:rFonts w:ascii="Arial" w:cs="Arial" w:eastAsia="Arial" w:hAnsi="Arial"/>
          <w:sz w:val="19"/>
          <w:szCs w:val="19"/>
          <w:b w:val="1"/>
          <w:bCs w:val="1"/>
          <w:color w:val="auto"/>
        </w:rPr>
        <w:t>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expertise in drug development, protein engineering, and antibody discovery.</w:t>
      </w:r>
    </w:p>
    <w:p>
      <w:pPr>
        <w:spacing w:after="0" w:line="122" w:lineRule="exact"/>
        <w:rPr>
          <w:sz w:val="20"/>
          <w:szCs w:val="20"/>
          <w:color w:val="auto"/>
        </w:rPr>
      </w:pPr>
    </w:p>
    <w:p>
      <w:pPr>
        <w:ind w:right="140" w:firstLine="490"/>
        <w:spacing w:after="0" w:line="252" w:lineRule="auto"/>
        <w:rPr>
          <w:sz w:val="20"/>
          <w:szCs w:val="20"/>
          <w:color w:val="auto"/>
        </w:rPr>
      </w:pPr>
      <w:r>
        <w:rPr>
          <w:rFonts w:ascii="Arial" w:cs="Arial" w:eastAsia="Arial" w:hAnsi="Arial"/>
          <w:sz w:val="19"/>
          <w:szCs w:val="19"/>
          <w:b w:val="1"/>
          <w:bCs w:val="1"/>
          <w:color w:val="auto"/>
        </w:rPr>
        <w:t>A key component of our strategy is the development and application of our Alector Brain Carrier (ABC) platform, a proprietary blood-brain barrier (BBB) delivery technology designed to improve central nervous system exposure across multiple therapeutic modalities. We continue to refine and expand this platform to enable effective brain delivery at clinically practical doses of antibodies, enzymes, and siRNA therapeutics. In parallel, we are investing in biomarkers and biomarker assays to guide patient selection, demonstrate target and pathway engagement, and assess biological impact in the clinic, with the goal of improving development efficiency and the likelihood of technical success.</w:t>
      </w:r>
    </w:p>
    <w:p>
      <w:pPr>
        <w:spacing w:after="0" w:line="125" w:lineRule="exact"/>
        <w:rPr>
          <w:sz w:val="20"/>
          <w:szCs w:val="20"/>
          <w:color w:val="auto"/>
        </w:rPr>
      </w:pPr>
    </w:p>
    <w:p>
      <w:pPr>
        <w:ind w:right="60" w:firstLine="490"/>
        <w:spacing w:after="0" w:line="271" w:lineRule="auto"/>
        <w:rPr>
          <w:sz w:val="20"/>
          <w:szCs w:val="20"/>
          <w:color w:val="auto"/>
        </w:rPr>
      </w:pPr>
      <w:r>
        <w:rPr>
          <w:rFonts w:ascii="Arial" w:cs="Arial" w:eastAsia="Arial" w:hAnsi="Arial"/>
          <w:sz w:val="18"/>
          <w:szCs w:val="18"/>
          <w:b w:val="1"/>
          <w:bCs w:val="1"/>
          <w:color w:val="auto"/>
        </w:rPr>
        <w:t>Our portfolio includes nivisnebart (formerly AL101/GSK4527226), an investigational progranulin (PGRN)-elevating antibody that has completed enrollment in a placebo-controlled, double-blinded Phase 2 study in early Alzheimer’s disease (AD) under our July 2021 Collaboration and License Agreement (GSK Agreement) with Glaxo Wellcome UK Limited, a subsidiary of GlaxoSmithKline plc (GSK).</w:t>
      </w:r>
    </w:p>
    <w:p>
      <w:pPr>
        <w:spacing w:after="0" w:line="104" w:lineRule="exact"/>
        <w:rPr>
          <w:sz w:val="20"/>
          <w:szCs w:val="20"/>
          <w:color w:val="auto"/>
        </w:rPr>
      </w:pPr>
    </w:p>
    <w:p>
      <w:pPr>
        <w:ind w:right="440" w:firstLine="490"/>
        <w:spacing w:after="0" w:line="290" w:lineRule="auto"/>
        <w:rPr>
          <w:sz w:val="20"/>
          <w:szCs w:val="20"/>
          <w:color w:val="auto"/>
        </w:rPr>
      </w:pPr>
      <w:r>
        <w:rPr>
          <w:rFonts w:ascii="Arial" w:cs="Arial" w:eastAsia="Arial" w:hAnsi="Arial"/>
          <w:sz w:val="17"/>
          <w:szCs w:val="17"/>
          <w:b w:val="1"/>
          <w:bCs w:val="1"/>
          <w:color w:val="auto"/>
        </w:rPr>
        <w:t xml:space="preserve">In addition, our wholly owned programs include lead candidates in preclinical development for a brain-penetrant anti-amyloid beta antibody for Alzheimer’s disease and a brain-penetrant GCase enzyme replacement therapy for Parkinson’s disease (PD) and Lewy body dementia (LBD). We are also advancing brain-penetrant siRNA programs targeting tau for Alzheimer’s disease, </w:t>
      </w:r>
      <w:r>
        <w:rPr>
          <w:sz w:val="1"/>
          <w:szCs w:val="1"/>
          <w:color w:val="auto"/>
        </w:rPr>
        <w:drawing>
          <wp:inline distT="0" distB="0" distL="0" distR="0">
            <wp:extent cx="124460" cy="86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460" cy="86360"/>
                    </a:xfrm>
                    <a:prstGeom prst="rect">
                      <a:avLst/>
                    </a:prstGeom>
                    <a:noFill/>
                    <a:ln>
                      <a:noFill/>
                    </a:ln>
                  </pic:spPr>
                </pic:pic>
              </a:graphicData>
            </a:graphic>
          </wp:inline>
        </w:drawing>
      </w:r>
      <w:r>
        <w:rPr>
          <w:rFonts w:ascii="Arial" w:cs="Arial" w:eastAsia="Arial" w:hAnsi="Arial"/>
          <w:sz w:val="17"/>
          <w:szCs w:val="17"/>
          <w:b w:val="1"/>
          <w:bCs w:val="1"/>
          <w:color w:val="auto"/>
        </w:rPr>
        <w:t>synuclein for Parkinson’s disease, and NLRP3, with potential applications across multiple neurodegenerative conditions.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Pipeline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Nivisnebart (formerly AL101/GSK4527226)</w:t>
      </w:r>
    </w:p>
    <w:p>
      <w:pPr>
        <w:spacing w:after="0" w:line="131"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auto"/>
        </w:rPr>
        <w:t>Nivisnebart is an investigational human recombinant monoclonal antibody designed to elevate PGRN levels in the brain. Its pharmacokinetic and pharmacodynamic properties may be suitable for treating prevalent neurodegenerative diseases. We and GSK are co-developing nivisnebart for the potential treatment of early AD, and it may also be evaluated for other indications, including PD. Loss of function (LOF) mutations in the GRN gene, which moderately reduce PGRN levels, have been shown to increase the risk of developing AD and PD. Conversely, increased PGRN levels have been demonstrated to be protective for those diseases in animal models. Given the strong link between GRN LOF mutations and neurodegeneration, elevating PGRN levels may provide a potential therapeutic approach that offers broad neuroprotection in both AD and PD.</w:t>
      </w:r>
    </w:p>
    <w:p>
      <w:pPr>
        <w:spacing w:after="0" w:line="97" w:lineRule="exact"/>
        <w:rPr>
          <w:sz w:val="20"/>
          <w:szCs w:val="20"/>
          <w:color w:val="auto"/>
        </w:rPr>
      </w:pPr>
    </w:p>
    <w:p>
      <w:pPr>
        <w:ind w:right="40" w:firstLine="490"/>
        <w:spacing w:after="0" w:line="269" w:lineRule="auto"/>
        <w:rPr>
          <w:sz w:val="20"/>
          <w:szCs w:val="20"/>
          <w:color w:val="auto"/>
        </w:rPr>
      </w:pPr>
      <w:r>
        <w:rPr>
          <w:rFonts w:ascii="Arial" w:cs="Arial" w:eastAsia="Arial" w:hAnsi="Arial"/>
          <w:sz w:val="18"/>
          <w:szCs w:val="18"/>
          <w:b w:val="1"/>
          <w:bCs w:val="1"/>
          <w:color w:val="auto"/>
        </w:rPr>
        <w:t>In April 2025, enrollment was completed in PROGRESS-AD, a randomized, double-blind, placebo-controlled, 76-week Phase 2 global clinical trial evaluating the safety and efficacy of nivisnebart in slowing disease progression in early AD. Trial completion is expected in 2026. An independent interim futility analysis is planned for the first half of 2026. In August 2025, the first patient from PROGRESS-AD was enrolled and dosed in the optional open-label extension (OLE) study, and enrollment in the OLE is ongoing. Under the current terms of the GSK Agreement, we are responsible for funding and sharing GSK’s and our development costs up to $140.5 million for the conduct of the initial Phase 2 trial of nivisnebart in early AD.</w:t>
      </w:r>
    </w:p>
    <w:p>
      <w:pPr>
        <w:spacing w:after="0" w:line="106" w:lineRule="exact"/>
        <w:rPr>
          <w:sz w:val="20"/>
          <w:szCs w:val="20"/>
          <w:color w:val="auto"/>
        </w:rPr>
      </w:pPr>
    </w:p>
    <w:p>
      <w:pPr>
        <w:jc w:val="both"/>
        <w:ind w:right="40" w:firstLine="490"/>
        <w:spacing w:after="0" w:line="252" w:lineRule="auto"/>
        <w:rPr>
          <w:sz w:val="20"/>
          <w:szCs w:val="20"/>
          <w:color w:val="auto"/>
        </w:rPr>
      </w:pPr>
      <w:r>
        <w:rPr>
          <w:rFonts w:ascii="Arial" w:cs="Arial" w:eastAsia="Arial" w:hAnsi="Arial"/>
          <w:sz w:val="19"/>
          <w:szCs w:val="19"/>
          <w:b w:val="1"/>
          <w:bCs w:val="1"/>
          <w:color w:val="auto"/>
        </w:rPr>
        <w:t>In a randomized, double-blind, placebo-controlled Phase 1 study in 88 healthy volunteers who received either single or multiple doses of nivisnebart administered intravenously or subcutaneously, nivisnebart was generally well tolerated and elevated PGRN levels in cerebrospinal fluid.</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9360"/>
          </w:cols>
          <w:pgMar w:left="1440" w:top="1439" w:right="1440" w:bottom="181"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Preclinical and Research Pipeline</w:t>
      </w:r>
    </w:p>
    <w:p>
      <w:pPr>
        <w:spacing w:after="0" w:line="131"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We have expanded and continued to advance our preclinical and research pipeline by leveraging our expertise in neuroscience and applying our proprietary blood-brain barrier technology platform, Alector Brain Carrier (ABC). Built on the core design principles of versatility, differentiated binding, and translatability to a distinct region of the transferrin receptor (TfR), ABC is intended to support the targeted delivery of therapeutics to the brain and to optimize safety and efficacy at lower doses. With a wide range of TfR binding affinities and binding kinetics, and the ability to target a distinct epitope of TfR, the platform can be aligned with the requirements of diverse therapeutic cargos, including antibodies, enzymes, proteins, and siRNA. The platform’s TfR binding domain is further adaptable to diverse engineered formats, enabling broad applicability to our product candidates. By leveraging these proprietary features, we aim to achieve efficient transport of our product candidates across the BBB with the goal of balancing brain uptake, potency, and safety. Our strategic approach positions us to develop therapeutic candidates for a range of neurodegenerative diseases.</w:t>
      </w:r>
    </w:p>
    <w:p>
      <w:pPr>
        <w:spacing w:after="0" w:line="96" w:lineRule="exact"/>
        <w:rPr>
          <w:sz w:val="20"/>
          <w:szCs w:val="20"/>
          <w:color w:val="auto"/>
        </w:rPr>
      </w:pPr>
    </w:p>
    <w:p>
      <w:pPr>
        <w:ind w:right="300" w:firstLine="490"/>
        <w:spacing w:after="0" w:line="236" w:lineRule="auto"/>
        <w:rPr>
          <w:sz w:val="20"/>
          <w:szCs w:val="20"/>
          <w:color w:val="auto"/>
        </w:rPr>
      </w:pPr>
      <w:r>
        <w:rPr>
          <w:rFonts w:ascii="Arial" w:cs="Arial" w:eastAsia="Arial" w:hAnsi="Arial"/>
          <w:sz w:val="20"/>
          <w:szCs w:val="20"/>
          <w:b w:val="1"/>
          <w:bCs w:val="1"/>
          <w:color w:val="auto"/>
        </w:rPr>
        <w:t>As part of our efforts to advance our programs through development and execute on our strategic plan, we may seek to partner with other biopharmaceutical companies. To date we have had three licensing, co-commercialization, or co-development agreements for certain programs in our pipeline, one of which is currently active.</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AL137 Program</w:t>
      </w:r>
    </w:p>
    <w:p>
      <w:pPr>
        <w:spacing w:after="0" w:line="131" w:lineRule="exact"/>
        <w:rPr>
          <w:sz w:val="20"/>
          <w:szCs w:val="20"/>
          <w:color w:val="auto"/>
        </w:rPr>
      </w:pPr>
    </w:p>
    <w:p>
      <w:pPr>
        <w:ind w:right="20" w:firstLine="490"/>
        <w:spacing w:after="0" w:line="261" w:lineRule="auto"/>
        <w:rPr>
          <w:sz w:val="20"/>
          <w:szCs w:val="20"/>
          <w:color w:val="auto"/>
        </w:rPr>
      </w:pPr>
      <w:r>
        <w:rPr>
          <w:rFonts w:ascii="Arial" w:cs="Arial" w:eastAsia="Arial" w:hAnsi="Arial"/>
          <w:sz w:val="17"/>
          <w:szCs w:val="17"/>
          <w:b w:val="1"/>
          <w:bCs w:val="1"/>
          <w:color w:val="auto"/>
        </w:rPr>
        <w:t xml:space="preserve">AL137 is our proprietary anti-amyloid beta </w:t>
      </w:r>
      <w:r>
        <w:rPr>
          <w:sz w:val="1"/>
          <w:szCs w:val="1"/>
          <w:color w:val="auto"/>
        </w:rPr>
        <w:drawing>
          <wp:inline distT="0" distB="0" distL="0" distR="0">
            <wp:extent cx="151765" cy="134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 cy="134620"/>
                    </a:xfrm>
                    <a:prstGeom prst="rect">
                      <a:avLst/>
                    </a:prstGeom>
                    <a:noFill/>
                    <a:ln>
                      <a:noFill/>
                    </a:ln>
                  </pic:spPr>
                </pic:pic>
              </a:graphicData>
            </a:graphic>
          </wp:inline>
        </w:drawing>
        <w:drawing>
          <wp:inline distT="0" distB="0" distL="0" distR="0">
            <wp:extent cx="121285" cy="134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285" cy="134620"/>
                    </a:xfrm>
                    <a:prstGeom prst="rect">
                      <a:avLst/>
                    </a:prstGeom>
                    <a:noFill/>
                    <a:ln>
                      <a:noFill/>
                    </a:ln>
                  </pic:spPr>
                </pic:pic>
              </a:graphicData>
            </a:graphic>
          </wp:inline>
        </w:drawing>
      </w:r>
      <w:r>
        <w:rPr>
          <w:rFonts w:ascii="Arial" w:cs="Arial" w:eastAsia="Arial" w:hAnsi="Arial"/>
          <w:sz w:val="17"/>
          <w:szCs w:val="17"/>
          <w:b w:val="1"/>
          <w:bCs w:val="1"/>
          <w:color w:val="auto"/>
        </w:rPr>
        <w:t xml:space="preserve"> antibody paired with our proprietary ABC in preclinical development for the potential treatment of AD. It is designed to remove brain </w:t>
      </w:r>
      <w:r>
        <w:rPr>
          <w:sz w:val="1"/>
          <w:szCs w:val="1"/>
          <w:color w:val="auto"/>
        </w:rPr>
        <w:drawing>
          <wp:inline distT="0" distB="0" distL="0" distR="0">
            <wp:extent cx="177800" cy="1346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800" cy="134620"/>
                    </a:xfrm>
                    <a:prstGeom prst="rect">
                      <a:avLst/>
                    </a:prstGeom>
                    <a:noFill/>
                    <a:ln>
                      <a:noFill/>
                    </a:ln>
                  </pic:spPr>
                </pic:pic>
              </a:graphicData>
            </a:graphic>
          </wp:inline>
        </w:drawing>
      </w:r>
      <w:r>
        <w:rPr>
          <w:rFonts w:ascii="Arial" w:cs="Arial" w:eastAsia="Arial" w:hAnsi="Arial"/>
          <w:sz w:val="17"/>
          <w:szCs w:val="17"/>
          <w:b w:val="1"/>
          <w:bCs w:val="1"/>
          <w:color w:val="auto"/>
        </w:rPr>
        <w:t xml:space="preserve"> plaques, with the potential for minimal treatment related incidence and/or severity of amyloid-related imaging abnormalities (ARIA) and the potential to enable subcutaneous delivery. AL137 features a high-affinity, fully human antibody that selectively binds PyroGlu3, a validated epitope on the toxic form of </w:t>
      </w:r>
      <w:r>
        <w:rPr>
          <w:sz w:val="1"/>
          <w:szCs w:val="1"/>
          <w:color w:val="auto"/>
        </w:rPr>
        <w:drawing>
          <wp:inline distT="0" distB="0" distL="0" distR="0">
            <wp:extent cx="177800" cy="1346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800" cy="134620"/>
                    </a:xfrm>
                    <a:prstGeom prst="rect">
                      <a:avLst/>
                    </a:prstGeom>
                    <a:noFill/>
                    <a:ln>
                      <a:noFill/>
                    </a:ln>
                  </pic:spPr>
                </pic:pic>
              </a:graphicData>
            </a:graphic>
          </wp:inline>
        </w:drawing>
      </w:r>
      <w:r>
        <w:rPr>
          <w:rFonts w:ascii="Arial" w:cs="Arial" w:eastAsia="Arial" w:hAnsi="Arial"/>
          <w:sz w:val="17"/>
          <w:szCs w:val="17"/>
          <w:b w:val="1"/>
          <w:bCs w:val="1"/>
          <w:color w:val="auto"/>
        </w:rPr>
        <w:t xml:space="preserve"> found in plaques, a fully active effector function that enables maximal recruitment of myeloid cells to remove plaques, and Alector’s proprietary ABC with tuned affinity, binding kinetics, and binding epitope designed to facilitate brain penetration and plaque removal while minimizing hematologic adverse effects. In preclinical studies to date, AL137 has demonstrated robust brain penetration in non-human primates, and an AL137 surrogate has demonstrated amyloid beta 42 reduction in murine studies.</w:t>
      </w:r>
    </w:p>
    <w:p>
      <w:pPr>
        <w:spacing w:after="0" w:line="118" w:lineRule="exact"/>
        <w:rPr>
          <w:sz w:val="20"/>
          <w:szCs w:val="20"/>
          <w:color w:val="auto"/>
        </w:rPr>
      </w:pPr>
    </w:p>
    <w:p>
      <w:pPr>
        <w:jc w:val="both"/>
        <w:ind w:right="360" w:firstLine="490"/>
        <w:spacing w:after="0" w:line="253" w:lineRule="auto"/>
        <w:rPr>
          <w:sz w:val="20"/>
          <w:szCs w:val="20"/>
          <w:color w:val="auto"/>
        </w:rPr>
      </w:pPr>
      <w:r>
        <w:rPr>
          <w:rFonts w:ascii="Arial" w:cs="Arial" w:eastAsia="Arial" w:hAnsi="Arial"/>
          <w:sz w:val="19"/>
          <w:szCs w:val="19"/>
          <w:b w:val="1"/>
          <w:bCs w:val="1"/>
          <w:color w:val="auto"/>
        </w:rPr>
        <w:t>We have selected AL137 as a lead candidate, with AL037 as our back-up candidate, and we are targeting submission of an Investigational New Drug (IND) application in the fourth quarter of 2026 or the first quarter of 2027, based on the timing of GMP clinical supply production.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AL050 Program</w:t>
      </w:r>
    </w:p>
    <w:p>
      <w:pPr>
        <w:spacing w:after="0" w:line="131"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AL050 is a GCase enzyme replacement therapy paired with our proprietary ABC technology in preclinical development for the potential treatment of Parkinson’s disease and Lewy body dementia in patients having GBA1 gene mutations that lead to reduced GCase activity. AL050 features an engineered GCase with improved activity and stability, a silenced effector function to maximize safety, and Alector’s ABC with a TfR epitope and affinity designed to enhance delivery across the BBB. An AL050 surrogate was shown in vivo to rescue GCase activity in GBA1 deficient mice. This mechanism aims to reduce cellular dysfunction and slow disease progression. In preclinical studies to date, AL050 doubled GCase activity in both rodents and non-human primates and reduced toxic substrate accumulation in a rodent GBA disease model with no apparent hematologic findings or other adverse effects, supporting its potential as a therapy for Parkinson’s disease and Lewy body dementia associated with GBA LOF mutations.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We have selected AL050 as a lead candidate, and we are targeting submission of an IND application in 2027.</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ABC-Enabled siRNA Platform</w:t>
      </w:r>
    </w:p>
    <w:p>
      <w:pPr>
        <w:spacing w:after="0" w:line="131" w:lineRule="exact"/>
        <w:rPr>
          <w:sz w:val="20"/>
          <w:szCs w:val="20"/>
          <w:color w:val="auto"/>
        </w:rPr>
      </w:pPr>
    </w:p>
    <w:p>
      <w:pPr>
        <w:ind w:right="160" w:firstLine="490"/>
        <w:spacing w:after="0" w:line="330" w:lineRule="auto"/>
        <w:rPr>
          <w:sz w:val="20"/>
          <w:szCs w:val="20"/>
          <w:color w:val="auto"/>
        </w:rPr>
      </w:pPr>
      <w:r>
        <w:rPr>
          <w:rFonts w:ascii="Arial" w:cs="Arial" w:eastAsia="Arial" w:hAnsi="Arial"/>
          <w:sz w:val="15"/>
          <w:szCs w:val="15"/>
          <w:b w:val="1"/>
          <w:bCs w:val="1"/>
          <w:color w:val="auto"/>
        </w:rPr>
        <w:t>We continue to advance our ABC-enabled siRNA platform. The platform is designed for peripheral dosing, offering the potential for more convenient administration compared with traditional intrathecal delivery, as well as the potential for homogeneous drug distribution throughout the brain. Current programs include our lead siRNA program, AL064, a tau siRNA for AD and other tauopathies, which aims to prevent the synthesis of the tau mRNA and protein, with the goal of removing toxic tau, suppressing tau protein expression, and slowing cognitive decline in AD. We have selected AL064 as a lead candidate and are advancing the program to IND-enabling studies. In addition to AL064, we are advancing additional early-stage siRNA programs toward lead candidate selection,</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w:t>
      </w:r>
    </w:p>
    <w:p>
      <w:pPr>
        <w:sectPr>
          <w:pgSz w:w="12240" w:h="15840" w:orient="portrait"/>
          <w:cols w:equalWidth="0" w:num="1">
            <w:col w:w="9360"/>
          </w:cols>
          <w:pgMar w:left="1440" w:top="1439" w:right="1440" w:bottom="181" w:gutter="0" w:footer="0" w:header="0"/>
          <w:type w:val="continuous"/>
        </w:sectPr>
      </w:pPr>
    </w:p>
    <w:bookmarkStart w:id="6" w:name="page7"/>
    <w:bookmarkEnd w:id="6"/>
    <w:p>
      <w:pPr>
        <w:spacing w:after="0" w:line="10"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b w:val="1"/>
          <w:bCs w:val="1"/>
          <w:color w:val="auto"/>
        </w:rPr>
        <w:t>including ADP062-ABC, an alpha-synuclein siRNA for PD, and ADP065-ABC, an NLRP3 siRNA for multiple neurodegenerative conditions, reflecting the broad applicability of the ABC platform across disease mechanisms. We continue to evolve our research and development plans and timing for our ABC-enabled siRNA programs including AL064.</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31" w:lineRule="exact"/>
        <w:rPr>
          <w:sz w:val="20"/>
          <w:szCs w:val="20"/>
          <w:color w:val="auto"/>
        </w:rPr>
      </w:pPr>
    </w:p>
    <w:p>
      <w:pPr>
        <w:jc w:val="both"/>
        <w:ind w:right="480" w:firstLine="490"/>
        <w:spacing w:after="0" w:line="274" w:lineRule="auto"/>
        <w:rPr>
          <w:sz w:val="20"/>
          <w:szCs w:val="20"/>
          <w:color w:val="auto"/>
        </w:rPr>
      </w:pPr>
      <w:r>
        <w:rPr>
          <w:rFonts w:ascii="Arial" w:cs="Arial" w:eastAsia="Arial" w:hAnsi="Arial"/>
          <w:sz w:val="18"/>
          <w:szCs w:val="18"/>
          <w:b w:val="1"/>
          <w:bCs w:val="1"/>
          <w:color w:val="auto"/>
        </w:rPr>
        <w:t>Our goal is to develop genetically validated therapies that remove pathogenic proteins, replace deficient proteins, and restore normal cellular function to address the complex mechanisms that drive neurodegenerative diseases. The key tenets of our business strategy to achieve this goal include:</w:t>
      </w:r>
    </w:p>
    <w:p>
      <w:pPr>
        <w:spacing w:after="0" w:line="255" w:lineRule="exact"/>
        <w:rPr>
          <w:sz w:val="20"/>
          <w:szCs w:val="20"/>
          <w:color w:val="auto"/>
        </w:rPr>
      </w:pPr>
    </w:p>
    <w:p>
      <w:pPr>
        <w:ind w:left="740" w:right="60"/>
        <w:spacing w:after="0" w:line="290" w:lineRule="auto"/>
        <w:rPr>
          <w:sz w:val="20"/>
          <w:szCs w:val="20"/>
          <w:color w:val="auto"/>
        </w:rPr>
      </w:pPr>
      <w:r>
        <w:rPr>
          <w:rFonts w:ascii="Arial" w:cs="Arial" w:eastAsia="Arial" w:hAnsi="Arial"/>
          <w:sz w:val="17"/>
          <w:szCs w:val="17"/>
          <w:b w:val="1"/>
          <w:bCs w:val="1"/>
          <w:color w:val="auto"/>
        </w:rPr>
        <w:t>Building a leading, fully-integrated company focused on delivering innovative therapies, validated by human genetics, and propelled by our expertise in neuroscience, protein engineering and drug development for the treatment of neurodegeneration. We believe that building a fully integrated research, development, and ultimately commercial company will enable us to develop therapies more rapidly and efficiently for patients and realize the full potential of our approach and discovery capabilities.</w:t>
      </w:r>
    </w:p>
    <w:p>
      <w:pPr>
        <w:spacing w:after="0" w:line="105" w:lineRule="exact"/>
        <w:rPr>
          <w:sz w:val="20"/>
          <w:szCs w:val="20"/>
          <w:color w:val="auto"/>
        </w:rPr>
      </w:pPr>
    </w:p>
    <w:p>
      <w:pPr>
        <w:ind w:left="740" w:right="40"/>
        <w:spacing w:after="0" w:line="328" w:lineRule="auto"/>
        <w:rPr>
          <w:sz w:val="20"/>
          <w:szCs w:val="20"/>
          <w:color w:val="auto"/>
        </w:rPr>
      </w:pPr>
      <w:r>
        <w:rPr>
          <w:rFonts w:ascii="Arial" w:cs="Arial" w:eastAsia="Arial" w:hAnsi="Arial"/>
          <w:sz w:val="15"/>
          <w:szCs w:val="15"/>
          <w:b w:val="1"/>
          <w:bCs w:val="1"/>
          <w:color w:val="auto"/>
        </w:rPr>
        <w:t>Applying our proprietary capabilities and clinical development expertise to rapidly advance our product candidates through clinical proof-of-concept studies and beyond. We are focused on maximizing the probability of success of our product candidates by leveraging an understanding of genetics and neuronal, immune, and lysosomal pathways, as well as our state-of-the-art bioinformatics, to enable better and earlier target selection. We apply our capabilities in antibody and protein engineering combined with our blood-brain barrier technology, ABC, to optimize our product candidates. We seek to develop efficient and effective clinical programs that capitalize on our biomarker expertise through informed patient selection, complementing our clinical outcome measures. We further intend to leverage our clinical development and trial execution expertise to advance new product candidates expeditiously through first-in-human and proof-of-concept studies to derisk the next stages of development in a data-driven manner.</w:t>
      </w:r>
    </w:p>
    <w:p>
      <w:pPr>
        <w:spacing w:after="0" w:line="312" w:lineRule="exact"/>
        <w:rPr>
          <w:sz w:val="20"/>
          <w:szCs w:val="20"/>
          <w:color w:val="auto"/>
        </w:rPr>
      </w:pPr>
    </w:p>
    <w:p>
      <w:pPr>
        <w:ind w:left="740" w:right="380"/>
        <w:spacing w:after="0" w:line="288" w:lineRule="auto"/>
        <w:rPr>
          <w:sz w:val="20"/>
          <w:szCs w:val="20"/>
          <w:color w:val="auto"/>
        </w:rPr>
      </w:pPr>
      <w:r>
        <w:rPr>
          <w:rFonts w:ascii="Arial" w:cs="Arial" w:eastAsia="Arial" w:hAnsi="Arial"/>
          <w:sz w:val="17"/>
          <w:szCs w:val="17"/>
          <w:b w:val="1"/>
          <w:bCs w:val="1"/>
          <w:color w:val="auto"/>
        </w:rPr>
        <w:t>Maximizing the therapeutic potential of our targets and product candidates. Given the central physiological roles played by the distinct targets of our product candidates, we believe that there is significant potential for us to address multiple indications with single targets. Our goal is to expand the therapeutic and commercial potential of product candidates to additional indications. We will remain disciplined about advancing this strategy by leveraging our discovery capabilities to inform expansion areas of maximum value and highest probability of success.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Research and Discovery Engine</w:t>
      </w:r>
    </w:p>
    <w:p>
      <w:pPr>
        <w:spacing w:after="0" w:line="131"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Our research and drug discovery engine enables us to (1) identify targets that play a critical role in the development and progression of neurodegenerative diseases based on genetic or pathological evidence, (2) interrogate and prioritize those targets using biomarkers, iPSC technology, proprietary biochemical and cell-based assays and preclinical models, and (3) rapidly develop and clinically test antibodies, enzymes, and siRNA product candidates, including in genetically-defined patient populations that may be most likely to respond to treatment. We believe that these capabilities provide us with the tools to solve the conceptual and technical challenges associated with the development of therapies for neurodegeneration.</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Specifically, the priorities of our efforts are:</w:t>
      </w:r>
    </w:p>
    <w:p>
      <w:pPr>
        <w:spacing w:after="0" w:line="120" w:lineRule="exact"/>
        <w:rPr>
          <w:sz w:val="20"/>
          <w:szCs w:val="20"/>
          <w:color w:val="auto"/>
        </w:rPr>
      </w:pPr>
    </w:p>
    <w:p>
      <w:pPr>
        <w:ind w:left="1100" w:right="60"/>
        <w:spacing w:after="0" w:line="327" w:lineRule="auto"/>
        <w:rPr>
          <w:sz w:val="20"/>
          <w:szCs w:val="20"/>
          <w:color w:val="auto"/>
        </w:rPr>
      </w:pPr>
      <w:r>
        <w:rPr>
          <w:rFonts w:ascii="Arial" w:cs="Arial" w:eastAsia="Arial" w:hAnsi="Arial"/>
          <w:sz w:val="15"/>
          <w:szCs w:val="15"/>
          <w:b w:val="1"/>
          <w:bCs w:val="1"/>
          <w:color w:val="auto"/>
        </w:rPr>
        <w:t>Target Selection. We use multiple approaches to select targets that we believe will lead to efficient development of product candidates with optimized therapeutic potential, based on genetic and mechanistic evidence. We leverage our bioinformatics expertise and machine learning to identify genetic mutations in the brain that we believe increase the risk of disease onset and progression. We combine our bioinformatic approaches with in-house functional genomics to validate genetic mutations and targets of interest. We utilize state of the art techniques such as hiPSC microglia and neurons and organoids carrying disease risk mutations, CRISPR Activation and Inhibition, single cell transcriptomics, proteomics, metabolomics, microscopic and biochemical readouts in relevant in vitro systems such as hiPSC microglia and neurons, and in vivo systems such as rodent models that carry relevant genetic mutations to elucidate the dysfunction caused by these mutations. In addition to target discovery, we also evaluate and develop drugs to validated targets with the aim of leveraging our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9360"/>
          </w:cols>
          <w:pgMar w:left="1440" w:top="1440" w:right="1440" w:bottom="181" w:gutter="0" w:footer="0" w:header="0"/>
          <w:type w:val="continuous"/>
        </w:sectPr>
      </w:pPr>
    </w:p>
    <w:bookmarkStart w:id="7" w:name="page8"/>
    <w:bookmarkEnd w:id="7"/>
    <w:p>
      <w:pPr>
        <w:spacing w:after="0" w:line="10" w:lineRule="exact"/>
        <w:rPr>
          <w:sz w:val="20"/>
          <w:szCs w:val="20"/>
          <w:color w:val="auto"/>
        </w:rPr>
      </w:pPr>
    </w:p>
    <w:p>
      <w:pPr>
        <w:ind w:left="1100" w:right="140"/>
        <w:spacing w:after="0" w:line="254" w:lineRule="auto"/>
        <w:rPr>
          <w:sz w:val="20"/>
          <w:szCs w:val="20"/>
          <w:color w:val="auto"/>
        </w:rPr>
      </w:pPr>
      <w:r>
        <w:rPr>
          <w:rFonts w:ascii="Arial" w:cs="Arial" w:eastAsia="Arial" w:hAnsi="Arial"/>
          <w:sz w:val="19"/>
          <w:szCs w:val="19"/>
          <w:b w:val="1"/>
          <w:bCs w:val="1"/>
          <w:color w:val="auto"/>
        </w:rPr>
        <w:t>proprietary technologies and engineering capabilities to generate product candidates with competitive advantages over existing investigational and approved therapies.</w:t>
      </w:r>
    </w:p>
    <w:p>
      <w:pPr>
        <w:spacing w:after="0" w:line="108" w:lineRule="exact"/>
        <w:rPr>
          <w:sz w:val="20"/>
          <w:szCs w:val="20"/>
          <w:color w:val="auto"/>
        </w:rPr>
      </w:pPr>
    </w:p>
    <w:p>
      <w:pPr>
        <w:ind w:left="1100" w:right="120"/>
        <w:spacing w:after="0" w:line="253" w:lineRule="auto"/>
        <w:rPr>
          <w:sz w:val="20"/>
          <w:szCs w:val="20"/>
          <w:color w:val="auto"/>
        </w:rPr>
      </w:pPr>
      <w:r>
        <w:rPr>
          <w:rFonts w:ascii="Arial" w:cs="Arial" w:eastAsia="Arial" w:hAnsi="Arial"/>
          <w:sz w:val="19"/>
          <w:szCs w:val="19"/>
          <w:b w:val="1"/>
          <w:bCs w:val="1"/>
          <w:color w:val="auto"/>
        </w:rPr>
        <w:t>Biomarker Selection. We identify and employ molecular biomarkers, assays, and imaging techniques that are tailored to our product candidates to confirm target engagement and quantify their impact, allowing us to potentially interpret the clinical impact of our product candidates earlier than would be expected using traditional clinical measures.</w:t>
      </w:r>
    </w:p>
    <w:p>
      <w:pPr>
        <w:spacing w:after="0" w:line="134" w:lineRule="exact"/>
        <w:rPr>
          <w:sz w:val="20"/>
          <w:szCs w:val="20"/>
          <w:color w:val="auto"/>
        </w:rPr>
      </w:pPr>
    </w:p>
    <w:p>
      <w:pPr>
        <w:ind w:left="1100" w:right="420"/>
        <w:spacing w:after="0" w:line="281" w:lineRule="auto"/>
        <w:rPr>
          <w:sz w:val="20"/>
          <w:szCs w:val="20"/>
          <w:color w:val="auto"/>
        </w:rPr>
      </w:pPr>
      <w:r>
        <w:rPr>
          <w:rFonts w:ascii="Arial" w:cs="Arial" w:eastAsia="Arial" w:hAnsi="Arial"/>
          <w:sz w:val="18"/>
          <w:szCs w:val="18"/>
          <w:b w:val="1"/>
          <w:bCs w:val="1"/>
          <w:color w:val="auto"/>
        </w:rPr>
        <w:t>Patient Selection. We utilize genetics and biomarkers in certain disease programs to better align a patient’s specific diagnosis with the targeted intervention in our clinical studies.</w:t>
      </w:r>
    </w:p>
    <w:p>
      <w:pPr>
        <w:spacing w:after="0" w:line="108" w:lineRule="exact"/>
        <w:rPr>
          <w:sz w:val="20"/>
          <w:szCs w:val="20"/>
          <w:color w:val="auto"/>
        </w:rPr>
      </w:pPr>
    </w:p>
    <w:p>
      <w:pPr>
        <w:ind w:left="1100" w:right="40"/>
        <w:spacing w:after="0" w:line="327" w:lineRule="auto"/>
        <w:rPr>
          <w:sz w:val="20"/>
          <w:szCs w:val="20"/>
          <w:color w:val="auto"/>
        </w:rPr>
      </w:pPr>
      <w:r>
        <w:rPr>
          <w:rFonts w:ascii="Arial" w:cs="Arial" w:eastAsia="Arial" w:hAnsi="Arial"/>
          <w:sz w:val="15"/>
          <w:szCs w:val="15"/>
          <w:b w:val="1"/>
          <w:bCs w:val="1"/>
          <w:color w:val="auto"/>
        </w:rPr>
        <w:t>Biologics Discovery. We seek to generate and engineer product candidates that functionally counteract the harmful consequences of toxic proteins, deficient proteins, and immune and neuronal dysfunction. We pursue a comprehensive antibody discovery strategy using in vivo (multiple species, hybridoma and single B cell technology) and in vitro directed evolution (phage and yeast display) approaches. We leverage our advanced antibody discovery and protein engineering capabilities to design and optimize biotherapeutics. We complement our antibody discovery and protein engineering capabilities with other modalities, such as nucleic acids, which we may incorporate into our product candidate design. We leverage in vitro and in vivo functional tools to validate the activity of our product candidates and their ability to cross the blood-brain barrier in sufficient quantity to be therapeutically effective, with our candidates being enhanced for deeper brain penetration through our ABC technology platform.</w:t>
      </w:r>
    </w:p>
    <w:p>
      <w:pPr>
        <w:spacing w:after="0" w:line="94" w:lineRule="exact"/>
        <w:rPr>
          <w:sz w:val="20"/>
          <w:szCs w:val="20"/>
          <w:color w:val="auto"/>
        </w:rPr>
      </w:pPr>
    </w:p>
    <w:p>
      <w:pPr>
        <w:ind w:firstLine="490"/>
        <w:spacing w:after="0" w:line="252" w:lineRule="auto"/>
        <w:rPr>
          <w:sz w:val="20"/>
          <w:szCs w:val="20"/>
          <w:color w:val="auto"/>
        </w:rPr>
      </w:pPr>
      <w:r>
        <w:rPr>
          <w:rFonts w:ascii="Arial" w:cs="Arial" w:eastAsia="Arial" w:hAnsi="Arial"/>
          <w:sz w:val="19"/>
          <w:szCs w:val="19"/>
          <w:b w:val="1"/>
          <w:bCs w:val="1"/>
          <w:color w:val="auto"/>
        </w:rPr>
        <w:t>We employ gene expression profiling, proteomics, brain imaging, and data on disease pathology as well as our own preclinical and clinical data to continually refine our methodologies. Using our drug discovery capabilities to identify targets that are validated by human genetics, disease biomarkers, and suitable patient populations, we believe that we are positioned for greater probability of technical success on more efficient timelines relative to historical drug development in neurodegeneration.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5944870" cy="3346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4870" cy="334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60"/>
        <w:spacing w:after="0" w:line="233" w:lineRule="auto"/>
        <w:rPr>
          <w:sz w:val="20"/>
          <w:szCs w:val="20"/>
          <w:color w:val="auto"/>
        </w:rPr>
      </w:pPr>
      <w:r>
        <w:rPr>
          <w:rFonts w:ascii="Arial" w:cs="Arial" w:eastAsia="Arial" w:hAnsi="Arial"/>
          <w:sz w:val="20"/>
          <w:szCs w:val="20"/>
          <w:b w:val="1"/>
          <w:bCs w:val="1"/>
          <w:color w:val="auto"/>
        </w:rPr>
        <w:t>Figure 1. The above table highlights our clinical, preclinical, and research programs, including our Alector Brain Carrier (ABC) blood-brain barrier technology platform.</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6</w:t>
      </w:r>
    </w:p>
    <w:p>
      <w:pPr>
        <w:sectPr>
          <w:pgSz w:w="12240" w:h="15840" w:orient="portrait"/>
          <w:cols w:equalWidth="0" w:num="1">
            <w:col w:w="9360"/>
          </w:cols>
          <w:pgMar w:left="1440" w:top="1440" w:right="1440" w:bottom="181" w:gutter="0" w:footer="0" w:header="0"/>
          <w:type w:val="continuous"/>
        </w:sectPr>
      </w:pPr>
    </w:p>
    <w:bookmarkStart w:id="8" w:name="page9"/>
    <w:bookmarkEnd w:id="8"/>
    <w:p>
      <w:pPr>
        <w:spacing w:after="0" w:line="10" w:lineRule="exact"/>
        <w:rPr>
          <w:sz w:val="20"/>
          <w:szCs w:val="20"/>
          <w:color w:val="auto"/>
        </w:rPr>
      </w:pPr>
    </w:p>
    <w:p>
      <w:pPr>
        <w:ind w:right="80" w:firstLine="490"/>
        <w:spacing w:after="0" w:line="235" w:lineRule="auto"/>
        <w:rPr>
          <w:sz w:val="20"/>
          <w:szCs w:val="20"/>
          <w:color w:val="auto"/>
        </w:rPr>
      </w:pPr>
      <w:r>
        <w:rPr>
          <w:rFonts w:ascii="Arial" w:cs="Arial" w:eastAsia="Arial" w:hAnsi="Arial"/>
          <w:sz w:val="20"/>
          <w:szCs w:val="20"/>
          <w:b w:val="1"/>
          <w:bCs w:val="1"/>
          <w:color w:val="auto"/>
        </w:rPr>
        <w:t>Nivisnebart is currently in clinical development. In addition, we continue to pursue a number of preclinical and research programs in our pipeline for indications including Alzheimer’s disease, Parkinson’s disease, and Lewy body dementia.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Progranulin Program - Nivisnebart</w:t>
      </w:r>
    </w:p>
    <w:p>
      <w:pPr>
        <w:spacing w:after="0" w:line="131"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Our clinical development program is focused on increasing levels of PGRN, a protein encoded by the GRN gene that regulates lysosomal function, neuronal survival, and inflammation in the brain. PGRN has strong genetic links to neurodegenerative disorders, including neuronal ceroid lipofuscinosis, which results from homozygous loss-of-function mutations in both copies of the GRN gene, and frontotemporal dementia, which results from heterozygous loss-of-function mutations in one copy of the GRN gene. Moreover, large scale human genetic studies suggest that regulatory mutations in GRN can increase the risk for Alzheimer’s disease and Parkinson’s disease, making GRN a risk gene for these disorders as well. Increased PGRN levels have been demonstrated to be protective for these diseases in animal models.</w:t>
      </w:r>
    </w:p>
    <w:p>
      <w:pPr>
        <w:spacing w:after="0" w:line="112" w:lineRule="exact"/>
        <w:rPr>
          <w:sz w:val="20"/>
          <w:szCs w:val="20"/>
          <w:color w:val="auto"/>
        </w:rPr>
      </w:pPr>
    </w:p>
    <w:p>
      <w:pPr>
        <w:ind w:right="60" w:firstLine="490"/>
        <w:spacing w:after="0" w:line="287" w:lineRule="auto"/>
        <w:rPr>
          <w:sz w:val="20"/>
          <w:szCs w:val="20"/>
          <w:color w:val="auto"/>
        </w:rPr>
      </w:pPr>
      <w:r>
        <w:rPr>
          <w:rFonts w:ascii="Arial" w:cs="Arial" w:eastAsia="Arial" w:hAnsi="Arial"/>
          <w:sz w:val="17"/>
          <w:szCs w:val="17"/>
          <w:b w:val="1"/>
          <w:bCs w:val="1"/>
          <w:color w:val="auto"/>
        </w:rPr>
        <w:t>PGRN deficiency disrupts neuronal homeostasis and lysosomal function, leading to the buildup of cellular debris and dysfunction in neuronal cells. This disruption is associated with the accumulation of TDP-43, a protein that forms pathological inclusions in neurons and is a hallmark of neurodegenerative disorders, as well as with the accumulation of other misfolded proteins. Excess aggregation of misfolded proteins in brain cells is thought to lead to neuronal cell death. Moreover, the lack of PGRN promotes neuroinflammation through the release of cytotoxic cytokines and complement factors, which can activate astrocytes and contribute to neuronal damage. As a result, the lack of PGRN impairs neuronal function and contributes to rapid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5970270" cy="3370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027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b w:val="1"/>
          <w:bCs w:val="1"/>
          <w:color w:val="auto"/>
        </w:rPr>
        <w:t>Figure 2. PGRN deficiency disrupts neuronal homeostasis and lysosomal function, contributing to the onset and progression of neurodegeneration, particularly during aging.</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SORT1 Controls PGRN Levels in the Body</w:t>
      </w:r>
    </w:p>
    <w:p>
      <w:pPr>
        <w:spacing w:after="0" w:line="131" w:lineRule="exact"/>
        <w:rPr>
          <w:sz w:val="20"/>
          <w:szCs w:val="20"/>
          <w:color w:val="auto"/>
        </w:rPr>
      </w:pPr>
    </w:p>
    <w:p>
      <w:pPr>
        <w:ind w:right="640" w:firstLine="490"/>
        <w:spacing w:after="0" w:line="289" w:lineRule="auto"/>
        <w:rPr>
          <w:sz w:val="20"/>
          <w:szCs w:val="20"/>
          <w:color w:val="auto"/>
        </w:rPr>
      </w:pPr>
      <w:r>
        <w:rPr>
          <w:rFonts w:ascii="Arial" w:cs="Arial" w:eastAsia="Arial" w:hAnsi="Arial"/>
          <w:sz w:val="17"/>
          <w:szCs w:val="17"/>
          <w:b w:val="1"/>
          <w:bCs w:val="1"/>
          <w:color w:val="auto"/>
        </w:rPr>
        <w:t>Human and mouse genetic studies have identified the PGRN degrading receptor sortilin (SORT1) as a major negative regulator of PGRN levels in plasma and the brain. SORT1 is a sorting receptor on the cell surface and on the endoplasmic reticulum-Golgi apparatus within the cell. SORT1 binds to extracellular PGRN in the plasma and brain and transports it into cells for degradation by the lysosome resulting in decreased levels of extracellular PGRN. SORT1 deficiency increases PGRN plasma and brain levels by two-</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9360"/>
          </w:cols>
          <w:pgMar w:left="1440" w:top="1440" w:right="1440" w:bottom="181" w:gutter="0" w:footer="0" w:header="0"/>
          <w:type w:val="continuous"/>
        </w:sectPr>
      </w:pPr>
    </w:p>
    <w:bookmarkStart w:id="9" w:name="page10"/>
    <w:bookmarkEnd w:id="9"/>
    <w:p>
      <w:pPr>
        <w:spacing w:after="0" w:line="10" w:lineRule="exact"/>
        <w:rPr>
          <w:sz w:val="20"/>
          <w:szCs w:val="20"/>
          <w:color w:val="auto"/>
        </w:rPr>
      </w:pPr>
    </w:p>
    <w:p>
      <w:pPr>
        <w:ind w:right="580"/>
        <w:spacing w:after="0" w:line="234" w:lineRule="auto"/>
        <w:rPr>
          <w:sz w:val="20"/>
          <w:szCs w:val="20"/>
          <w:color w:val="auto"/>
        </w:rPr>
      </w:pPr>
      <w:r>
        <w:rPr>
          <w:rFonts w:ascii="Arial" w:cs="Arial" w:eastAsia="Arial" w:hAnsi="Arial"/>
          <w:sz w:val="20"/>
          <w:szCs w:val="20"/>
          <w:b w:val="1"/>
          <w:bCs w:val="1"/>
          <w:color w:val="auto"/>
        </w:rPr>
        <w:t>to three-fold in mouse models, while variants that modestly reduce expression of SORT1 increase the level of PGRN in humans.</w:t>
      </w:r>
    </w:p>
    <w:p>
      <w:pPr>
        <w:spacing w:after="0" w:line="130" w:lineRule="exact"/>
        <w:rPr>
          <w:sz w:val="20"/>
          <w:szCs w:val="20"/>
          <w:color w:val="auto"/>
        </w:rPr>
      </w:pPr>
    </w:p>
    <w:p>
      <w:pPr>
        <w:ind w:right="760" w:firstLine="490"/>
        <w:spacing w:after="0" w:line="342" w:lineRule="auto"/>
        <w:rPr>
          <w:sz w:val="20"/>
          <w:szCs w:val="20"/>
          <w:color w:val="auto"/>
        </w:rPr>
      </w:pPr>
      <w:r>
        <w:rPr>
          <w:rFonts w:ascii="Arial" w:cs="Arial" w:eastAsia="Arial" w:hAnsi="Arial"/>
          <w:sz w:val="15"/>
          <w:szCs w:val="15"/>
          <w:b w:val="1"/>
          <w:bCs w:val="1"/>
          <w:color w:val="auto"/>
        </w:rPr>
        <w:t>Moreover, genetic loss of SORT1 in mice does not lead to the adverse effects associated with genetic loss of PGRN, and PGRN continues to carry out its neurotrophic functions as expected in the absence of SORT1. These studies and others have indicated to us that blocking SORT1 with a pharmacological agent could be a safe and effective approach to increase the level of functional PGRN in the brain.</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Nivisnebart for the Treatment of Alzheimer’s Disease and Parkinson’s Disease</w:t>
      </w:r>
    </w:p>
    <w:p>
      <w:pPr>
        <w:spacing w:after="0" w:line="251" w:lineRule="exact"/>
        <w:rPr>
          <w:sz w:val="20"/>
          <w:szCs w:val="20"/>
          <w:color w:val="auto"/>
        </w:rPr>
      </w:pPr>
    </w:p>
    <w:p>
      <w:pPr>
        <w:ind w:right="180" w:firstLine="490"/>
        <w:spacing w:after="0" w:line="269" w:lineRule="auto"/>
        <w:rPr>
          <w:sz w:val="20"/>
          <w:szCs w:val="20"/>
          <w:color w:val="auto"/>
        </w:rPr>
      </w:pPr>
      <w:r>
        <w:rPr>
          <w:rFonts w:ascii="Arial" w:cs="Arial" w:eastAsia="Arial" w:hAnsi="Arial"/>
          <w:sz w:val="18"/>
          <w:szCs w:val="18"/>
          <w:b w:val="1"/>
          <w:bCs w:val="1"/>
          <w:color w:val="auto"/>
        </w:rPr>
        <w:t>Our product candidate nivisnebart is a human recombinant monoclonal antibody designed to block and downregulate the SORT1 receptor to elevate the level of PGRN in the brain. The pharmacokinetic and pharmacodynamic properties of nivisnebart make it suitable for treating large chronic neurodegenerative diseases, such as Alzheimer’s disease and Parkinson’s disease. We are developing, and if successful, plan to commercialize, nivisnebart with our partner GSK. (For more information on our collaboration with GSK, see the section titled “Business—Strategic Alliance with GSK.”)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144780</wp:posOffset>
            </wp:positionV>
            <wp:extent cx="4565650" cy="3820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65650" cy="382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80"/>
        <w:spacing w:after="0" w:line="234" w:lineRule="auto"/>
        <w:rPr>
          <w:sz w:val="20"/>
          <w:szCs w:val="20"/>
          <w:color w:val="auto"/>
        </w:rPr>
      </w:pPr>
      <w:r>
        <w:rPr>
          <w:rFonts w:ascii="Arial" w:cs="Arial" w:eastAsia="Arial" w:hAnsi="Arial"/>
          <w:sz w:val="20"/>
          <w:szCs w:val="20"/>
          <w:b w:val="1"/>
          <w:bCs w:val="1"/>
          <w:color w:val="auto"/>
        </w:rPr>
        <w:t>Figure 3. Mechanism of action of nivisnebart. Nivisnebart elevates PGRN levels by blocking sortilin (SORT1), a degradation receptor for PGRN.</w:t>
      </w:r>
    </w:p>
    <w:p>
      <w:pPr>
        <w:spacing w:after="0" w:line="132" w:lineRule="exact"/>
        <w:rPr>
          <w:sz w:val="20"/>
          <w:szCs w:val="20"/>
          <w:color w:val="auto"/>
        </w:rPr>
      </w:pPr>
    </w:p>
    <w:p>
      <w:pPr>
        <w:ind w:right="40" w:firstLine="490"/>
        <w:spacing w:after="0" w:line="277" w:lineRule="auto"/>
        <w:rPr>
          <w:sz w:val="20"/>
          <w:szCs w:val="20"/>
          <w:color w:val="auto"/>
        </w:rPr>
      </w:pPr>
      <w:r>
        <w:rPr>
          <w:rFonts w:ascii="Arial" w:cs="Arial" w:eastAsia="Arial" w:hAnsi="Arial"/>
          <w:sz w:val="17"/>
          <w:szCs w:val="17"/>
          <w:b w:val="1"/>
          <w:bCs w:val="1"/>
          <w:color w:val="auto"/>
        </w:rPr>
        <w:t>Nivisnebart is currently being studied in PROGRESS-AD, a randomized, double-blind, placebo-controlled Phase 2 clinical trial, having enrolled approximately 282 patients with early Alzheimer’s disease at multiple sites globally. The 76-week study is designed to assess the safety and efficacy of two dose levels of nivisnebart compared to placebo. Participants are randomized to one of three treatment groups, receiving nivisnebart or placebo intravenously. The primary endpoint of the study is disease progression as measured by the Clinical Dementia Rating Sum of Boxes (CDR</w:t>
      </w:r>
      <w:r>
        <w:rPr>
          <w:rFonts w:ascii="Arial" w:cs="Arial" w:eastAsia="Arial" w:hAnsi="Arial"/>
          <w:sz w:val="21"/>
          <w:szCs w:val="21"/>
          <w:b w:val="1"/>
          <w:bCs w:val="1"/>
          <w:color w:val="auto"/>
          <w:vertAlign w:val="superscript"/>
        </w:rPr>
        <w:t>®</w:t>
      </w:r>
      <w:r>
        <w:rPr>
          <w:rFonts w:ascii="Arial" w:cs="Arial" w:eastAsia="Arial" w:hAnsi="Arial"/>
          <w:sz w:val="17"/>
          <w:szCs w:val="17"/>
          <w:b w:val="1"/>
          <w:bCs w:val="1"/>
          <w:color w:val="auto"/>
        </w:rPr>
        <w:t>-SB). The trial also employs other clinical and functional outcome assessments. In April 2025, enrollment was completed in PROGRESS-AD. In August 2025, the first patient from PROGRESS-AD was enrolled and dosed in the optional OLE study, and enrollment in the OLE is ongoing. An independent interim futility analysis is planned for the first half of 2026.</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8</w:t>
      </w:r>
    </w:p>
    <w:p>
      <w:pPr>
        <w:sectPr>
          <w:pgSz w:w="12240" w:h="15840" w:orient="portrait"/>
          <w:cols w:equalWidth="0" w:num="1">
            <w:col w:w="9360"/>
          </w:cols>
          <w:pgMar w:left="1440" w:top="1440" w:right="1440" w:bottom="181"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913130</wp:posOffset>
            </wp:positionH>
            <wp:positionV relativeFrom="page">
              <wp:posOffset>913130</wp:posOffset>
            </wp:positionV>
            <wp:extent cx="5944870" cy="3345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4870" cy="334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b w:val="1"/>
          <w:bCs w:val="1"/>
          <w:color w:val="auto"/>
        </w:rPr>
        <w:t>Figure 4. PROGRESS-AD is a global Phase 2 clinical trial evaluating the safety and efficacy of nivisnebart in slowing the progression of early Alzheimer’s disease.</w:t>
      </w:r>
    </w:p>
    <w:p>
      <w:pPr>
        <w:spacing w:after="0" w:line="132" w:lineRule="exact"/>
        <w:rPr>
          <w:sz w:val="20"/>
          <w:szCs w:val="20"/>
          <w:color w:val="auto"/>
        </w:rPr>
      </w:pPr>
    </w:p>
    <w:p>
      <w:pPr>
        <w:ind w:right="140" w:firstLine="490"/>
        <w:spacing w:after="0" w:line="284" w:lineRule="auto"/>
        <w:rPr>
          <w:sz w:val="20"/>
          <w:szCs w:val="20"/>
          <w:color w:val="auto"/>
        </w:rPr>
      </w:pPr>
      <w:r>
        <w:rPr>
          <w:rFonts w:ascii="Arial" w:cs="Arial" w:eastAsia="Arial" w:hAnsi="Arial"/>
          <w:sz w:val="17"/>
          <w:szCs w:val="17"/>
          <w:b w:val="1"/>
          <w:bCs w:val="1"/>
          <w:color w:val="auto"/>
        </w:rPr>
        <w:t>In 2022, we presented results from our randomized, double-blind, placebo-controlled Phase 1 clinical trial testing the safety, tolerability, pharmacokinetics, pharmacodynamics, and bioavailability of single and multiple doses of intravenously (IV) or subcutaneously (SC) administered nivisnebart in 88 healthy volunteers. Nivisnebart was found to be generally well tolerated at all doses administered. Additionally, nivisnebart was measurable in the CSF following single and multiple IV and SC doses. In the two multiple-dose (MD) cohorts, 27 healthy volunteers received either nivisnebart 30 mg/kg IV every four weeks (q4w) for a total of four doses [n=11] or nivisnebart 300 mg SC every two weeks (q2w) for a total of seven doses [n=13]. Three volunteers received MD IV placebo. MD administration of nivisnebart increased plasma and CSF PGRN levels, with a higher elevation observed in the nivisnebart 30 mg/kg MD IV group than in the nivisnebart 300 mg MD SC group. Multiple IV doses of nivisnebart at 30 mg/kg increased and maintained the levels of PGRN at approximately 160% to 200% (2.6- to 3-fold) above baseline in plasma and approximately 80% (1.8-fold) above baseline in the CSF. The pharmacokinetic and pharmacodynamic profile of nivisnebart following single and multiple IV doses support future development in chronic neurodegenerative conditions such as AD and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62230</wp:posOffset>
            </wp:positionV>
            <wp:extent cx="4944110" cy="1839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44110" cy="183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Nivisnebart treatment increased PGRN levels in healthy volunteers enrolled in our Phase 1 trial.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9360"/>
          </w:cols>
          <w:pgMar w:left="1440" w:top="1440" w:right="1440" w:bottom="181" w:gutter="0" w:footer="0" w:header="0"/>
          <w:type w:val="continuous"/>
        </w:sectPr>
      </w:pPr>
    </w:p>
    <w:bookmarkStart w:id="11" w:name="page12"/>
    <w:bookmarkEnd w:id="11"/>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Alector Brain Carrier (ABC), Our Proprietary and Versatile Blood-Brain Barrier Technology Platform</w:t>
      </w:r>
    </w:p>
    <w:p>
      <w:pPr>
        <w:spacing w:after="0" w:line="132" w:lineRule="exact"/>
        <w:rPr>
          <w:sz w:val="20"/>
          <w:szCs w:val="20"/>
          <w:color w:val="auto"/>
        </w:rPr>
      </w:pPr>
    </w:p>
    <w:p>
      <w:pPr>
        <w:ind w:firstLine="490"/>
        <w:spacing w:after="0" w:line="270" w:lineRule="auto"/>
        <w:rPr>
          <w:sz w:val="20"/>
          <w:szCs w:val="20"/>
          <w:color w:val="auto"/>
        </w:rPr>
      </w:pPr>
      <w:r>
        <w:rPr>
          <w:rFonts w:ascii="Arial" w:cs="Arial" w:eastAsia="Arial" w:hAnsi="Arial"/>
          <w:sz w:val="18"/>
          <w:szCs w:val="18"/>
          <w:b w:val="1"/>
          <w:bCs w:val="1"/>
          <w:color w:val="auto"/>
        </w:rPr>
        <w:t>The blood-brain barrier plays a critical role in maintaining homeostasis and protecting the brain by restricting the entry of potentially harmful substances. However, from a therapeutic standpoint, this protective function presents challenges for delivering therapeutics that need to cross the BBB to achieve optimal efficacy. To address this issue, we have developed Alector Brain Carrier, our proprietary and versatile technology platform designed to enhance brain penetration of therapeutic molecules.</w:t>
      </w:r>
    </w:p>
    <w:p>
      <w:pPr>
        <w:spacing w:after="0" w:line="105" w:lineRule="exact"/>
        <w:rPr>
          <w:sz w:val="20"/>
          <w:szCs w:val="20"/>
          <w:color w:val="auto"/>
        </w:rPr>
      </w:pPr>
    </w:p>
    <w:p>
      <w:pPr>
        <w:ind w:right="280" w:firstLine="490"/>
        <w:spacing w:after="0" w:line="271" w:lineRule="auto"/>
        <w:rPr>
          <w:sz w:val="20"/>
          <w:szCs w:val="20"/>
          <w:color w:val="auto"/>
        </w:rPr>
      </w:pPr>
      <w:r>
        <w:rPr>
          <w:rFonts w:ascii="Arial" w:cs="Arial" w:eastAsia="Arial" w:hAnsi="Arial"/>
          <w:sz w:val="18"/>
          <w:szCs w:val="18"/>
          <w:b w:val="1"/>
          <w:bCs w:val="1"/>
          <w:color w:val="auto"/>
        </w:rPr>
        <w:t>ABC fuels our preclinical and research pipeline, including our AL137, AL050, AL064, ADP062-ABC, and ADP065-ABC programs, to address diseases such as Alzheimer’s disease, Parkinson’s disease, and Lewy body dementia. We believe ABC positions us at the forefront of advancing therapeutics for neurodegenerative diseases and overcoming the hurdle of drug delivery to the brain.</w:t>
      </w:r>
    </w:p>
    <w:p>
      <w:pPr>
        <w:spacing w:after="0" w:line="104"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ABC is designed to enable targeted, non-invasive peripheral administration of therapeutics to the brain. ABC aims to enable broad and homogeneous brain distribution, eliminate the need for intrathecal delivery and enable lower doses to potentially widen therapeutic windows and facilitate convenient delivery options, such as subcutaneous dosing, which may reduce treatment burden. ABC’s versatility supports the transport of a broad range of therapeutic modalities and molecular formats. ABC successfully delivers a range of therapeutic cargos, including antibodies, enzymes, and siRNA.</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ABC utilizes receptor-mediated transport, a process in which therapeutic molecules are transported across the</w:t>
      </w:r>
    </w:p>
    <w:p>
      <w:pPr>
        <w:spacing w:after="0" w:line="58" w:lineRule="exact"/>
        <w:rPr>
          <w:sz w:val="20"/>
          <w:szCs w:val="20"/>
          <w:color w:val="auto"/>
        </w:rPr>
      </w:pPr>
    </w:p>
    <w:p>
      <w:pPr>
        <w:ind w:right="100"/>
        <w:spacing w:after="0" w:line="270"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by binding to specific receptors on endothelial cells and using these receptors as a “Trojan Horse” to enter the brain. This approach enhances the delivery of therapeutics to the brain, aiming to achieve deeper and homogeneous brain penetration and optimize therapeutic efficacy. Given the brain's highly vascularized nature, receptor-mediated transcytosis offers a route by which the BBB can be transformed from a barrier into a conduit for delivering therapeutics directly to every cell in brain parenchyma.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5944870" cy="334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4870" cy="334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b w:val="1"/>
          <w:bCs w:val="1"/>
          <w:color w:val="auto"/>
        </w:rPr>
        <w:t>Figure 6. ABC: Designed for lower dosing, improved efficacy and safety, and SubQ delivery across a broad range of drug modalities and configurations.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Transferrin Receptor (TfR) Target</w:t>
      </w:r>
    </w:p>
    <w:p>
      <w:pPr>
        <w:spacing w:after="0" w:line="131" w:lineRule="exact"/>
        <w:rPr>
          <w:sz w:val="20"/>
          <w:szCs w:val="20"/>
          <w:color w:val="auto"/>
        </w:rPr>
      </w:pPr>
    </w:p>
    <w:p>
      <w:pPr>
        <w:ind w:right="440" w:firstLine="490"/>
        <w:spacing w:after="0" w:line="385" w:lineRule="auto"/>
        <w:rPr>
          <w:sz w:val="20"/>
          <w:szCs w:val="20"/>
          <w:color w:val="auto"/>
        </w:rPr>
      </w:pPr>
      <w:r>
        <w:rPr>
          <w:rFonts w:ascii="Arial" w:cs="Arial" w:eastAsia="Arial" w:hAnsi="Arial"/>
          <w:sz w:val="15"/>
          <w:szCs w:val="15"/>
          <w:b w:val="1"/>
          <w:bCs w:val="1"/>
          <w:color w:val="auto"/>
        </w:rPr>
        <w:t>Our ABC platform is focused on targeting the transferrin receptor (TfR), an iron transport receptor that is highly expressed at the BBB and has been investigated for several decades as a receptor-mediated transcytosis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9360"/>
          </w:cols>
          <w:pgMar w:left="1440" w:top="1440" w:right="1440" w:bottom="181" w:gutter="0" w:footer="0" w:header="0"/>
          <w:type w:val="continuous"/>
        </w:sectPr>
      </w:pPr>
    </w:p>
    <w:bookmarkStart w:id="12" w:name="page13"/>
    <w:bookmarkEnd w:id="12"/>
    <w:p>
      <w:pPr>
        <w:spacing w:after="0" w:line="10"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target. During development of the ABC platform, we evaluated multiple BBB receptor targets and ultimately focused on TfR based on translational performance, safety considerations, and manufacturability.</w:t>
      </w:r>
    </w:p>
    <w:p>
      <w:pPr>
        <w:spacing w:after="0" w:line="70" w:lineRule="exact"/>
        <w:rPr>
          <w:sz w:val="20"/>
          <w:szCs w:val="20"/>
          <w:color w:val="auto"/>
        </w:rPr>
      </w:pPr>
    </w:p>
    <w:p>
      <w:pPr>
        <w:ind w:right="180" w:firstLine="490"/>
        <w:spacing w:after="0" w:line="236" w:lineRule="auto"/>
        <w:rPr>
          <w:sz w:val="20"/>
          <w:szCs w:val="20"/>
          <w:color w:val="auto"/>
        </w:rPr>
      </w:pPr>
      <w:r>
        <w:rPr>
          <w:rFonts w:ascii="Arial" w:cs="Arial" w:eastAsia="Arial" w:hAnsi="Arial"/>
          <w:sz w:val="20"/>
          <w:szCs w:val="20"/>
          <w:b w:val="1"/>
          <w:bCs w:val="1"/>
          <w:color w:val="auto"/>
        </w:rPr>
        <w:t>TfR-binding brain carriers facilitate transport of therapeutic cargo across the BBB to the central nervous system. So far, we have tested 12 different cargos, including antibodies, proteins, enzymes, and nucleic acids, with ABC.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5944870" cy="3345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4870" cy="334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Figure 7. Development of ABC platform, including target selection, optimization of TfR binding properties, evaluation of drug configurations and preclinical testing for brain delivery, safety and manufacturability.</w:t>
      </w:r>
    </w:p>
    <w:p>
      <w:pPr>
        <w:spacing w:after="0" w:line="94" w:lineRule="exact"/>
        <w:rPr>
          <w:sz w:val="20"/>
          <w:szCs w:val="20"/>
          <w:color w:val="auto"/>
        </w:rPr>
      </w:pPr>
    </w:p>
    <w:p>
      <w:pPr>
        <w:ind w:right="100" w:firstLine="490"/>
        <w:spacing w:after="0" w:line="253" w:lineRule="auto"/>
        <w:rPr>
          <w:sz w:val="20"/>
          <w:szCs w:val="20"/>
          <w:color w:val="auto"/>
        </w:rPr>
      </w:pPr>
      <w:r>
        <w:rPr>
          <w:rFonts w:ascii="Arial" w:cs="Arial" w:eastAsia="Arial" w:hAnsi="Arial"/>
          <w:sz w:val="19"/>
          <w:szCs w:val="19"/>
          <w:b w:val="1"/>
          <w:bCs w:val="1"/>
          <w:color w:val="auto"/>
        </w:rPr>
        <w:t>We have observed significant improvements in the biodistribution of TfR-ABC molecules in murine brain tissues. Without the ABC technology, the target studied is largely confined to the brain's periphery, with limited penetration into deeper regions, particularly around the ventricles. However, with the addition of TfR-ABC, there is a clear enhancement in deep brain penetration. These results highlight the critical role of both TfR and cargo binding: the TfR arm is essential for driving brain uptake, and the final biodistribution is influenced by both components of the molecule.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9360"/>
          </w:cols>
          <w:pgMar w:left="1440" w:top="1440" w:right="1440" w:bottom="181"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913130</wp:posOffset>
            </wp:positionH>
            <wp:positionV relativeFrom="page">
              <wp:posOffset>913130</wp:posOffset>
            </wp:positionV>
            <wp:extent cx="5944870" cy="3345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4870" cy="334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b w:val="1"/>
          <w:bCs w:val="1"/>
          <w:color w:val="auto"/>
        </w:rPr>
        <w:t>Figure 8. TfR-ABC Drives Widespread Biodistribution in Mouse Brain. In the hippocampus, the Target3 antibody shows minimal penetration without ABC technology. In contrast, with TfR-ABC, neuronal layers of the hippocampus are clearly outlined, indicating deeper brain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ABC Characteristics</w:t>
      </w:r>
    </w:p>
    <w:p>
      <w:pPr>
        <w:spacing w:after="0" w:line="131" w:lineRule="exact"/>
        <w:rPr>
          <w:sz w:val="20"/>
          <w:szCs w:val="20"/>
          <w:color w:val="auto"/>
        </w:rPr>
      </w:pPr>
    </w:p>
    <w:p>
      <w:pPr>
        <w:ind w:right="340" w:firstLine="490"/>
        <w:spacing w:after="0" w:line="234" w:lineRule="auto"/>
        <w:rPr>
          <w:sz w:val="20"/>
          <w:szCs w:val="20"/>
          <w:color w:val="auto"/>
        </w:rPr>
      </w:pPr>
      <w:r>
        <w:rPr>
          <w:rFonts w:ascii="Arial" w:cs="Arial" w:eastAsia="Arial" w:hAnsi="Arial"/>
          <w:sz w:val="20"/>
          <w:szCs w:val="20"/>
          <w:b w:val="1"/>
          <w:bCs w:val="1"/>
          <w:color w:val="auto"/>
        </w:rPr>
        <w:t>ABC is designed to deliver three key characteristics that we believe are essential for advancing therapeutic delivery:</w:t>
      </w:r>
    </w:p>
    <w:p>
      <w:pPr>
        <w:ind w:left="480"/>
        <w:spacing w:after="0" w:line="233" w:lineRule="auto"/>
        <w:rPr>
          <w:sz w:val="20"/>
          <w:szCs w:val="20"/>
          <w:color w:val="auto"/>
        </w:rPr>
      </w:pPr>
      <w:r>
        <w:rPr>
          <w:rFonts w:ascii="Arial" w:cs="Arial" w:eastAsia="Arial" w:hAnsi="Arial"/>
          <w:sz w:val="20"/>
          <w:szCs w:val="20"/>
          <w:b w:val="1"/>
          <w:bCs w:val="1"/>
          <w:color w:val="auto"/>
        </w:rPr>
        <w:t>Versatility: The platform is adaptable for a wide range of therapeutic cargos.</w:t>
      </w:r>
    </w:p>
    <w:p>
      <w:pPr>
        <w:spacing w:after="0" w:line="23" w:lineRule="exact"/>
        <w:rPr>
          <w:sz w:val="20"/>
          <w:szCs w:val="20"/>
          <w:color w:val="auto"/>
        </w:rPr>
      </w:pPr>
    </w:p>
    <w:p>
      <w:pPr>
        <w:ind w:left="840" w:right="320"/>
        <w:spacing w:after="0" w:line="288" w:lineRule="auto"/>
        <w:rPr>
          <w:sz w:val="20"/>
          <w:szCs w:val="20"/>
          <w:color w:val="auto"/>
        </w:rPr>
      </w:pPr>
      <w:r>
        <w:rPr>
          <w:rFonts w:ascii="Arial" w:cs="Arial" w:eastAsia="Arial" w:hAnsi="Arial"/>
          <w:sz w:val="17"/>
          <w:szCs w:val="17"/>
          <w:b w:val="1"/>
          <w:bCs w:val="1"/>
          <w:color w:val="auto"/>
        </w:rPr>
        <w:t>Optimization of binding properties: ABC enables selection of transferrin receptor (TfR) binding affinity, binding kinetics (Kon and Koff), and epitope specificity to support effective brain penetration while seeking to manage safety considerations for specific therapeutic applications.</w:t>
      </w:r>
    </w:p>
    <w:p>
      <w:pPr>
        <w:spacing w:after="0" w:line="1" w:lineRule="exact"/>
        <w:rPr>
          <w:sz w:val="20"/>
          <w:szCs w:val="20"/>
          <w:color w:val="auto"/>
        </w:rPr>
      </w:pPr>
    </w:p>
    <w:p>
      <w:pPr>
        <w:jc w:val="right"/>
        <w:ind w:left="840" w:right="680"/>
        <w:spacing w:after="0" w:line="385" w:lineRule="auto"/>
        <w:rPr>
          <w:sz w:val="20"/>
          <w:szCs w:val="20"/>
          <w:color w:val="auto"/>
        </w:rPr>
      </w:pPr>
      <w:r>
        <w:rPr>
          <w:rFonts w:ascii="Arial" w:cs="Arial" w:eastAsia="Arial" w:hAnsi="Arial"/>
          <w:sz w:val="15"/>
          <w:szCs w:val="15"/>
          <w:b w:val="1"/>
          <w:bCs w:val="1"/>
          <w:color w:val="auto"/>
        </w:rPr>
        <w:t>Translatability: The platform is designed to enable rapid translation of molecules across species, enhancing the likelihood of clinical success and reducing drug costs and potential adverse effects.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Versatility</w:t>
      </w:r>
    </w:p>
    <w:p>
      <w:pPr>
        <w:spacing w:after="0" w:line="129" w:lineRule="exact"/>
        <w:rPr>
          <w:sz w:val="20"/>
          <w:szCs w:val="20"/>
          <w:color w:val="auto"/>
        </w:rPr>
      </w:pPr>
    </w:p>
    <w:p>
      <w:pPr>
        <w:jc w:val="both"/>
        <w:ind w:right="80" w:firstLine="490"/>
        <w:spacing w:after="0" w:line="270" w:lineRule="auto"/>
        <w:rPr>
          <w:sz w:val="20"/>
          <w:szCs w:val="20"/>
          <w:color w:val="auto"/>
        </w:rPr>
      </w:pPr>
      <w:r>
        <w:rPr>
          <w:rFonts w:ascii="Arial" w:cs="Arial" w:eastAsia="Arial" w:hAnsi="Arial"/>
          <w:sz w:val="18"/>
          <w:szCs w:val="18"/>
          <w:b w:val="1"/>
          <w:bCs w:val="1"/>
          <w:color w:val="auto"/>
        </w:rPr>
        <w:t>The versatility of the ABC platform is driven by its use of engineered antibody fragments that target the TfR at the BBB to enhance therapeutic delivery. Our platform employs several types of binding domains, including Fab, a fragment of an antibody that binds to its target, and single-chain variable fragments (scFvs), which are engineered antibody fragments that link the variable regions of an antibody into a single chain, making them smaller and more adaptable for diverse therapeutic applications.</w:t>
      </w:r>
    </w:p>
    <w:p>
      <w:pPr>
        <w:spacing w:after="0" w:line="108" w:lineRule="exact"/>
        <w:rPr>
          <w:sz w:val="20"/>
          <w:szCs w:val="20"/>
          <w:color w:val="auto"/>
        </w:rPr>
      </w:pPr>
    </w:p>
    <w:p>
      <w:pPr>
        <w:ind w:right="20" w:firstLine="490"/>
        <w:spacing w:after="0" w:line="341" w:lineRule="auto"/>
        <w:rPr>
          <w:sz w:val="20"/>
          <w:szCs w:val="20"/>
          <w:color w:val="auto"/>
        </w:rPr>
      </w:pPr>
      <w:r>
        <w:rPr>
          <w:rFonts w:ascii="Arial" w:cs="Arial" w:eastAsia="Arial" w:hAnsi="Arial"/>
          <w:sz w:val="15"/>
          <w:szCs w:val="15"/>
          <w:b w:val="1"/>
          <w:bCs w:val="1"/>
          <w:color w:val="auto"/>
        </w:rPr>
        <w:t>These binding domains may be linked to various therapeutic cargo types, including antibodies, proteins, enzymes, and nucleic acids, in multi-specific formats designed for efficient transport across the BBB. Importantly, these formats preserve key antibody properties, such as extended half-life achieved through recycling at the neonatal Fc receptor (FcRn). FcRn extends the duration of therapeutic molecules in circulation by preventing rapid clearance.</w:t>
      </w:r>
    </w:p>
    <w:p>
      <w:pPr>
        <w:spacing w:after="0" w:line="59" w:lineRule="exact"/>
        <w:rPr>
          <w:sz w:val="20"/>
          <w:szCs w:val="20"/>
          <w:color w:val="auto"/>
        </w:rPr>
      </w:pPr>
    </w:p>
    <w:p>
      <w:pPr>
        <w:ind w:right="420" w:firstLine="490"/>
        <w:spacing w:after="0" w:line="236" w:lineRule="auto"/>
        <w:rPr>
          <w:sz w:val="20"/>
          <w:szCs w:val="20"/>
          <w:color w:val="auto"/>
        </w:rPr>
      </w:pPr>
      <w:r>
        <w:rPr>
          <w:rFonts w:ascii="Arial" w:cs="Arial" w:eastAsia="Arial" w:hAnsi="Arial"/>
          <w:sz w:val="20"/>
          <w:szCs w:val="20"/>
          <w:b w:val="1"/>
          <w:bCs w:val="1"/>
          <w:color w:val="auto"/>
        </w:rPr>
        <w:t>The therapeutic functionality of ABC molecules can be further optimized by modifying the Fc region, the constant portion of the antibody responsible for interactions with the immune system. Such modifications may enhance binding affinity, immune response, and pharmacokinetic and pharmacodynamic properties, ultimately improving therapeutic efficacy.</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9360"/>
          </w:cols>
          <w:pgMar w:left="1440" w:top="1440" w:right="1440" w:bottom="181" w:gutter="0" w:footer="0" w:header="0"/>
          <w:type w:val="continuous"/>
        </w:sectPr>
      </w:pPr>
    </w:p>
    <w:bookmarkStart w:id="14" w:name="page15"/>
    <w:bookmarkEnd w:id="14"/>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Optimization of Binding Properties</w:t>
      </w:r>
    </w:p>
    <w:p>
      <w:pPr>
        <w:spacing w:after="0" w:line="129" w:lineRule="exact"/>
        <w:rPr>
          <w:sz w:val="20"/>
          <w:szCs w:val="20"/>
          <w:color w:val="auto"/>
        </w:rPr>
      </w:pPr>
    </w:p>
    <w:p>
      <w:pPr>
        <w:ind w:right="20" w:firstLine="490"/>
        <w:spacing w:after="0" w:line="271" w:lineRule="auto"/>
        <w:rPr>
          <w:sz w:val="20"/>
          <w:szCs w:val="20"/>
          <w:color w:val="auto"/>
        </w:rPr>
      </w:pPr>
      <w:r>
        <w:rPr>
          <w:rFonts w:ascii="Arial" w:cs="Arial" w:eastAsia="Arial" w:hAnsi="Arial"/>
          <w:sz w:val="18"/>
          <w:szCs w:val="18"/>
          <w:b w:val="1"/>
          <w:bCs w:val="1"/>
          <w:color w:val="auto"/>
        </w:rPr>
        <w:t>ABC-enabled therapeutic molecules incorporate TfR binding domains with selected binding affinities, binding kinetics, and epitope specificity, which are important design considerations in supporting transport across the BBB. TfR binding affinity can influence cellular uptake and brain exposure, and different affinity ranges may be appropriate depending on the therapeutic modality and cargo configuration.</w:t>
      </w:r>
    </w:p>
    <w:p>
      <w:pPr>
        <w:spacing w:after="0" w:line="107" w:lineRule="exact"/>
        <w:rPr>
          <w:sz w:val="20"/>
          <w:szCs w:val="20"/>
          <w:color w:val="auto"/>
        </w:rPr>
      </w:pPr>
    </w:p>
    <w:p>
      <w:pPr>
        <w:ind w:firstLine="490"/>
        <w:spacing w:after="0" w:line="252" w:lineRule="auto"/>
        <w:rPr>
          <w:sz w:val="20"/>
          <w:szCs w:val="20"/>
          <w:color w:val="auto"/>
        </w:rPr>
      </w:pPr>
      <w:r>
        <w:rPr>
          <w:rFonts w:ascii="Arial" w:cs="Arial" w:eastAsia="Arial" w:hAnsi="Arial"/>
          <w:sz w:val="19"/>
          <w:szCs w:val="19"/>
          <w:b w:val="1"/>
          <w:bCs w:val="1"/>
          <w:color w:val="auto"/>
        </w:rPr>
        <w:t>ABC includes TfR binders that recognize a distinct TfR epitope and span a range of binding affinities, enabling evaluation of how affinity and binding kinetics impact brain uptake and distribution in preclinical models. These binding properties are selected and configured in the context of the therapeutic cargo and intended mechanism of action, rather than using a single fixed TfR-binding configuration across all programs. Binding affinity, binding kinetics, and epitope selection are assessed on a program-by-program basis as part of the overall design of ABC-enabled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5944870" cy="3345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4870" cy="334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35" w:lineRule="auto"/>
        <w:rPr>
          <w:sz w:val="20"/>
          <w:szCs w:val="20"/>
          <w:color w:val="auto"/>
        </w:rPr>
      </w:pPr>
      <w:r>
        <w:rPr>
          <w:rFonts w:ascii="Arial" w:cs="Arial" w:eastAsia="Arial" w:hAnsi="Arial"/>
          <w:sz w:val="20"/>
          <w:szCs w:val="20"/>
          <w:b w:val="1"/>
          <w:bCs w:val="1"/>
          <w:color w:val="auto"/>
        </w:rPr>
        <w:t>Figure 9. Examples of TfR binding affinities evaluated for ABC-enabled molecules and associated affinity-dependent internalization in human brain endothelial cells and brain exposure observed in non-human primates.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Translatability</w:t>
      </w:r>
    </w:p>
    <w:p>
      <w:pPr>
        <w:spacing w:after="0" w:line="131" w:lineRule="exact"/>
        <w:rPr>
          <w:sz w:val="20"/>
          <w:szCs w:val="20"/>
          <w:color w:val="auto"/>
        </w:rPr>
      </w:pPr>
    </w:p>
    <w:p>
      <w:pPr>
        <w:ind w:right="100" w:firstLine="490"/>
        <w:spacing w:after="0" w:line="252" w:lineRule="auto"/>
        <w:rPr>
          <w:sz w:val="20"/>
          <w:szCs w:val="20"/>
          <w:color w:val="auto"/>
        </w:rPr>
      </w:pPr>
      <w:r>
        <w:rPr>
          <w:rFonts w:ascii="Arial" w:cs="Arial" w:eastAsia="Arial" w:hAnsi="Arial"/>
          <w:sz w:val="19"/>
          <w:szCs w:val="19"/>
          <w:b w:val="1"/>
          <w:bCs w:val="1"/>
          <w:color w:val="auto"/>
        </w:rPr>
        <w:t>Translatability is a key component of our ABC platform. We enable early-stage evaluation of ABC-enabled therapeutics using in vivo models, including mice expressing the human TfR, to support assessment of brain uptake and biological activity. To ensure biologically relevant results, we generate affinity-matched surrogates for ABC-cargo pairings and test them in murine disease models.</w:t>
      </w:r>
    </w:p>
    <w:p>
      <w:pPr>
        <w:spacing w:after="0" w:line="122" w:lineRule="exact"/>
        <w:rPr>
          <w:sz w:val="20"/>
          <w:szCs w:val="20"/>
          <w:color w:val="auto"/>
        </w:rPr>
      </w:pPr>
    </w:p>
    <w:p>
      <w:pPr>
        <w:ind w:right="100" w:firstLine="490"/>
        <w:spacing w:after="0" w:line="237" w:lineRule="auto"/>
        <w:rPr>
          <w:sz w:val="20"/>
          <w:szCs w:val="20"/>
          <w:color w:val="auto"/>
        </w:rPr>
      </w:pPr>
      <w:r>
        <w:rPr>
          <w:rFonts w:ascii="Arial" w:cs="Arial" w:eastAsia="Arial" w:hAnsi="Arial"/>
          <w:sz w:val="20"/>
          <w:szCs w:val="20"/>
          <w:b w:val="1"/>
          <w:bCs w:val="1"/>
          <w:color w:val="auto"/>
        </w:rPr>
        <w:t>We also prioritize translatable safety by selecting ABCs with similar affinities to human and cynomolgus monkey BBB receptors, to help ensure that non-human primate studies predict clinical outcomes. Additionally, we conduct early-stage biophysical assessments to confirm that ABC-cargo combinations have favorable properties for manufacturing and clinical progression.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9360"/>
          </w:cols>
          <w:pgMar w:left="1440" w:top="1440" w:right="1440" w:bottom="181"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Strategic Alliance with GSK</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9" w:lineRule="exact"/>
        <w:rPr>
          <w:sz w:val="20"/>
          <w:szCs w:val="20"/>
          <w:color w:val="auto"/>
        </w:rPr>
      </w:pPr>
    </w:p>
    <w:p>
      <w:pPr>
        <w:ind w:right="60" w:firstLine="490"/>
        <w:spacing w:after="0" w:line="342" w:lineRule="auto"/>
        <w:rPr>
          <w:sz w:val="20"/>
          <w:szCs w:val="20"/>
          <w:color w:val="auto"/>
        </w:rPr>
      </w:pPr>
      <w:r>
        <w:rPr>
          <w:rFonts w:ascii="Arial" w:cs="Arial" w:eastAsia="Arial" w:hAnsi="Arial"/>
          <w:sz w:val="15"/>
          <w:szCs w:val="15"/>
          <w:b w:val="1"/>
          <w:bCs w:val="1"/>
          <w:color w:val="auto"/>
        </w:rPr>
        <w:t>In July 2021, we entered into a Collaboration and License Agreement with GSK, pursuant to which we and GSK collaborate on the global development and commercialization of progranulin-elevating monoclonal antibodies, including nivisnebart, which is currently in a Phase 2 trial, and latozinemab, for which clinical development in frontotemporal dementia has been discontinued. The GSK Agreement became effective on August 17, 2021.</w:t>
      </w:r>
    </w:p>
    <w:p>
      <w:pPr>
        <w:spacing w:after="0" w:line="58" w:lineRule="exact"/>
        <w:rPr>
          <w:sz w:val="20"/>
          <w:szCs w:val="20"/>
          <w:color w:val="auto"/>
        </w:rPr>
      </w:pPr>
    </w:p>
    <w:p>
      <w:pPr>
        <w:ind w:right="80" w:firstLine="490"/>
        <w:spacing w:after="0" w:line="287" w:lineRule="auto"/>
        <w:rPr>
          <w:sz w:val="20"/>
          <w:szCs w:val="20"/>
          <w:color w:val="auto"/>
        </w:rPr>
      </w:pPr>
      <w:r>
        <w:rPr>
          <w:rFonts w:ascii="Arial" w:cs="Arial" w:eastAsia="Arial" w:hAnsi="Arial"/>
          <w:sz w:val="17"/>
          <w:szCs w:val="17"/>
          <w:b w:val="1"/>
          <w:bCs w:val="1"/>
          <w:color w:val="auto"/>
        </w:rPr>
        <w:t>Under the terms of the GSK Agreement, we received $700 million in upfront payments, of which $500 million was received in August 2021 and $200 million was received in January 2022. In addition, we may be eligible to receive up to an additional $1.5 billion in clinical development, regulatory, and commercial launch-related milestone payments, including $160 million for the first commercial sale in the United States and $90 million for the first commercial sale in at least two of the following countries: France, Germany, Italy, Spain, or the United Kingdom. In the United States, the parties agreed to equally share profits and losses from commercialization of latozinemab and nivisnebart. Outside of the United States, we will be eligible for double-digit tiered royalties.</w:t>
      </w:r>
    </w:p>
    <w:p>
      <w:pPr>
        <w:spacing w:after="0" w:line="94" w:lineRule="exact"/>
        <w:rPr>
          <w:sz w:val="20"/>
          <w:szCs w:val="20"/>
          <w:color w:val="auto"/>
        </w:rPr>
      </w:pPr>
    </w:p>
    <w:p>
      <w:pPr>
        <w:jc w:val="both"/>
        <w:ind w:right="20" w:firstLine="490"/>
        <w:spacing w:after="0" w:line="235" w:lineRule="auto"/>
        <w:rPr>
          <w:sz w:val="20"/>
          <w:szCs w:val="20"/>
          <w:color w:val="auto"/>
        </w:rPr>
      </w:pPr>
      <w:r>
        <w:rPr>
          <w:rFonts w:ascii="Arial" w:cs="Arial" w:eastAsia="Arial" w:hAnsi="Arial"/>
          <w:sz w:val="20"/>
          <w:szCs w:val="20"/>
          <w:b w:val="1"/>
          <w:bCs w:val="1"/>
          <w:color w:val="auto"/>
        </w:rPr>
        <w:t>The parties agreed to jointly develop latozinemab and nivisnebart, with GSK conducting Phase 3 clinical trials for Alzheimer’s disease and Parkinson’s disease and other non-orphan indications as well as the initial Phase 2 trial for nivisnebart in Alzheimer’s disease.</w:t>
      </w:r>
    </w:p>
    <w:p>
      <w:pPr>
        <w:spacing w:after="0" w:line="133" w:lineRule="exact"/>
        <w:rPr>
          <w:sz w:val="20"/>
          <w:szCs w:val="20"/>
          <w:color w:val="auto"/>
        </w:rPr>
      </w:pPr>
    </w:p>
    <w:p>
      <w:pPr>
        <w:ind w:right="80" w:firstLine="490"/>
        <w:spacing w:after="0" w:line="236" w:lineRule="auto"/>
        <w:rPr>
          <w:sz w:val="20"/>
          <w:szCs w:val="20"/>
          <w:color w:val="auto"/>
        </w:rPr>
      </w:pPr>
      <w:r>
        <w:rPr>
          <w:rFonts w:ascii="Arial" w:cs="Arial" w:eastAsia="Arial" w:hAnsi="Arial"/>
          <w:sz w:val="20"/>
          <w:szCs w:val="20"/>
          <w:b w:val="1"/>
          <w:bCs w:val="1"/>
          <w:color w:val="auto"/>
        </w:rPr>
        <w:t>We agreed that development costs will be shared 60% by GSK and 40% by us, except that the parties will share manufacturing development costs equally, and we will solely bear the development costs of the initial Phase 2 clinical trials under the development plan.</w:t>
      </w:r>
    </w:p>
    <w:p>
      <w:pPr>
        <w:spacing w:after="0" w:line="133" w:lineRule="exact"/>
        <w:rPr>
          <w:sz w:val="20"/>
          <w:szCs w:val="20"/>
          <w:color w:val="auto"/>
        </w:rPr>
      </w:pPr>
    </w:p>
    <w:p>
      <w:pPr>
        <w:ind w:right="60" w:firstLine="490"/>
        <w:spacing w:after="0" w:line="309" w:lineRule="auto"/>
        <w:rPr>
          <w:sz w:val="20"/>
          <w:szCs w:val="20"/>
          <w:color w:val="auto"/>
        </w:rPr>
      </w:pPr>
      <w:r>
        <w:rPr>
          <w:rFonts w:ascii="Arial" w:cs="Arial" w:eastAsia="Arial" w:hAnsi="Arial"/>
          <w:sz w:val="17"/>
          <w:szCs w:val="17"/>
          <w:b w:val="1"/>
          <w:bCs w:val="1"/>
          <w:color w:val="auto"/>
        </w:rPr>
        <w:t>Subsequently, in May 2023, we and GSK amended the GSK Agreement to provide that we are responsible for funding up to $140.5 million for the conduct of the initial Phase 2 trial for nivisnebart in Alzheimer’s disease.</w:t>
      </w:r>
    </w:p>
    <w:p>
      <w:pPr>
        <w:spacing w:after="0" w:line="75" w:lineRule="exact"/>
        <w:rPr>
          <w:sz w:val="20"/>
          <w:szCs w:val="20"/>
          <w:color w:val="auto"/>
        </w:rPr>
      </w:pPr>
    </w:p>
    <w:p>
      <w:pPr>
        <w:ind w:right="120" w:firstLine="490"/>
        <w:spacing w:after="0" w:line="286" w:lineRule="auto"/>
        <w:rPr>
          <w:sz w:val="20"/>
          <w:szCs w:val="20"/>
          <w:color w:val="auto"/>
        </w:rPr>
      </w:pPr>
      <w:r>
        <w:rPr>
          <w:rFonts w:ascii="Arial" w:cs="Arial" w:eastAsia="Arial" w:hAnsi="Arial"/>
          <w:sz w:val="17"/>
          <w:szCs w:val="17"/>
          <w:b w:val="1"/>
          <w:bCs w:val="1"/>
          <w:color w:val="auto"/>
        </w:rPr>
        <w:t>In the United States, the parties agreed to be jointly responsible for commercialization of latozinemab and nivisnebart, with us leading the commercialization for orphan indications and GSK leading the commercialization for Alzheimer’s disease and Parkinson’s disease and other non-orphan indications. Outside of the United States, we agreed that GSK is solely responsible for commercialization of latozinemab and nivisnebart for all indications. We may opt out of the sharing of development costs and of profit and losses from commercialization in the United States on a product-by-product basis. In such case, we will no longer conduct development or commercialization of that product, the Company will receive tiered royalties on net sales in the United States instead of a share of profits or losses, and certain milestones will be reduced.</w:t>
      </w:r>
    </w:p>
    <w:p>
      <w:pPr>
        <w:spacing w:after="0" w:line="97"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auto"/>
        </w:rPr>
        <w:t>Governance. The collaboration is governed by a joint steering committee (JSC) and conducted through a Joint Development Committee (JDC) and other operational committees, including those that the JSC may establish to oversee particular projects or activities. Subject to limitations specified in the GSK Agreement, if the applicable governance committee is unable to make a decision by consensus and the parties are unable to resolve the issue through escalation to specified senior executive officers of the parties, then the issue is escalated to an alternative dispute resolution subject to final decision-making rights retained by each party.</w:t>
      </w:r>
    </w:p>
    <w:p>
      <w:pPr>
        <w:spacing w:after="0" w:line="108" w:lineRule="exact"/>
        <w:rPr>
          <w:sz w:val="20"/>
          <w:szCs w:val="20"/>
          <w:color w:val="auto"/>
        </w:rPr>
      </w:pPr>
    </w:p>
    <w:p>
      <w:pPr>
        <w:ind w:right="520" w:firstLine="490"/>
        <w:spacing w:after="0" w:line="236" w:lineRule="auto"/>
        <w:rPr>
          <w:sz w:val="20"/>
          <w:szCs w:val="20"/>
          <w:color w:val="auto"/>
        </w:rPr>
      </w:pPr>
      <w:r>
        <w:rPr>
          <w:rFonts w:ascii="Arial" w:cs="Arial" w:eastAsia="Arial" w:hAnsi="Arial"/>
          <w:sz w:val="20"/>
          <w:szCs w:val="20"/>
          <w:b w:val="1"/>
          <w:bCs w:val="1"/>
          <w:color w:val="auto"/>
        </w:rPr>
        <w:t>Exclusivity. During the term of the GSK Agreement, each of Alector and GSK are subject to exclusivity requirements prohibiting certain activities outside of the GSK Agreement directed to targets under the GSK Agreement.</w:t>
      </w:r>
    </w:p>
    <w:p>
      <w:pPr>
        <w:spacing w:after="0" w:line="130" w:lineRule="exact"/>
        <w:rPr>
          <w:sz w:val="20"/>
          <w:szCs w:val="20"/>
          <w:color w:val="auto"/>
        </w:rPr>
      </w:pPr>
    </w:p>
    <w:p>
      <w:pPr>
        <w:ind w:right="80" w:firstLine="490"/>
        <w:spacing w:after="0" w:line="329" w:lineRule="auto"/>
        <w:rPr>
          <w:sz w:val="20"/>
          <w:szCs w:val="20"/>
          <w:color w:val="auto"/>
        </w:rPr>
      </w:pPr>
      <w:r>
        <w:rPr>
          <w:rFonts w:ascii="Arial" w:cs="Arial" w:eastAsia="Arial" w:hAnsi="Arial"/>
          <w:sz w:val="15"/>
          <w:szCs w:val="15"/>
          <w:b w:val="1"/>
          <w:bCs w:val="1"/>
          <w:color w:val="auto"/>
        </w:rPr>
        <w:t>Intellectual Property. Ownership of intellectual property created in connection with the GSK Agreement is generally determined on the basis of inventorship. Generally, we have the first right to control prosecution and maintenance of licensed patents, including patents developed solely by us or jointly by the parties, in the United States, and GSK has the first right to control prosecution and maintenance of such patents outside the United States. GSK has the first right to prosecute infringement of such patents by certain third-party products. The parties shall mutually agree on which party shall control the defense against claims that a product developed under either of the programs that are the subject of the GSK Agreement infringes third-party intellectual property rights, with the party against whom such claims have been filed having the first right to defend in the absence of such mutual agreement.</w:t>
      </w:r>
    </w:p>
    <w:p>
      <w:pPr>
        <w:spacing w:after="0" w:line="69" w:lineRule="exact"/>
        <w:rPr>
          <w:sz w:val="20"/>
          <w:szCs w:val="20"/>
          <w:color w:val="auto"/>
        </w:rPr>
      </w:pPr>
    </w:p>
    <w:p>
      <w:pPr>
        <w:ind w:right="160" w:firstLine="490"/>
        <w:spacing w:after="0" w:line="237" w:lineRule="auto"/>
        <w:rPr>
          <w:sz w:val="20"/>
          <w:szCs w:val="20"/>
          <w:color w:val="auto"/>
        </w:rPr>
      </w:pPr>
      <w:r>
        <w:rPr>
          <w:rFonts w:ascii="Arial" w:cs="Arial" w:eastAsia="Arial" w:hAnsi="Arial"/>
          <w:sz w:val="20"/>
          <w:szCs w:val="20"/>
          <w:b w:val="1"/>
          <w:bCs w:val="1"/>
          <w:color w:val="auto"/>
        </w:rPr>
        <w:t>Term and Termination. At any point during the term of the GSK Agreement, after a specified notice period, GSK can terminate the GSK Agreement in its entirety for convenience. Additionally, GSK or we can terminate the GSK Agreement in connection with a material breach of the GSK Agreement by the other party that remains uncured for a specified period of time.</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9360"/>
          </w:cols>
          <w:pgMar w:left="1440" w:top="1439" w:right="1440" w:bottom="181"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Adimab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 2014 Adimab Collaboration Agreement (2014 Adimab Agreement)</w:t>
      </w:r>
    </w:p>
    <w:p>
      <w:pPr>
        <w:spacing w:after="0" w:line="129" w:lineRule="exact"/>
        <w:rPr>
          <w:sz w:val="20"/>
          <w:szCs w:val="20"/>
          <w:color w:val="auto"/>
        </w:rPr>
      </w:pPr>
    </w:p>
    <w:p>
      <w:pPr>
        <w:ind w:right="200" w:firstLine="490"/>
        <w:spacing w:after="0" w:line="236" w:lineRule="auto"/>
        <w:rPr>
          <w:sz w:val="20"/>
          <w:szCs w:val="20"/>
          <w:color w:val="auto"/>
        </w:rPr>
      </w:pPr>
      <w:r>
        <w:rPr>
          <w:rFonts w:ascii="Arial" w:cs="Arial" w:eastAsia="Arial" w:hAnsi="Arial"/>
          <w:sz w:val="20"/>
          <w:szCs w:val="20"/>
          <w:b w:val="1"/>
          <w:bCs w:val="1"/>
          <w:color w:val="auto"/>
        </w:rPr>
        <w:t>In 2014, we entered into the 2014 Adimab Collaboration Agreement (the 2014 Adimab Agreement). Our latozinemab and nivisnebart product candidates were discovered and optimized, and our AL002 product candidate was optimized, under the 2014 Adimab Agreement.</w:t>
      </w:r>
    </w:p>
    <w:p>
      <w:pPr>
        <w:spacing w:after="0" w:line="133" w:lineRule="exact"/>
        <w:rPr>
          <w:sz w:val="20"/>
          <w:szCs w:val="20"/>
          <w:color w:val="auto"/>
        </w:rPr>
      </w:pPr>
    </w:p>
    <w:p>
      <w:pPr>
        <w:ind w:firstLine="490"/>
        <w:spacing w:after="0" w:line="326" w:lineRule="auto"/>
        <w:rPr>
          <w:sz w:val="20"/>
          <w:szCs w:val="20"/>
          <w:color w:val="auto"/>
        </w:rPr>
      </w:pPr>
      <w:r>
        <w:rPr>
          <w:rFonts w:ascii="Arial" w:cs="Arial" w:eastAsia="Arial" w:hAnsi="Arial"/>
          <w:sz w:val="15"/>
          <w:szCs w:val="15"/>
          <w:b w:val="1"/>
          <w:bCs w:val="1"/>
          <w:color w:val="auto"/>
        </w:rPr>
        <w:t>Under the 2014 Adimab Collaboration Agreement, during the Collaboration Term, with respect to targets selected by us, and with our funding, Adimab was required to use commercially reasonable efforts to conduct certain research to discover or optimize antibodies directed against such targets. We had an exclusive option to obtain certain rights relating to a specified number of antibodies discovered or optimized by Adimab directed against the targets we selected. Upon exercise, we would own patent rights specifically covering the sequences of such antibodies, and a worldwide, royalty-bearing, sublicensable licenses under certain technology owned or developed by Adimab to research, develop, make, have made, use, sell, offer to sell, import and export such antibodies and products based on such antibodies for all human therapeutic, prophylactic and diagnostic uses. These licenses are exclusive, except as to Adimab background and platform technology and Adimab’s retained rights to continue using and licensing its own libraries, as to which the licenses are non-exclusive. Upon our exercise of the option with respect to a target, we are subject to an obligation to devote commercially reasonable efforts to commercialize products using the optioned rights to such target. The assigned and licensed patent rights we obtained from these option exercises are described in more detail above under the section titled “Business—Intellectual Property.”</w:t>
      </w:r>
    </w:p>
    <w:p>
      <w:pPr>
        <w:spacing w:after="0" w:line="299" w:lineRule="exact"/>
        <w:rPr>
          <w:sz w:val="20"/>
          <w:szCs w:val="20"/>
          <w:color w:val="auto"/>
        </w:rPr>
      </w:pPr>
    </w:p>
    <w:p>
      <w:pPr>
        <w:ind w:firstLine="490"/>
        <w:spacing w:after="0" w:line="269" w:lineRule="auto"/>
        <w:rPr>
          <w:sz w:val="20"/>
          <w:szCs w:val="20"/>
          <w:color w:val="auto"/>
        </w:rPr>
      </w:pPr>
      <w:r>
        <w:rPr>
          <w:rFonts w:ascii="Arial" w:cs="Arial" w:eastAsia="Arial" w:hAnsi="Arial"/>
          <w:sz w:val="18"/>
          <w:szCs w:val="18"/>
          <w:b w:val="1"/>
          <w:bCs w:val="1"/>
          <w:color w:val="auto"/>
        </w:rPr>
        <w:t>Intellectual Property. Ownership of intellectual property arising from the research is generally owned by the party that invents or creates the applicable intellectual property, although certain categories of intellectual property are specifically assigned to one party or the other. For example, patent rights specifically covering the sequences of antibodies for which we exercised our exclusive option are assigned to and owned by us; and patent rights relating to improvements to Adimab’s background platform technology that are invented in the course of the research are assigned to Adimab.</w:t>
      </w:r>
    </w:p>
    <w:p>
      <w:pPr>
        <w:spacing w:after="0" w:line="108" w:lineRule="exact"/>
        <w:rPr>
          <w:sz w:val="20"/>
          <w:szCs w:val="20"/>
          <w:color w:val="auto"/>
        </w:rPr>
      </w:pPr>
    </w:p>
    <w:p>
      <w:pPr>
        <w:ind w:right="140" w:firstLine="490"/>
        <w:spacing w:after="0" w:line="269" w:lineRule="auto"/>
        <w:rPr>
          <w:sz w:val="20"/>
          <w:szCs w:val="20"/>
          <w:color w:val="auto"/>
        </w:rPr>
      </w:pPr>
      <w:r>
        <w:rPr>
          <w:rFonts w:ascii="Arial" w:cs="Arial" w:eastAsia="Arial" w:hAnsi="Arial"/>
          <w:sz w:val="18"/>
          <w:szCs w:val="18"/>
          <w:b w:val="1"/>
          <w:bCs w:val="1"/>
          <w:color w:val="auto"/>
        </w:rPr>
        <w:t>Financial terms. We funded Adimab’s research in connection with our collaboration, in accordance with the terms and limitations described in the 2014 Adimab Agreement. We also have potential milestone payments per program for use of antibodies and low- to mid-single digit royalty payments for commercial sales of products incorporating such antibodies. However, if we enter into any transaction granting rights to the inventions or sell products created as a result of a collaboration with a third party, we have a choice to pay a share of the resulting revenue instead of royalties from such sales.</w:t>
      </w:r>
    </w:p>
    <w:p>
      <w:pPr>
        <w:spacing w:after="0" w:line="108" w:lineRule="exact"/>
        <w:rPr>
          <w:sz w:val="20"/>
          <w:szCs w:val="20"/>
          <w:color w:val="auto"/>
        </w:rPr>
      </w:pPr>
    </w:p>
    <w:p>
      <w:pPr>
        <w:ind w:right="240" w:firstLine="490"/>
        <w:spacing w:after="0" w:line="252" w:lineRule="auto"/>
        <w:rPr>
          <w:sz w:val="20"/>
          <w:szCs w:val="20"/>
          <w:color w:val="auto"/>
        </w:rPr>
      </w:pPr>
      <w:r>
        <w:rPr>
          <w:rFonts w:ascii="Arial" w:cs="Arial" w:eastAsia="Arial" w:hAnsi="Arial"/>
          <w:sz w:val="19"/>
          <w:szCs w:val="19"/>
          <w:b w:val="1"/>
          <w:bCs w:val="1"/>
          <w:color w:val="auto"/>
        </w:rPr>
        <w:t>Term and Termination. The 2014 Adimab Agreement is set to expire on the twelfth anniversary of the first commercial sale of the products created under the collaboration, on a product-by-product and country-by-country basis. The licenses we and Adimab granted to each other do not survive, subject to certain limitations. The Collaboration Term has expired, and we are no longer conducting research with Adimab under the 2014 Adimab Collaboration Agreement.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31"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We must manufacture our product candidates for clinical trial use in compliance with current good manufacturing practices (cGMP) regulations.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or comparable foreign regulatory authority’s satisfaction before any product is approved for human clinical trial use. Our third-party manufacturers will also be subject to periodic inspections of their respective facilities for general cGMP compliance by the FDA and other foreign authorities. These inspections may include review of procedures and operations used in the testing and manufacture of our products to assess compliance with applicable regulations.</w:t>
      </w:r>
    </w:p>
    <w:p>
      <w:pPr>
        <w:spacing w:after="0" w:line="98" w:lineRule="exact"/>
        <w:rPr>
          <w:sz w:val="20"/>
          <w:szCs w:val="20"/>
          <w:color w:val="auto"/>
        </w:rPr>
      </w:pPr>
    </w:p>
    <w:p>
      <w:pPr>
        <w:ind w:right="120" w:firstLine="490"/>
        <w:spacing w:after="0" w:line="289" w:lineRule="auto"/>
        <w:rPr>
          <w:sz w:val="20"/>
          <w:szCs w:val="20"/>
          <w:color w:val="auto"/>
        </w:rPr>
      </w:pPr>
      <w:r>
        <w:rPr>
          <w:rFonts w:ascii="Arial" w:cs="Arial" w:eastAsia="Arial" w:hAnsi="Arial"/>
          <w:sz w:val="17"/>
          <w:szCs w:val="17"/>
          <w:b w:val="1"/>
          <w:bCs w:val="1"/>
          <w:color w:val="auto"/>
        </w:rPr>
        <w:t>We do not currently have the infrastructure or internal capability to manufacture our product candidates for use in clinical trials and commercialization. Under the GSK Agreement, we and GSK agreed that GSK would assume responsibility for the manufacture of latozinemab and nivisnebart for clinical and commercial use. Until GSK has fully assumed such responsibility, and for our other product candidates, we rely, and expect to continue to rely, on third-party contract development and manufacturing organizations (CDMOs) for the production of our</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9360"/>
          </w:cols>
          <w:pgMar w:left="1440" w:top="1439" w:right="1440" w:bottom="181" w:gutter="0" w:footer="0" w:header="0"/>
          <w:type w:val="continuous"/>
        </w:sectPr>
      </w:pPr>
    </w:p>
    <w:bookmarkStart w:id="17" w:name="page18"/>
    <w:bookmarkEnd w:id="17"/>
    <w:p>
      <w:pPr>
        <w:spacing w:after="0" w:line="10"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b w:val="1"/>
          <w:bCs w:val="1"/>
          <w:color w:val="auto"/>
        </w:rPr>
        <w:t>product candidates during their preclinical and clinical development. As part of our broad manufacturing strategy to expedite the manufacturing of our product candidates and minimize manufacturing risk, we currently have established relationships with CDMOs for the manufacturing of our drug substance or product candidates.</w:t>
      </w:r>
    </w:p>
    <w:p>
      <w:pPr>
        <w:spacing w:after="0" w:line="86" w:lineRule="exact"/>
        <w:rPr>
          <w:sz w:val="20"/>
          <w:szCs w:val="20"/>
          <w:color w:val="auto"/>
        </w:rPr>
      </w:pPr>
    </w:p>
    <w:p>
      <w:pPr>
        <w:ind w:right="120" w:firstLine="490"/>
        <w:spacing w:after="0" w:line="288" w:lineRule="auto"/>
        <w:rPr>
          <w:sz w:val="20"/>
          <w:szCs w:val="20"/>
          <w:color w:val="auto"/>
        </w:rPr>
      </w:pPr>
      <w:r>
        <w:rPr>
          <w:rFonts w:ascii="Arial" w:cs="Arial" w:eastAsia="Arial" w:hAnsi="Arial"/>
          <w:sz w:val="17"/>
          <w:szCs w:val="17"/>
          <w:b w:val="1"/>
          <w:bCs w:val="1"/>
          <w:color w:val="auto"/>
        </w:rPr>
        <w:t>We do not have long-term supply agreements and we purchase our required drug product through development manufacturing services agreements. We expect to continue to rely on third-party manufacturers or our collaboration partners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w:t>
      </w:r>
    </w:p>
    <w:p>
      <w:pPr>
        <w:spacing w:after="0" w:line="93"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may encounter difficulties involving production yields, quality control and quality assurance, as well as shortages of qualified personnel. Any of these actions or events could have a material impact on the availability of our products.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 Plan</w:t>
      </w:r>
    </w:p>
    <w:p>
      <w:pPr>
        <w:spacing w:after="0" w:line="131" w:lineRule="exact"/>
        <w:rPr>
          <w:sz w:val="20"/>
          <w:szCs w:val="20"/>
          <w:color w:val="auto"/>
        </w:rPr>
      </w:pPr>
    </w:p>
    <w:p>
      <w:pPr>
        <w:ind w:firstLine="490"/>
        <w:spacing w:after="0" w:line="288" w:lineRule="auto"/>
        <w:rPr>
          <w:sz w:val="20"/>
          <w:szCs w:val="20"/>
          <w:color w:val="auto"/>
        </w:rPr>
      </w:pPr>
      <w:r>
        <w:rPr>
          <w:rFonts w:ascii="Arial" w:cs="Arial" w:eastAsia="Arial" w:hAnsi="Arial"/>
          <w:sz w:val="17"/>
          <w:szCs w:val="17"/>
          <w:b w:val="1"/>
          <w:bCs w:val="1"/>
          <w:color w:val="auto"/>
        </w:rPr>
        <w:t>We do not currently have any approved drugs, and we do not expect to have any approved drugs in the near term. Therefore, we have no sales, marketing or commercial product distribution capabilities and have no experience as a company in marketing drugs. When, and if, any of our product candidates are approved for commercialization, we intend to develop commercialization infrastructure for those products in the applicable markets. We may also rely on partners, such as GSK, to commercialize or provide commercialization infrastructure in the United States or other countries, including as to sales and marketing and commercial 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1"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Our success depends in part on our ability to obtain and maintain proprietary protection for our product candidates, technology and know-how, to operate without infringing the proprietary rights of others and to enforce our proprietary rights against infringers. Our strategy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Our patent portfolio is intended to cover our product candidates, their methods of use and processes for their manufacture, our proprietary methodologies and platforms, and any other inventions that are commercially important to our business. We also rely on trademarks as well as trade secret protection of our confidential information and know-how relating to our proprietary technology, platforms, methods and product candidates. We believe that we have substantial know-how and trade secrets relating to our technology and product candidates.</w:t>
      </w:r>
    </w:p>
    <w:p>
      <w:pPr>
        <w:spacing w:after="0" w:line="96" w:lineRule="exact"/>
        <w:rPr>
          <w:sz w:val="20"/>
          <w:szCs w:val="20"/>
          <w:color w:val="auto"/>
        </w:rPr>
      </w:pPr>
    </w:p>
    <w:p>
      <w:pPr>
        <w:jc w:val="both"/>
        <w:ind w:right="380" w:firstLine="490"/>
        <w:spacing w:after="0" w:line="252" w:lineRule="auto"/>
        <w:rPr>
          <w:sz w:val="20"/>
          <w:szCs w:val="20"/>
          <w:color w:val="auto"/>
        </w:rPr>
      </w:pPr>
      <w:r>
        <w:rPr>
          <w:rFonts w:ascii="Arial" w:cs="Arial" w:eastAsia="Arial" w:hAnsi="Arial"/>
          <w:sz w:val="19"/>
          <w:szCs w:val="19"/>
          <w:b w:val="1"/>
          <w:bCs w:val="1"/>
          <w:color w:val="auto"/>
        </w:rPr>
        <w:t>For our product candidates, we generally pursue multilayered patent protection covering compositions of matter based on for example, sequences of our product candidates as well as their functional characteristics. In addition to composition of matter coverage, we also generally pursue claims directed to methods of making and using our product candidates. The method of use claims further include claims directed to methods of treatment, patient selection criteria, biomarkers, disease subgroups, pharmacodynamic and clinical end-points, and dosage regimes.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PGRN (Nivisnebart) Program</w:t>
      </w:r>
    </w:p>
    <w:p>
      <w:pPr>
        <w:spacing w:after="0" w:line="131" w:lineRule="exact"/>
        <w:rPr>
          <w:sz w:val="20"/>
          <w:szCs w:val="20"/>
          <w:color w:val="auto"/>
        </w:rPr>
      </w:pPr>
    </w:p>
    <w:p>
      <w:pPr>
        <w:ind w:right="60" w:firstLine="490"/>
        <w:spacing w:after="0" w:line="291" w:lineRule="auto"/>
        <w:rPr>
          <w:sz w:val="20"/>
          <w:szCs w:val="20"/>
          <w:color w:val="auto"/>
        </w:rPr>
      </w:pPr>
      <w:r>
        <w:rPr>
          <w:rFonts w:ascii="Arial" w:cs="Arial" w:eastAsia="Arial" w:hAnsi="Arial"/>
          <w:sz w:val="17"/>
          <w:szCs w:val="17"/>
          <w:b w:val="1"/>
          <w:bCs w:val="1"/>
          <w:color w:val="auto"/>
        </w:rPr>
        <w:t>We own three patent families directed to our nivisnebart PGRN program which include six issued U.S. patents, covering the compositions and uses of our nivisnebart product candidate. The first patent family is expected to expire in 2036, the second patent family is expected to expire in 2041, and the third patent family is expected to expire in 2042, in all cases excluding any patent term adjustments and any patent term extensions.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ABC Platform Technology</w:t>
      </w:r>
    </w:p>
    <w:p>
      <w:pPr>
        <w:spacing w:after="0" w:line="131" w:lineRule="exact"/>
        <w:rPr>
          <w:sz w:val="20"/>
          <w:szCs w:val="20"/>
          <w:color w:val="auto"/>
        </w:rPr>
      </w:pPr>
    </w:p>
    <w:p>
      <w:pPr>
        <w:ind w:right="140" w:firstLine="490"/>
        <w:spacing w:after="0" w:line="312" w:lineRule="auto"/>
        <w:rPr>
          <w:sz w:val="20"/>
          <w:szCs w:val="20"/>
          <w:color w:val="auto"/>
        </w:rPr>
      </w:pPr>
      <w:r>
        <w:rPr>
          <w:rFonts w:ascii="Arial" w:cs="Arial" w:eastAsia="Arial" w:hAnsi="Arial"/>
          <w:sz w:val="17"/>
          <w:szCs w:val="17"/>
          <w:b w:val="1"/>
          <w:bCs w:val="1"/>
          <w:color w:val="auto"/>
        </w:rPr>
        <w:t>We own four patent families directed to our ABC platform technology. Two of those patent families relate to compositions that bind to transferrin receptor (TfR) and methods of use. The first of those two patent families is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9360"/>
          </w:cols>
          <w:pgMar w:left="1440" w:top="1440" w:right="1440" w:bottom="181" w:gutter="0" w:footer="0" w:header="0"/>
          <w:type w:val="continuous"/>
        </w:sectPr>
      </w:pPr>
    </w:p>
    <w:bookmarkStart w:id="18" w:name="page19"/>
    <w:bookmarkEnd w:id="18"/>
    <w:p>
      <w:pPr>
        <w:spacing w:after="0" w:line="10"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b w:val="1"/>
          <w:bCs w:val="1"/>
          <w:color w:val="auto"/>
        </w:rPr>
        <w:t>expected to expire in 2043, and the second patent family is expected to expire in 2045, in all cases excluding any patent term adjustments and any patent term extensions.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Tau siRNA Program</w:t>
      </w:r>
    </w:p>
    <w:p>
      <w:pPr>
        <w:spacing w:after="0" w:line="131" w:lineRule="exact"/>
        <w:rPr>
          <w:sz w:val="20"/>
          <w:szCs w:val="20"/>
          <w:color w:val="auto"/>
        </w:rPr>
      </w:pPr>
    </w:p>
    <w:p>
      <w:pPr>
        <w:ind w:right="320" w:firstLine="490"/>
        <w:spacing w:after="0" w:line="253" w:lineRule="auto"/>
        <w:rPr>
          <w:sz w:val="20"/>
          <w:szCs w:val="20"/>
          <w:color w:val="auto"/>
        </w:rPr>
      </w:pPr>
      <w:r>
        <w:rPr>
          <w:rFonts w:ascii="Arial" w:cs="Arial" w:eastAsia="Arial" w:hAnsi="Arial"/>
          <w:sz w:val="19"/>
          <w:szCs w:val="19"/>
          <w:b w:val="1"/>
          <w:bCs w:val="1"/>
          <w:color w:val="auto"/>
        </w:rPr>
        <w:t>We own one patent family directed to our ABC-enabled tau siRNA program. That patent family, assuming that the necessary non-provisional patent applications are timely filed and all other applicable requirements are satisfied for U.S. provisional patent applications, is expected to expire in 2046, in all cases excluding any patent term adjustments and any patent term extensions.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GCase Program</w:t>
      </w:r>
    </w:p>
    <w:p>
      <w:pPr>
        <w:spacing w:after="0" w:line="129" w:lineRule="exact"/>
        <w:rPr>
          <w:sz w:val="20"/>
          <w:szCs w:val="20"/>
          <w:color w:val="auto"/>
        </w:rPr>
      </w:pPr>
    </w:p>
    <w:p>
      <w:pPr>
        <w:jc w:val="both"/>
        <w:ind w:right="20" w:firstLine="490"/>
        <w:spacing w:after="0" w:line="237" w:lineRule="auto"/>
        <w:rPr>
          <w:sz w:val="20"/>
          <w:szCs w:val="20"/>
          <w:color w:val="auto"/>
        </w:rPr>
      </w:pPr>
      <w:r>
        <w:rPr>
          <w:rFonts w:ascii="Arial" w:cs="Arial" w:eastAsia="Arial" w:hAnsi="Arial"/>
          <w:sz w:val="20"/>
          <w:szCs w:val="20"/>
          <w:b w:val="1"/>
          <w:bCs w:val="1"/>
          <w:color w:val="auto"/>
        </w:rPr>
        <w:t>We own two patent families directed to our glucocerebrosidase (GCase) program covering engineered GCase compositions including our ABC platform technology and use of those compositions. The first patent family and the second patent family are both expected to expire in 2045, in all cases excluding any patent term adjustments and any patent term extensions.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A-beta Program</w:t>
      </w:r>
    </w:p>
    <w:p>
      <w:pPr>
        <w:spacing w:after="0" w:line="131" w:lineRule="exact"/>
        <w:rPr>
          <w:sz w:val="20"/>
          <w:szCs w:val="20"/>
          <w:color w:val="auto"/>
        </w:rPr>
      </w:pPr>
    </w:p>
    <w:p>
      <w:pPr>
        <w:ind w:right="580" w:firstLine="490"/>
        <w:spacing w:after="0" w:line="271" w:lineRule="auto"/>
        <w:rPr>
          <w:sz w:val="20"/>
          <w:szCs w:val="20"/>
          <w:color w:val="auto"/>
        </w:rPr>
      </w:pPr>
      <w:r>
        <w:rPr>
          <w:rFonts w:ascii="Arial" w:cs="Arial" w:eastAsia="Arial" w:hAnsi="Arial"/>
          <w:sz w:val="18"/>
          <w:szCs w:val="18"/>
          <w:b w:val="1"/>
          <w:bCs w:val="1"/>
          <w:color w:val="auto"/>
        </w:rPr>
        <w:t>We own one patent family directed to our ABC-enabled anti-amyloid beta program. That patent family, assuming that the necessary non-provisional patent applications are timely filed and all other applicable requirements are satisfied for U.S. provisional patent applications, is expected to expire in 2046, in all cases excluding any patent term adjustments and any patent term extensions.</w:t>
      </w:r>
    </w:p>
    <w:p>
      <w:pPr>
        <w:spacing w:after="0" w:line="104"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95" w:lineRule="exact"/>
        <w:rPr>
          <w:sz w:val="20"/>
          <w:szCs w:val="20"/>
          <w:color w:val="auto"/>
        </w:rPr>
      </w:pPr>
    </w:p>
    <w:p>
      <w:pPr>
        <w:ind w:right="100" w:firstLine="490"/>
        <w:spacing w:after="0" w:line="252" w:lineRule="auto"/>
        <w:rPr>
          <w:sz w:val="20"/>
          <w:szCs w:val="20"/>
          <w:color w:val="auto"/>
        </w:rPr>
      </w:pPr>
      <w:r>
        <w:rPr>
          <w:rFonts w:ascii="Arial" w:cs="Arial" w:eastAsia="Arial" w:hAnsi="Arial"/>
          <w:sz w:val="19"/>
          <w:szCs w:val="19"/>
          <w:b w:val="1"/>
          <w:bCs w:val="1"/>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extension or other market exclusivity that may be available to us.</w:t>
      </w:r>
    </w:p>
    <w:p>
      <w:pPr>
        <w:spacing w:after="0" w:line="123" w:lineRule="exact"/>
        <w:rPr>
          <w:sz w:val="20"/>
          <w:szCs w:val="20"/>
          <w:color w:val="auto"/>
        </w:rPr>
      </w:pPr>
    </w:p>
    <w:p>
      <w:pPr>
        <w:ind w:right="260" w:firstLine="490"/>
        <w:spacing w:after="0" w:line="237" w:lineRule="auto"/>
        <w:rPr>
          <w:sz w:val="20"/>
          <w:szCs w:val="20"/>
          <w:color w:val="auto"/>
        </w:rPr>
      </w:pPr>
      <w:r>
        <w:rPr>
          <w:rFonts w:ascii="Arial" w:cs="Arial" w:eastAsia="Arial" w:hAnsi="Arial"/>
          <w:sz w:val="20"/>
          <w:szCs w:val="20"/>
          <w:b w:val="1"/>
          <w:bCs w:val="1"/>
          <w:color w:val="auto"/>
        </w:rPr>
        <w:t>We also rely, in some circumstances, on trade secrets to protect our technology.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1" w:lineRule="exact"/>
        <w:rPr>
          <w:sz w:val="20"/>
          <w:szCs w:val="20"/>
          <w:color w:val="auto"/>
        </w:rPr>
      </w:pPr>
    </w:p>
    <w:p>
      <w:pPr>
        <w:ind w:right="160" w:firstLine="490"/>
        <w:spacing w:after="0" w:line="330" w:lineRule="auto"/>
        <w:rPr>
          <w:sz w:val="20"/>
          <w:szCs w:val="20"/>
          <w:color w:val="auto"/>
        </w:rPr>
      </w:pPr>
      <w:r>
        <w:rPr>
          <w:rFonts w:ascii="Arial" w:cs="Arial" w:eastAsia="Arial" w:hAnsi="Arial"/>
          <w:sz w:val="15"/>
          <w:szCs w:val="15"/>
          <w:b w:val="1"/>
          <w:bCs w:val="1"/>
          <w:color w:val="auto"/>
        </w:rPr>
        <w:t>The biotechnology and pharmaceutical industries, including in the neurodegenerative disease field, are characterized by rapidly advancing technologies, strong competition and an emphasis on intellectual property. We face substantial competition from many different sources, including large and specialty pharmaceutical and biotechnology companies, academic research institutions, governmental agencies and public and private research institutions. Some of the pharmaceutical and biotechnology companies that are currently pursuing the development of products for the treatment of the neurodegenerative disease indications for which we have research programs, including Alzheimer’s disease, and Parkinson’s disease, include large companies with significant financial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9360"/>
          </w:cols>
          <w:pgMar w:left="1440" w:top="1440" w:right="1440" w:bottom="181" w:gutter="0" w:footer="0" w:header="0"/>
          <w:type w:val="continuous"/>
        </w:sectPr>
      </w:pPr>
    </w:p>
    <w:bookmarkStart w:id="19" w:name="page20"/>
    <w:bookmarkEnd w:id="19"/>
    <w:p>
      <w:pPr>
        <w:spacing w:after="0" w:line="1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resources, such as Biogen, Eli Lilly, Merck, Roche, and Eisai. Some of these companies are pursuing product candidates for the same or similar indications to ours and in some cases acting on the same targets or through comparable mechanisms of action. Some of these companies have also developed and continue to develop blood-brain barrier transport technologies, including mechanisms that act through the transferrin receptor (TfR), presenting a competitive risk to our ABC platform. We believe that the key competitive factors affecting the success of any of our product candidates will include efficacy, safety profile, method of administration, cost, time to market, level of promotional activity and intellectual property protection.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28" w:lineRule="exact"/>
        <w:rPr>
          <w:sz w:val="20"/>
          <w:szCs w:val="20"/>
          <w:color w:val="auto"/>
        </w:rPr>
      </w:pPr>
    </w:p>
    <w:p>
      <w:pPr>
        <w:ind w:right="20" w:firstLine="490"/>
        <w:spacing w:after="0" w:line="288" w:lineRule="auto"/>
        <w:rPr>
          <w:sz w:val="20"/>
          <w:szCs w:val="20"/>
          <w:color w:val="auto"/>
        </w:rPr>
      </w:pPr>
      <w:r>
        <w:rPr>
          <w:rFonts w:ascii="Arial" w:cs="Arial" w:eastAsia="Arial" w:hAnsi="Arial"/>
          <w:sz w:val="17"/>
          <w:szCs w:val="17"/>
          <w:b w:val="1"/>
          <w:bCs w:val="1"/>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Drug Development</w:t>
      </w:r>
    </w:p>
    <w:p>
      <w:pPr>
        <w:spacing w:after="0" w:line="131" w:lineRule="exact"/>
        <w:rPr>
          <w:sz w:val="20"/>
          <w:szCs w:val="20"/>
          <w:color w:val="auto"/>
        </w:rPr>
      </w:pPr>
    </w:p>
    <w:p>
      <w:pPr>
        <w:ind w:right="80" w:firstLine="490"/>
        <w:spacing w:after="0" w:line="285" w:lineRule="auto"/>
        <w:rPr>
          <w:sz w:val="20"/>
          <w:szCs w:val="20"/>
          <w:color w:val="auto"/>
        </w:rPr>
      </w:pPr>
      <w:r>
        <w:rPr>
          <w:rFonts w:ascii="Arial" w:cs="Arial" w:eastAsia="Arial" w:hAnsi="Arial"/>
          <w:sz w:val="17"/>
          <w:szCs w:val="17"/>
          <w:b w:val="1"/>
          <w:bCs w:val="1"/>
          <w:color w:val="auto"/>
        </w:rPr>
        <w:t>In the United States, the FDA regulates drugs under the Food, Drug, and Cosmetic Act (FDCA) and biologics under the FDCA and the Public Health Service Act (PHSA). Both drugs and biologics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96" w:lineRule="exact"/>
        <w:rPr>
          <w:sz w:val="20"/>
          <w:szCs w:val="20"/>
          <w:color w:val="auto"/>
        </w:rPr>
      </w:pPr>
    </w:p>
    <w:p>
      <w:pPr>
        <w:ind w:right="300" w:firstLine="490"/>
        <w:spacing w:after="0" w:line="281" w:lineRule="auto"/>
        <w:rPr>
          <w:sz w:val="20"/>
          <w:szCs w:val="20"/>
          <w:color w:val="auto"/>
        </w:rPr>
      </w:pPr>
      <w:r>
        <w:rPr>
          <w:rFonts w:ascii="Arial" w:cs="Arial" w:eastAsia="Arial" w:hAnsi="Arial"/>
          <w:sz w:val="18"/>
          <w:szCs w:val="18"/>
          <w:b w:val="1"/>
          <w:bCs w:val="1"/>
          <w:color w:val="auto"/>
        </w:rPr>
        <w:t>Any future product candidates must be approved by the FDA through either a BLA or NDA process before they may be legally marketed in the United States. The process generally involves the following:</w:t>
      </w:r>
    </w:p>
    <w:p>
      <w:pPr>
        <w:spacing w:after="0" w:line="88" w:lineRule="exact"/>
        <w:rPr>
          <w:sz w:val="20"/>
          <w:szCs w:val="20"/>
          <w:color w:val="auto"/>
        </w:rPr>
      </w:pPr>
    </w:p>
    <w:p>
      <w:pPr>
        <w:ind w:left="1100" w:right="580"/>
        <w:spacing w:after="0" w:line="234" w:lineRule="auto"/>
        <w:rPr>
          <w:sz w:val="20"/>
          <w:szCs w:val="20"/>
          <w:color w:val="auto"/>
        </w:rPr>
      </w:pPr>
      <w:r>
        <w:rPr>
          <w:rFonts w:ascii="Arial" w:cs="Arial" w:eastAsia="Arial" w:hAnsi="Arial"/>
          <w:sz w:val="20"/>
          <w:szCs w:val="20"/>
          <w:b w:val="1"/>
          <w:bCs w:val="1"/>
          <w:color w:val="auto"/>
        </w:rPr>
        <w:t>Completion of extensive preclinical studies in accordance with applicable regulations, including studies conducted in accordance with GLP;</w:t>
      </w:r>
    </w:p>
    <w:p>
      <w:pPr>
        <w:spacing w:after="0" w:line="146" w:lineRule="exact"/>
        <w:rPr>
          <w:sz w:val="20"/>
          <w:szCs w:val="20"/>
          <w:color w:val="auto"/>
        </w:rPr>
      </w:pPr>
    </w:p>
    <w:p>
      <w:pPr>
        <w:ind w:left="1100" w:right="720"/>
        <w:spacing w:after="0" w:line="234" w:lineRule="auto"/>
        <w:rPr>
          <w:sz w:val="20"/>
          <w:szCs w:val="20"/>
          <w:color w:val="auto"/>
        </w:rPr>
      </w:pPr>
      <w:r>
        <w:rPr>
          <w:rFonts w:ascii="Arial" w:cs="Arial" w:eastAsia="Arial" w:hAnsi="Arial"/>
          <w:sz w:val="20"/>
          <w:szCs w:val="20"/>
          <w:b w:val="1"/>
          <w:bCs w:val="1"/>
          <w:color w:val="auto"/>
        </w:rPr>
        <w:t>Submission to the FDA of an investigational new drug application (IND), which must become effective before human clinical trials may begin;</w:t>
      </w:r>
    </w:p>
    <w:p>
      <w:pPr>
        <w:spacing w:after="0" w:line="144" w:lineRule="exact"/>
        <w:rPr>
          <w:sz w:val="20"/>
          <w:szCs w:val="20"/>
          <w:color w:val="auto"/>
        </w:rPr>
      </w:pPr>
    </w:p>
    <w:p>
      <w:pPr>
        <w:ind w:left="1100" w:right="460"/>
        <w:spacing w:after="0" w:line="234" w:lineRule="auto"/>
        <w:rPr>
          <w:sz w:val="20"/>
          <w:szCs w:val="20"/>
          <w:color w:val="auto"/>
        </w:rPr>
      </w:pPr>
      <w:r>
        <w:rPr>
          <w:rFonts w:ascii="Arial" w:cs="Arial" w:eastAsia="Arial" w:hAnsi="Arial"/>
          <w:sz w:val="20"/>
          <w:szCs w:val="20"/>
          <w:b w:val="1"/>
          <w:bCs w:val="1"/>
          <w:color w:val="auto"/>
        </w:rPr>
        <w:t>Approval by an independent Institutional Review Board (IRB), or Ethics Committee (EC) at each clinical trial site before each trial may be initiated;</w:t>
      </w:r>
    </w:p>
    <w:p>
      <w:pPr>
        <w:spacing w:after="0" w:line="146" w:lineRule="exact"/>
        <w:rPr>
          <w:sz w:val="20"/>
          <w:szCs w:val="20"/>
          <w:color w:val="auto"/>
        </w:rPr>
      </w:pPr>
    </w:p>
    <w:p>
      <w:pPr>
        <w:ind w:left="1100" w:right="140"/>
        <w:spacing w:after="0" w:line="297" w:lineRule="auto"/>
        <w:rPr>
          <w:sz w:val="20"/>
          <w:szCs w:val="20"/>
          <w:color w:val="auto"/>
        </w:rPr>
      </w:pPr>
      <w:r>
        <w:rPr>
          <w:rFonts w:ascii="Arial" w:cs="Arial" w:eastAsia="Arial" w:hAnsi="Arial"/>
          <w:sz w:val="17"/>
          <w:szCs w:val="17"/>
          <w:b w:val="1"/>
          <w:bCs w:val="1"/>
          <w:color w:val="auto"/>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89"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Submission to the FDA of an NDA or BLA;</w:t>
      </w:r>
    </w:p>
    <w:p>
      <w:pPr>
        <w:spacing w:after="0" w:line="142" w:lineRule="exact"/>
        <w:rPr>
          <w:sz w:val="20"/>
          <w:szCs w:val="20"/>
          <w:color w:val="auto"/>
        </w:rPr>
      </w:pPr>
    </w:p>
    <w:p>
      <w:pPr>
        <w:ind w:left="1100" w:right="260"/>
        <w:spacing w:after="0" w:line="234" w:lineRule="auto"/>
        <w:rPr>
          <w:sz w:val="20"/>
          <w:szCs w:val="20"/>
          <w:color w:val="auto"/>
        </w:rPr>
      </w:pPr>
      <w:r>
        <w:rPr>
          <w:rFonts w:ascii="Arial" w:cs="Arial" w:eastAsia="Arial" w:hAnsi="Arial"/>
          <w:sz w:val="20"/>
          <w:szCs w:val="20"/>
          <w:b w:val="1"/>
          <w:bCs w:val="1"/>
          <w:color w:val="auto"/>
        </w:rPr>
        <w:t>A determination by the FDA within 60 days of its receipt of an NDA or BLA to accept the filing for review;</w:t>
      </w:r>
    </w:p>
    <w:p>
      <w:pPr>
        <w:spacing w:after="0" w:line="146" w:lineRule="exact"/>
        <w:rPr>
          <w:sz w:val="20"/>
          <w:szCs w:val="20"/>
          <w:color w:val="auto"/>
        </w:rPr>
      </w:pPr>
    </w:p>
    <w:p>
      <w:pPr>
        <w:ind w:left="1100" w:right="160"/>
        <w:spacing w:after="0" w:line="237" w:lineRule="auto"/>
        <w:rPr>
          <w:sz w:val="20"/>
          <w:szCs w:val="20"/>
          <w:color w:val="auto"/>
        </w:rPr>
      </w:pPr>
      <w:r>
        <w:rPr>
          <w:rFonts w:ascii="Arial" w:cs="Arial" w:eastAsia="Arial" w:hAnsi="Arial"/>
          <w:sz w:val="20"/>
          <w:szCs w:val="20"/>
          <w:b w:val="1"/>
          <w:bCs w:val="1"/>
          <w:color w:val="auto"/>
        </w:rPr>
        <w:t>Satisfactory completion of a FDA pre-approval inspection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145" w:lineRule="exact"/>
        <w:rPr>
          <w:sz w:val="20"/>
          <w:szCs w:val="20"/>
          <w:color w:val="auto"/>
        </w:rPr>
      </w:pPr>
    </w:p>
    <w:p>
      <w:pPr>
        <w:ind w:left="1100" w:right="80"/>
        <w:spacing w:after="0" w:line="234" w:lineRule="auto"/>
        <w:rPr>
          <w:sz w:val="20"/>
          <w:szCs w:val="20"/>
          <w:color w:val="auto"/>
        </w:rPr>
      </w:pPr>
      <w:r>
        <w:rPr>
          <w:rFonts w:ascii="Arial" w:cs="Arial" w:eastAsia="Arial" w:hAnsi="Arial"/>
          <w:sz w:val="20"/>
          <w:szCs w:val="20"/>
          <w:b w:val="1"/>
          <w:bCs w:val="1"/>
          <w:color w:val="auto"/>
        </w:rPr>
        <w:t>Potential FDA audit of the preclinical study and/or clinical trial sites that generated the data in support of the NDA or BLA;</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9360"/>
          </w:cols>
          <w:pgMar w:left="1440" w:top="1440" w:right="1440" w:bottom="181" w:gutter="0" w:footer="0" w:header="0"/>
          <w:type w:val="continuous"/>
        </w:sectPr>
      </w:pPr>
    </w:p>
    <w:bookmarkStart w:id="20" w:name="page21"/>
    <w:bookmarkEnd w:id="20"/>
    <w:p>
      <w:pPr>
        <w:spacing w:after="0" w:line="1" w:lineRule="exact"/>
        <w:rPr>
          <w:sz w:val="20"/>
          <w:szCs w:val="20"/>
          <w:color w:val="auto"/>
        </w:rPr>
      </w:pPr>
    </w:p>
    <w:p>
      <w:pPr>
        <w:ind w:left="1100" w:right="280"/>
        <w:spacing w:after="0" w:line="235" w:lineRule="auto"/>
        <w:rPr>
          <w:sz w:val="20"/>
          <w:szCs w:val="20"/>
          <w:color w:val="auto"/>
        </w:rPr>
      </w:pPr>
      <w:r>
        <w:rPr>
          <w:rFonts w:ascii="Arial" w:cs="Arial" w:eastAsia="Arial" w:hAnsi="Arial"/>
          <w:sz w:val="20"/>
          <w:szCs w:val="20"/>
          <w:b w:val="1"/>
          <w:bCs w:val="1"/>
          <w:color w:val="auto"/>
        </w:rPr>
        <w:t>FDA review and approval of the NDA or BLA, including consideration of the views of any FDA advisory committee, prior to any commercial marketing or sale of the drug or biologic in the United States; and</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Compliance with any post-approval requirements, including the potential requirement to implement a</w:t>
      </w:r>
    </w:p>
    <w:p>
      <w:pPr>
        <w:spacing w:after="0" w:line="57" w:lineRule="exact"/>
        <w:rPr>
          <w:sz w:val="20"/>
          <w:szCs w:val="20"/>
          <w:color w:val="auto"/>
        </w:rPr>
      </w:pPr>
    </w:p>
    <w:p>
      <w:pPr>
        <w:ind w:left="1100" w:right="520"/>
        <w:spacing w:after="0" w:line="234" w:lineRule="auto"/>
        <w:rPr>
          <w:sz w:val="20"/>
          <w:szCs w:val="20"/>
          <w:color w:val="auto"/>
        </w:rPr>
      </w:pPr>
      <w:r>
        <w:rPr>
          <w:rFonts w:ascii="Arial" w:cs="Arial" w:eastAsia="Arial" w:hAnsi="Arial"/>
          <w:sz w:val="20"/>
          <w:szCs w:val="20"/>
          <w:b w:val="1"/>
          <w:bCs w:val="1"/>
          <w:color w:val="auto"/>
        </w:rPr>
        <w:t>Risk Evaluation and Mitigation Strategy (REMS), and the potential requirement to conduct post-approval studies.</w:t>
      </w:r>
    </w:p>
    <w:p>
      <w:pPr>
        <w:spacing w:after="0" w:line="132" w:lineRule="exact"/>
        <w:rPr>
          <w:sz w:val="20"/>
          <w:szCs w:val="20"/>
          <w:color w:val="auto"/>
        </w:rPr>
      </w:pPr>
    </w:p>
    <w:p>
      <w:pPr>
        <w:jc w:val="both"/>
        <w:ind w:right="100" w:firstLine="490"/>
        <w:spacing w:after="0" w:line="236" w:lineRule="auto"/>
        <w:rPr>
          <w:sz w:val="20"/>
          <w:szCs w:val="20"/>
          <w:color w:val="auto"/>
        </w:rPr>
      </w:pPr>
      <w:r>
        <w:rPr>
          <w:rFonts w:ascii="Arial" w:cs="Arial" w:eastAsia="Arial" w:hAnsi="Arial"/>
          <w:sz w:val="20"/>
          <w:szCs w:val="20"/>
          <w:b w:val="1"/>
          <w:bCs w:val="1"/>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35"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08" w:lineRule="exact"/>
        <w:rPr>
          <w:sz w:val="20"/>
          <w:szCs w:val="20"/>
          <w:color w:val="auto"/>
        </w:rPr>
      </w:pPr>
    </w:p>
    <w:p>
      <w:pPr>
        <w:ind w:right="80" w:firstLine="490"/>
        <w:spacing w:after="0" w:line="285" w:lineRule="auto"/>
        <w:rPr>
          <w:sz w:val="20"/>
          <w:szCs w:val="20"/>
          <w:color w:val="auto"/>
        </w:rPr>
      </w:pPr>
      <w:r>
        <w:rPr>
          <w:rFonts w:ascii="Arial" w:cs="Arial" w:eastAsia="Arial" w:hAnsi="Arial"/>
          <w:sz w:val="17"/>
          <w:szCs w:val="17"/>
          <w:b w:val="1"/>
          <w:bCs w:val="1"/>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96" w:lineRule="exact"/>
        <w:rPr>
          <w:sz w:val="20"/>
          <w:szCs w:val="20"/>
          <w:color w:val="auto"/>
        </w:rPr>
      </w:pPr>
    </w:p>
    <w:p>
      <w:pPr>
        <w:ind w:right="40" w:firstLine="490"/>
        <w:spacing w:after="0" w:line="329" w:lineRule="auto"/>
        <w:rPr>
          <w:sz w:val="20"/>
          <w:szCs w:val="20"/>
          <w:color w:val="auto"/>
        </w:rPr>
      </w:pPr>
      <w:r>
        <w:rPr>
          <w:rFonts w:ascii="Arial" w:cs="Arial" w:eastAsia="Arial" w:hAnsi="Arial"/>
          <w:sz w:val="15"/>
          <w:szCs w:val="15"/>
          <w:b w:val="1"/>
          <w:bCs w:val="1"/>
          <w:color w:val="auto"/>
        </w:rPr>
        <w:t>Regulatory requirements for approval of therapies for the treatment of neurodegenerative diseases are evolving. For example, two agents, aducanumab and lecanemab, received accelerated approval from the FDA based on a surrogate endpoint, the reduction of amyloid beta plaque in the brain. Under the FDA’s accelerated approval pathway, a surrogate endpoint that is reasonably likely to predict a clinical benefit to patients may serve as the basis for an accelerated approval, subject to subsequent confirmatory studies. The FDA subsequently granted full approval of lecanemab based on the cognitive endpoint. By contrast, the FDA declined to grant accelerated approval for another product, donanemab, in AD, based on an insufficient number of patients with at least 12 months of drug exposure. Donanemab later received full approval for the treatment of Alzheimer’s disease in July 2024.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Trials</w:t>
      </w:r>
    </w:p>
    <w:p>
      <w:pPr>
        <w:spacing w:after="0" w:line="131" w:lineRule="exact"/>
        <w:rPr>
          <w:sz w:val="20"/>
          <w:szCs w:val="20"/>
          <w:color w:val="auto"/>
        </w:rPr>
      </w:pPr>
    </w:p>
    <w:p>
      <w:pPr>
        <w:ind w:right="20" w:firstLine="490"/>
        <w:spacing w:after="0" w:line="267" w:lineRule="auto"/>
        <w:rPr>
          <w:sz w:val="20"/>
          <w:szCs w:val="20"/>
          <w:color w:val="auto"/>
        </w:rPr>
      </w:pPr>
      <w:r>
        <w:rPr>
          <w:rFonts w:ascii="Arial" w:cs="Arial" w:eastAsia="Arial" w:hAnsi="Arial"/>
          <w:sz w:val="18"/>
          <w:szCs w:val="18"/>
          <w:b w:val="1"/>
          <w:bCs w:val="1"/>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17" w:lineRule="exact"/>
        <w:rPr>
          <w:sz w:val="20"/>
          <w:szCs w:val="20"/>
          <w:color w:val="auto"/>
        </w:rPr>
      </w:pPr>
    </w:p>
    <w:p>
      <w:pPr>
        <w:ind w:firstLine="490"/>
        <w:spacing w:after="0" w:line="233" w:lineRule="auto"/>
        <w:rPr>
          <w:sz w:val="20"/>
          <w:szCs w:val="20"/>
          <w:color w:val="auto"/>
        </w:rPr>
      </w:pPr>
      <w:r>
        <w:rPr>
          <w:rFonts w:ascii="Arial" w:cs="Arial" w:eastAsia="Arial" w:hAnsi="Arial"/>
          <w:sz w:val="20"/>
          <w:szCs w:val="20"/>
          <w:b w:val="1"/>
          <w:bCs w:val="1"/>
          <w:color w:val="auto"/>
        </w:rPr>
        <w:t>Clinical trials in the United States generally are conducted in three sequential phases, known as Phase 1, Phase 2, and Phase 3, and may overlap.</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9360"/>
          </w:cols>
          <w:pgMar w:left="1440" w:top="1440" w:right="1440" w:bottom="181" w:gutter="0" w:footer="0" w:header="0"/>
          <w:type w:val="continuous"/>
        </w:sectPr>
      </w:pPr>
    </w:p>
    <w:bookmarkStart w:id="21" w:name="page22"/>
    <w:bookmarkEnd w:id="21"/>
    <w:p>
      <w:pPr>
        <w:spacing w:after="0" w:line="1" w:lineRule="exact"/>
        <w:rPr>
          <w:sz w:val="20"/>
          <w:szCs w:val="20"/>
          <w:color w:val="auto"/>
        </w:rPr>
      </w:pPr>
    </w:p>
    <w:p>
      <w:pPr>
        <w:ind w:left="1100" w:right="300"/>
        <w:spacing w:after="0" w:line="252" w:lineRule="auto"/>
        <w:rPr>
          <w:sz w:val="20"/>
          <w:szCs w:val="20"/>
          <w:color w:val="auto"/>
        </w:rPr>
      </w:pPr>
      <w:r>
        <w:rPr>
          <w:rFonts w:ascii="Arial" w:cs="Arial" w:eastAsia="Arial" w:hAnsi="Arial"/>
          <w:sz w:val="19"/>
          <w:szCs w:val="19"/>
          <w:b w:val="1"/>
          <w:bCs w:val="1"/>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136" w:lineRule="exact"/>
        <w:rPr>
          <w:sz w:val="20"/>
          <w:szCs w:val="20"/>
          <w:color w:val="auto"/>
        </w:rPr>
      </w:pPr>
    </w:p>
    <w:p>
      <w:pPr>
        <w:ind w:left="1100" w:right="40"/>
        <w:spacing w:after="0" w:line="253" w:lineRule="auto"/>
        <w:rPr>
          <w:sz w:val="20"/>
          <w:szCs w:val="20"/>
          <w:color w:val="auto"/>
        </w:rPr>
      </w:pPr>
      <w:r>
        <w:rPr>
          <w:rFonts w:ascii="Arial" w:cs="Arial" w:eastAsia="Arial" w:hAnsi="Arial"/>
          <w:sz w:val="19"/>
          <w:szCs w:val="19"/>
          <w:b w:val="1"/>
          <w:bCs w:val="1"/>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32" w:lineRule="exact"/>
        <w:rPr>
          <w:sz w:val="20"/>
          <w:szCs w:val="20"/>
          <w:color w:val="auto"/>
        </w:rPr>
      </w:pPr>
    </w:p>
    <w:p>
      <w:pPr>
        <w:ind w:left="1100" w:right="60"/>
        <w:spacing w:after="0" w:line="253" w:lineRule="auto"/>
        <w:rPr>
          <w:sz w:val="20"/>
          <w:szCs w:val="20"/>
          <w:color w:val="auto"/>
        </w:rPr>
      </w:pPr>
      <w:r>
        <w:rPr>
          <w:rFonts w:ascii="Arial" w:cs="Arial" w:eastAsia="Arial" w:hAnsi="Arial"/>
          <w:sz w:val="19"/>
          <w:szCs w:val="19"/>
          <w:b w:val="1"/>
          <w:bCs w:val="1"/>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41" w:lineRule="exact"/>
        <w:rPr>
          <w:sz w:val="20"/>
          <w:szCs w:val="20"/>
          <w:color w:val="auto"/>
        </w:rPr>
      </w:pPr>
    </w:p>
    <w:p>
      <w:pPr>
        <w:ind w:right="140" w:firstLine="490"/>
        <w:spacing w:after="0" w:line="237" w:lineRule="auto"/>
        <w:rPr>
          <w:sz w:val="20"/>
          <w:szCs w:val="20"/>
          <w:color w:val="auto"/>
        </w:rPr>
      </w:pPr>
      <w:r>
        <w:rPr>
          <w:rFonts w:ascii="Arial" w:cs="Arial" w:eastAsia="Arial" w:hAnsi="Arial"/>
          <w:sz w:val="20"/>
          <w:szCs w:val="20"/>
          <w:b w:val="1"/>
          <w:bCs w:val="1"/>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33"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or biologic, findings from animal or in vitro testing that suggest a significant risk for human volunteers and any clinically important increase in the rate of a serious suspected adverse reaction over that listed in the protocol or investigator brochure.</w:t>
      </w:r>
    </w:p>
    <w:p>
      <w:pPr>
        <w:spacing w:after="0" w:line="108"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and may recommend that a trial be stopped based on interim data.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NDA/BLA Review Process</w:t>
      </w:r>
    </w:p>
    <w:p>
      <w:pPr>
        <w:spacing w:after="0" w:line="131" w:lineRule="exact"/>
        <w:rPr>
          <w:sz w:val="20"/>
          <w:szCs w:val="20"/>
          <w:color w:val="auto"/>
        </w:rPr>
      </w:pPr>
    </w:p>
    <w:p>
      <w:pPr>
        <w:ind w:right="60" w:firstLine="490"/>
        <w:spacing w:after="0" w:line="328" w:lineRule="auto"/>
        <w:rPr>
          <w:sz w:val="20"/>
          <w:szCs w:val="20"/>
          <w:color w:val="auto"/>
        </w:rPr>
      </w:pPr>
      <w:r>
        <w:rPr>
          <w:rFonts w:ascii="Arial" w:cs="Arial" w:eastAsia="Arial" w:hAnsi="Arial"/>
          <w:sz w:val="15"/>
          <w:szCs w:val="15"/>
          <w:b w:val="1"/>
          <w:bCs w:val="1"/>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9360"/>
          </w:cols>
          <w:pgMar w:left="1440" w:top="1440" w:right="1440" w:bottom="181" w:gutter="0" w:footer="0" w:header="0"/>
          <w:type w:val="continuous"/>
        </w:sectPr>
      </w:pPr>
    </w:p>
    <w:bookmarkStart w:id="22" w:name="page23"/>
    <w:bookmarkEnd w:id="22"/>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and quantity to establish the safety and efficacy of the investigational product to the satisfaction of FDA.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FDA approval of an NDA or BLA must be obtained before a drug or biologic may be marketed in the United States.</w:t>
      </w:r>
    </w:p>
    <w:p>
      <w:pPr>
        <w:spacing w:after="0" w:line="357" w:lineRule="exact"/>
        <w:rPr>
          <w:sz w:val="20"/>
          <w:szCs w:val="20"/>
          <w:color w:val="auto"/>
        </w:rPr>
      </w:pPr>
    </w:p>
    <w:p>
      <w:pPr>
        <w:ind w:right="20" w:firstLine="490"/>
        <w:spacing w:after="0" w:line="286" w:lineRule="auto"/>
        <w:rPr>
          <w:sz w:val="20"/>
          <w:szCs w:val="20"/>
          <w:color w:val="auto"/>
        </w:rPr>
      </w:pPr>
      <w:r>
        <w:rPr>
          <w:rFonts w:ascii="Arial" w:cs="Arial" w:eastAsia="Arial" w:hAnsi="Arial"/>
          <w:sz w:val="17"/>
          <w:szCs w:val="17"/>
          <w:b w:val="1"/>
          <w:bCs w:val="1"/>
          <w:color w:val="auto"/>
        </w:rPr>
        <w:t>Under the Prescription Drug User Fee Act (PDUFA), as amended, each NDA or BLA must be accompanied by a user fee. FDA adjusts the PDUFA user fees on an annual basis. According to the FDA’s FY 2026 fee schedule for prescription drug user fees, which became effective on October 1, 2025, and will remain in effect through September 30, 2026, the user fee for an application requiring clinical data, such as an NDA or BLA, is approximately $4.68 million. PDUFA also imposes an annual program fee for each marketed human drug or biologic ($442,213 in 2026) and an annual establishment fee on facilities used to manufacture prescription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95" w:lineRule="exact"/>
        <w:rPr>
          <w:sz w:val="20"/>
          <w:szCs w:val="20"/>
          <w:color w:val="auto"/>
        </w:rPr>
      </w:pPr>
    </w:p>
    <w:p>
      <w:pPr>
        <w:ind w:right="60" w:firstLine="490"/>
        <w:spacing w:after="0" w:line="252" w:lineRule="auto"/>
        <w:rPr>
          <w:sz w:val="20"/>
          <w:szCs w:val="20"/>
          <w:color w:val="auto"/>
        </w:rPr>
      </w:pPr>
      <w:r>
        <w:rPr>
          <w:rFonts w:ascii="Arial" w:cs="Arial" w:eastAsia="Arial" w:hAnsi="Arial"/>
          <w:sz w:val="19"/>
          <w:szCs w:val="19"/>
          <w:b w:val="1"/>
          <w:bCs w:val="1"/>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10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124" w:lineRule="exact"/>
        <w:rPr>
          <w:sz w:val="20"/>
          <w:szCs w:val="20"/>
          <w:color w:val="auto"/>
        </w:rPr>
      </w:pPr>
    </w:p>
    <w:p>
      <w:pPr>
        <w:ind w:right="20" w:firstLine="490"/>
        <w:spacing w:after="0" w:line="283" w:lineRule="auto"/>
        <w:rPr>
          <w:sz w:val="20"/>
          <w:szCs w:val="20"/>
          <w:color w:val="auto"/>
        </w:rPr>
      </w:pPr>
      <w:r>
        <w:rPr>
          <w:rFonts w:ascii="Arial" w:cs="Arial" w:eastAsia="Arial" w:hAnsi="Arial"/>
          <w:sz w:val="17"/>
          <w:szCs w:val="17"/>
          <w:b w:val="1"/>
          <w:bCs w:val="1"/>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Orphan Drugs</w:t>
      </w:r>
    </w:p>
    <w:p>
      <w:pPr>
        <w:spacing w:after="0" w:line="131" w:lineRule="exact"/>
        <w:rPr>
          <w:sz w:val="20"/>
          <w:szCs w:val="20"/>
          <w:color w:val="auto"/>
        </w:rPr>
      </w:pPr>
    </w:p>
    <w:p>
      <w:pPr>
        <w:ind w:firstLine="490"/>
        <w:spacing w:after="0" w:line="270" w:lineRule="auto"/>
        <w:rPr>
          <w:sz w:val="20"/>
          <w:szCs w:val="20"/>
          <w:color w:val="auto"/>
        </w:rPr>
      </w:pPr>
      <w:r>
        <w:rPr>
          <w:rFonts w:ascii="Arial" w:cs="Arial" w:eastAsia="Arial" w:hAnsi="Arial"/>
          <w:sz w:val="18"/>
          <w:szCs w:val="18"/>
          <w:b w:val="1"/>
          <w:bCs w:val="1"/>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05" w:lineRule="exact"/>
        <w:rPr>
          <w:sz w:val="20"/>
          <w:szCs w:val="20"/>
          <w:color w:val="auto"/>
        </w:rPr>
      </w:pPr>
    </w:p>
    <w:p>
      <w:pPr>
        <w:ind w:right="120" w:firstLine="490"/>
        <w:spacing w:after="0" w:line="312" w:lineRule="auto"/>
        <w:rPr>
          <w:sz w:val="20"/>
          <w:szCs w:val="20"/>
          <w:color w:val="auto"/>
        </w:rPr>
      </w:pPr>
      <w:r>
        <w:rPr>
          <w:rFonts w:ascii="Arial" w:cs="Arial" w:eastAsia="Arial" w:hAnsi="Arial"/>
          <w:sz w:val="17"/>
          <w:szCs w:val="17"/>
          <w:b w:val="1"/>
          <w:bCs w:val="1"/>
          <w:color w:val="auto"/>
        </w:rPr>
        <w:t>Orphan drug designation must be requested before submitting an NDA or BLA. After the FDA grants orphan drug designation, the identity of the therapeutic agent and its potential orphan use are disclosed publicly by the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9360"/>
          </w:cols>
          <w:pgMar w:left="1440" w:top="1440" w:right="1440" w:bottom="181" w:gutter="0" w:footer="0" w:header="0"/>
          <w:type w:val="continuous"/>
        </w:sectPr>
      </w:pPr>
    </w:p>
    <w:bookmarkStart w:id="23" w:name="page24"/>
    <w:bookmarkEnd w:id="23"/>
    <w:p>
      <w:pPr>
        <w:spacing w:after="0" w:line="10"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b w:val="1"/>
          <w:bCs w:val="1"/>
          <w:color w:val="auto"/>
        </w:rPr>
        <w:t>FDA. Orphan drug designation does not convey any advantage in or shorten the duration of the regulatory review and approval process.</w:t>
      </w:r>
    </w:p>
    <w:p>
      <w:pPr>
        <w:spacing w:after="0" w:line="130" w:lineRule="exact"/>
        <w:rPr>
          <w:sz w:val="20"/>
          <w:szCs w:val="20"/>
          <w:color w:val="auto"/>
        </w:rPr>
      </w:pPr>
    </w:p>
    <w:p>
      <w:pPr>
        <w:ind w:right="80" w:firstLine="490"/>
        <w:spacing w:after="0" w:line="287" w:lineRule="auto"/>
        <w:rPr>
          <w:sz w:val="20"/>
          <w:szCs w:val="20"/>
          <w:color w:val="auto"/>
        </w:rPr>
      </w:pPr>
      <w:r>
        <w:rPr>
          <w:rFonts w:ascii="Arial" w:cs="Arial" w:eastAsia="Arial" w:hAnsi="Arial"/>
          <w:sz w:val="17"/>
          <w:szCs w:val="17"/>
          <w:b w:val="1"/>
          <w:bCs w:val="1"/>
          <w:color w:val="auto"/>
        </w:rPr>
        <w:t>If a product that has orphan drug designation subsequently receives the first FDA approval for a particular active ingredient for the disease for which it has such designation, the product is entitled to orphan drug exclusivity. This means that the FDA may not approve any other NDA or BLA application to market the same drug or biologic for the same indication for seven years, except in limited circumstances such as a showing of clinical superiority to the product with orphan exclusivity, if FDA revokes the orphan drug designation, or if FDA finds that the holder of the orphan exclusivity has not assured the availability of sufficient quantities of the orphan product to meet the needs of patients with the disease or condition for which the drug was designated.</w:t>
      </w:r>
    </w:p>
    <w:p>
      <w:pPr>
        <w:spacing w:after="0" w:line="94" w:lineRule="exact"/>
        <w:rPr>
          <w:sz w:val="20"/>
          <w:szCs w:val="20"/>
          <w:color w:val="auto"/>
        </w:rPr>
      </w:pPr>
    </w:p>
    <w:p>
      <w:pPr>
        <w:ind w:right="20" w:firstLine="490"/>
        <w:spacing w:after="0" w:line="267" w:lineRule="auto"/>
        <w:rPr>
          <w:sz w:val="20"/>
          <w:szCs w:val="20"/>
          <w:color w:val="auto"/>
        </w:rPr>
      </w:pPr>
      <w:r>
        <w:rPr>
          <w:rFonts w:ascii="Arial" w:cs="Arial" w:eastAsia="Arial" w:hAnsi="Arial"/>
          <w:sz w:val="18"/>
          <w:szCs w:val="18"/>
          <w:b w:val="1"/>
          <w:bCs w:val="1"/>
          <w:color w:val="auto"/>
        </w:rPr>
        <w:t>Prior to stopping the INFRONT-3 open label and continuation studies, latozinemab had been granted orphan drug designation by FDA for treatment of FTD. Nivisnebart also had orphan drug designation until we withdrew the IND for FTD and decided to pursue larger indications, such as Alzheimer's disease and Parkinson’s disease, for that product candidate. Orphan drug exclusivity does not prevent the FDA from approving another marketing application for the same drug product for a different indication before the expiration of the orphan exclusivity period.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for which it has not been granted orphan drug designation, it will not have orphan drug exclusivity in that non-orphan indication. Orphan drug status in the European Union has similar, but not identical, requirements and benefits.</w:t>
      </w:r>
    </w:p>
    <w:p>
      <w:pPr>
        <w:spacing w:after="0" w:line="117"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In litigation in 2021, a court disagreed with the FDA’s longstanding position that orphan drug exclusivity only applies to the approved use or indication within an eligible disease, and not to all uses or indications within the entire designated disease or condition. This appellate court decision created uncertainty in the application of orphan drug exclusivity. In January 2023, the FDA published a notice in the Federal Register to clarify that while the agency complies with the applicable court ruling, it intends to continue tying the scope of orphan-drug exclusivity to the uses or indications for which a drug is approved. This permits other sponsors to obtain approval of a drug for new uses or indications within the same orphan designated disease or condition that has not yet been approved. It is unclear how future litigation, legislation, agency decisions, and administrative actions will impact the scope of orphan drug exclusivity.</w:t>
      </w:r>
    </w:p>
    <w:p>
      <w:pPr>
        <w:spacing w:after="0" w:line="111" w:lineRule="exact"/>
        <w:rPr>
          <w:sz w:val="20"/>
          <w:szCs w:val="20"/>
          <w:color w:val="auto"/>
        </w:rPr>
      </w:pPr>
    </w:p>
    <w:p>
      <w:pPr>
        <w:ind w:right="60" w:firstLine="490"/>
        <w:spacing w:after="0" w:line="288" w:lineRule="auto"/>
        <w:rPr>
          <w:sz w:val="20"/>
          <w:szCs w:val="20"/>
          <w:color w:val="auto"/>
        </w:rPr>
      </w:pPr>
      <w:r>
        <w:rPr>
          <w:rFonts w:ascii="Arial" w:cs="Arial" w:eastAsia="Arial" w:hAnsi="Arial"/>
          <w:sz w:val="17"/>
          <w:szCs w:val="17"/>
          <w:b w:val="1"/>
          <w:bCs w:val="1"/>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uncertainty in the industry, and disrupt the FDA’s normal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Expedited Development and Review Programs</w:t>
      </w:r>
    </w:p>
    <w:p>
      <w:pPr>
        <w:spacing w:after="0" w:line="131" w:lineRule="exact"/>
        <w:rPr>
          <w:sz w:val="20"/>
          <w:szCs w:val="20"/>
          <w:color w:val="auto"/>
        </w:rPr>
      </w:pPr>
    </w:p>
    <w:p>
      <w:pPr>
        <w:ind w:right="20" w:firstLine="490"/>
        <w:spacing w:after="0" w:line="252" w:lineRule="auto"/>
        <w:rPr>
          <w:sz w:val="20"/>
          <w:szCs w:val="20"/>
          <w:color w:val="auto"/>
        </w:rPr>
      </w:pPr>
      <w:r>
        <w:rPr>
          <w:rFonts w:ascii="Arial" w:cs="Arial" w:eastAsia="Arial" w:hAnsi="Arial"/>
          <w:sz w:val="19"/>
          <w:szCs w:val="19"/>
          <w:b w:val="1"/>
          <w:bCs w:val="1"/>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122" w:lineRule="exact"/>
        <w:rPr>
          <w:sz w:val="20"/>
          <w:szCs w:val="20"/>
          <w:color w:val="auto"/>
        </w:rPr>
      </w:pPr>
    </w:p>
    <w:p>
      <w:pPr>
        <w:ind w:right="100" w:firstLine="490"/>
        <w:spacing w:after="0" w:line="342" w:lineRule="auto"/>
        <w:rPr>
          <w:sz w:val="20"/>
          <w:szCs w:val="20"/>
          <w:color w:val="auto"/>
        </w:rPr>
      </w:pPr>
      <w:r>
        <w:rPr>
          <w:rFonts w:ascii="Arial" w:cs="Arial" w:eastAsia="Arial" w:hAnsi="Arial"/>
          <w:sz w:val="15"/>
          <w:szCs w:val="15"/>
          <w:b w:val="1"/>
          <w:bCs w:val="1"/>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58" w:lineRule="exact"/>
        <w:rPr>
          <w:sz w:val="20"/>
          <w:szCs w:val="20"/>
          <w:color w:val="auto"/>
        </w:rPr>
      </w:pPr>
    </w:p>
    <w:p>
      <w:pPr>
        <w:ind w:right="260" w:firstLine="490"/>
        <w:spacing w:after="0" w:line="351" w:lineRule="auto"/>
        <w:rPr>
          <w:sz w:val="20"/>
          <w:szCs w:val="20"/>
          <w:color w:val="auto"/>
        </w:rPr>
      </w:pPr>
      <w:r>
        <w:rPr>
          <w:rFonts w:ascii="Arial" w:cs="Arial" w:eastAsia="Arial" w:hAnsi="Arial"/>
          <w:sz w:val="15"/>
          <w:szCs w:val="15"/>
          <w:b w:val="1"/>
          <w:bCs w:val="1"/>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9360"/>
          </w:cols>
          <w:pgMar w:left="1440" w:top="1440" w:right="1440" w:bottom="181" w:gutter="0" w:footer="0" w:header="0"/>
          <w:type w:val="continuous"/>
        </w:sectPr>
      </w:pPr>
    </w:p>
    <w:bookmarkStart w:id="24" w:name="page25"/>
    <w:bookmarkEnd w:id="24"/>
    <w:p>
      <w:pPr>
        <w:spacing w:after="0" w:line="1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over currently approved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benefits of Breakthrough Therapy designation include the same benefits as fast track designation, plus intensive guidance from the FDA to ensure an efficient drug development program. The FDA must determine if the product candidate qualifies for Breakthrough Therapy designation within 60 days of receipt of the sponsor’s request. The receipt of a Breakthrough Therapy designation for a drug may not result in a faster development process, review or approval compared to drugs considered for approval under conventional FDA procedures, and it would not assure ultimate approval by the FDA. The FDA may later decide that the product candidate no longer meets the conditions for qualification or it may decide that the time period for FDA review or approval will not be shortened. Fast track designation, priority review, accelerated approval and Breakthrough Therapy designation do not change the standards for FDA approval, but may expedite product development or approval process.</w:t>
      </w:r>
    </w:p>
    <w:p>
      <w:pPr>
        <w:spacing w:after="0" w:line="95"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 The Food and Drug Omnibus Reform Act (FDORA) reformed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regulations will impact new drug applications in the treatment of Alzheimer’s disease and our clinical development programs.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Abbreviated Licensure Pathway of Biological Products as Biosimilar or Interchangeable</w:t>
      </w:r>
    </w:p>
    <w:p>
      <w:pPr>
        <w:spacing w:after="0" w:line="128" w:lineRule="exact"/>
        <w:rPr>
          <w:sz w:val="20"/>
          <w:szCs w:val="20"/>
          <w:color w:val="auto"/>
        </w:rPr>
      </w:pPr>
    </w:p>
    <w:p>
      <w:pPr>
        <w:ind w:right="100" w:firstLine="490"/>
        <w:spacing w:after="0" w:line="270" w:lineRule="auto"/>
        <w:rPr>
          <w:sz w:val="20"/>
          <w:szCs w:val="20"/>
          <w:color w:val="auto"/>
        </w:rPr>
      </w:pPr>
      <w:r>
        <w:rPr>
          <w:rFonts w:ascii="Arial" w:cs="Arial" w:eastAsia="Arial" w:hAnsi="Arial"/>
          <w:sz w:val="18"/>
          <w:szCs w:val="18"/>
          <w:b w:val="1"/>
          <w:bCs w:val="1"/>
          <w:color w:val="auto"/>
        </w:rPr>
        <w:t>The Patient Protection and Affordable Care Act, or ACA, signed into law in 2010, includes the Biologics Price Competition and Innovation Act of 2009 (BPCIA), which created an abbreviated approval pathway for biological products shown to be highly similar to an FDA-licensed reference biological product.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95" w:lineRule="exact"/>
        <w:rPr>
          <w:sz w:val="20"/>
          <w:szCs w:val="20"/>
          <w:color w:val="auto"/>
        </w:rPr>
      </w:pPr>
    </w:p>
    <w:p>
      <w:pPr>
        <w:ind w:left="1100" w:right="100"/>
        <w:spacing w:after="0" w:line="281" w:lineRule="auto"/>
        <w:rPr>
          <w:sz w:val="20"/>
          <w:szCs w:val="20"/>
          <w:color w:val="auto"/>
        </w:rPr>
      </w:pPr>
      <w:r>
        <w:rPr>
          <w:rFonts w:ascii="Arial" w:cs="Arial" w:eastAsia="Arial" w:hAnsi="Arial"/>
          <w:sz w:val="18"/>
          <w:szCs w:val="18"/>
          <w:b w:val="1"/>
          <w:bCs w:val="1"/>
          <w:color w:val="auto"/>
        </w:rPr>
        <w:t>analytical studies demonstrating that the proposed biosimilar product is highly similar to the approved product notwithstanding minor differences in clinically inactive components;</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animal studies (including the assessment of toxicity); and</w:t>
      </w:r>
    </w:p>
    <w:p>
      <w:pPr>
        <w:spacing w:after="0" w:line="145" w:lineRule="exact"/>
        <w:rPr>
          <w:sz w:val="20"/>
          <w:szCs w:val="20"/>
          <w:color w:val="auto"/>
        </w:rPr>
      </w:pPr>
    </w:p>
    <w:p>
      <w:pPr>
        <w:ind w:left="1100" w:right="120"/>
        <w:spacing w:after="0" w:line="253" w:lineRule="auto"/>
        <w:rPr>
          <w:sz w:val="20"/>
          <w:szCs w:val="20"/>
          <w:color w:val="auto"/>
        </w:rPr>
      </w:pPr>
      <w:r>
        <w:rPr>
          <w:rFonts w:ascii="Arial" w:cs="Arial" w:eastAsia="Arial" w:hAnsi="Arial"/>
          <w:sz w:val="19"/>
          <w:szCs w:val="19"/>
          <w:b w:val="1"/>
          <w:bCs w:val="1"/>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In addition, an application must include information demonstrating that:</w:t>
      </w:r>
    </w:p>
    <w:p>
      <w:pPr>
        <w:spacing w:after="0" w:line="145" w:lineRule="exact"/>
        <w:rPr>
          <w:sz w:val="20"/>
          <w:szCs w:val="20"/>
          <w:color w:val="auto"/>
        </w:rPr>
      </w:pPr>
    </w:p>
    <w:p>
      <w:pPr>
        <w:ind w:left="1340" w:right="80"/>
        <w:spacing w:after="0" w:line="297" w:lineRule="auto"/>
        <w:rPr>
          <w:sz w:val="20"/>
          <w:szCs w:val="20"/>
          <w:color w:val="auto"/>
        </w:rPr>
      </w:pPr>
      <w:r>
        <w:rPr>
          <w:rFonts w:ascii="Arial" w:cs="Arial" w:eastAsia="Arial" w:hAnsi="Arial"/>
          <w:sz w:val="17"/>
          <w:szCs w:val="17"/>
          <w:b w:val="1"/>
          <w:bCs w:val="1"/>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99" w:lineRule="exact"/>
        <w:rPr>
          <w:sz w:val="20"/>
          <w:szCs w:val="20"/>
          <w:color w:val="auto"/>
        </w:rPr>
      </w:pPr>
    </w:p>
    <w:p>
      <w:pPr>
        <w:ind w:left="1340" w:right="400"/>
        <w:spacing w:after="0" w:line="312" w:lineRule="auto"/>
        <w:rPr>
          <w:sz w:val="20"/>
          <w:szCs w:val="20"/>
          <w:color w:val="auto"/>
        </w:rPr>
      </w:pPr>
      <w:r>
        <w:rPr>
          <w:rFonts w:ascii="Arial" w:cs="Arial" w:eastAsia="Arial" w:hAnsi="Arial"/>
          <w:sz w:val="17"/>
          <w:szCs w:val="17"/>
          <w:b w:val="1"/>
          <w:bCs w:val="1"/>
          <w:color w:val="auto"/>
        </w:rPr>
        <w:t>the condition or conditions of use prescribed, recommended or suggested in the labeling for the proposed biosimilar product have been previously approved for the reference product;</w:t>
      </w:r>
    </w:p>
    <w:p>
      <w:pPr>
        <w:spacing w:after="0" w:line="84" w:lineRule="exact"/>
        <w:rPr>
          <w:sz w:val="20"/>
          <w:szCs w:val="20"/>
          <w:color w:val="auto"/>
        </w:rPr>
      </w:pPr>
    </w:p>
    <w:p>
      <w:pPr>
        <w:ind w:left="1340" w:right="60"/>
        <w:spacing w:after="0" w:line="234" w:lineRule="auto"/>
        <w:rPr>
          <w:sz w:val="20"/>
          <w:szCs w:val="20"/>
          <w:color w:val="auto"/>
        </w:rPr>
      </w:pPr>
      <w:r>
        <w:rPr>
          <w:rFonts w:ascii="Arial" w:cs="Arial" w:eastAsia="Arial" w:hAnsi="Arial"/>
          <w:sz w:val="20"/>
          <w:szCs w:val="20"/>
          <w:b w:val="1"/>
          <w:bCs w:val="1"/>
          <w:color w:val="auto"/>
        </w:rPr>
        <w:t>the route of administration, the dosage form and the strength of the proposed biosimilar product are the same as those for the reference product; and</w:t>
      </w:r>
    </w:p>
    <w:p>
      <w:pPr>
        <w:spacing w:after="0" w:line="146" w:lineRule="exact"/>
        <w:rPr>
          <w:sz w:val="20"/>
          <w:szCs w:val="20"/>
          <w:color w:val="auto"/>
        </w:rPr>
      </w:pPr>
    </w:p>
    <w:p>
      <w:pPr>
        <w:ind w:left="1340" w:right="520"/>
        <w:spacing w:after="0" w:line="385" w:lineRule="auto"/>
        <w:rPr>
          <w:sz w:val="20"/>
          <w:szCs w:val="20"/>
          <w:color w:val="auto"/>
        </w:rPr>
      </w:pPr>
      <w:r>
        <w:rPr>
          <w:rFonts w:ascii="Arial" w:cs="Arial" w:eastAsia="Arial" w:hAnsi="Arial"/>
          <w:sz w:val="15"/>
          <w:szCs w:val="15"/>
          <w:b w:val="1"/>
          <w:bCs w:val="1"/>
          <w:color w:val="auto"/>
        </w:rPr>
        <w:t>the facility in which the biological product is manufactured, processed, packed or held meets standards designed to assure that the biological product continues to be safe, pure, and potent.</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9360"/>
          </w:cols>
          <w:pgMar w:left="1440" w:top="1440" w:right="1440" w:bottom="181" w:gutter="0" w:footer="0" w:header="0"/>
          <w:type w:val="continuous"/>
        </w:sectPr>
      </w:pPr>
    </w:p>
    <w:bookmarkStart w:id="25" w:name="page26"/>
    <w:bookmarkEnd w:id="25"/>
    <w:p>
      <w:pPr>
        <w:spacing w:after="0" w:line="10"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8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proposed product is biosimilar to the reference product;</w:t>
      </w:r>
    </w:p>
    <w:p>
      <w:pPr>
        <w:spacing w:after="0" w:line="142" w:lineRule="exact"/>
        <w:rPr>
          <w:sz w:val="20"/>
          <w:szCs w:val="20"/>
          <w:color w:val="auto"/>
        </w:rPr>
      </w:pPr>
    </w:p>
    <w:p>
      <w:pPr>
        <w:ind w:left="1100" w:right="340"/>
        <w:spacing w:after="0" w:line="234" w:lineRule="auto"/>
        <w:rPr>
          <w:sz w:val="20"/>
          <w:szCs w:val="20"/>
          <w:color w:val="auto"/>
        </w:rPr>
      </w:pPr>
      <w:r>
        <w:rPr>
          <w:rFonts w:ascii="Arial" w:cs="Arial" w:eastAsia="Arial" w:hAnsi="Arial"/>
          <w:sz w:val="20"/>
          <w:szCs w:val="20"/>
          <w:b w:val="1"/>
          <w:bCs w:val="1"/>
          <w:color w:val="auto"/>
        </w:rPr>
        <w:t>the proposed product is expected to produce the same clinical result as the reference product in any given patient; and</w:t>
      </w:r>
    </w:p>
    <w:p>
      <w:pPr>
        <w:spacing w:after="0" w:line="146" w:lineRule="exact"/>
        <w:rPr>
          <w:sz w:val="20"/>
          <w:szCs w:val="20"/>
          <w:color w:val="auto"/>
        </w:rPr>
      </w:pPr>
    </w:p>
    <w:p>
      <w:pPr>
        <w:ind w:left="1100" w:right="300"/>
        <w:spacing w:after="0" w:line="353" w:lineRule="auto"/>
        <w:rPr>
          <w:sz w:val="20"/>
          <w:szCs w:val="20"/>
          <w:color w:val="auto"/>
        </w:rPr>
      </w:pPr>
      <w:r>
        <w:rPr>
          <w:rFonts w:ascii="Arial" w:cs="Arial" w:eastAsia="Arial" w:hAnsi="Arial"/>
          <w:sz w:val="15"/>
          <w:szCs w:val="15"/>
          <w:b w:val="1"/>
          <w:bCs w:val="1"/>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3" w:lineRule="exact"/>
        <w:rPr>
          <w:sz w:val="20"/>
          <w:szCs w:val="20"/>
          <w:color w:val="auto"/>
        </w:rPr>
      </w:pPr>
    </w:p>
    <w:p>
      <w:pPr>
        <w:ind w:right="80" w:firstLine="490"/>
        <w:spacing w:after="0" w:line="289" w:lineRule="auto"/>
        <w:rPr>
          <w:sz w:val="20"/>
          <w:szCs w:val="20"/>
          <w:color w:val="auto"/>
        </w:rPr>
      </w:pPr>
      <w:r>
        <w:rPr>
          <w:rFonts w:ascii="Arial" w:cs="Arial" w:eastAsia="Arial" w:hAnsi="Arial"/>
          <w:sz w:val="17"/>
          <w:szCs w:val="17"/>
          <w:b w:val="1"/>
          <w:bCs w:val="1"/>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93"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00" w:lineRule="exact"/>
        <w:rPr>
          <w:sz w:val="20"/>
          <w:szCs w:val="20"/>
          <w:color w:val="auto"/>
        </w:rPr>
      </w:pPr>
    </w:p>
    <w:p>
      <w:pPr>
        <w:ind w:right="260" w:firstLine="490"/>
        <w:spacing w:after="0" w:line="287" w:lineRule="auto"/>
        <w:rPr>
          <w:sz w:val="20"/>
          <w:szCs w:val="20"/>
          <w:color w:val="auto"/>
        </w:rPr>
      </w:pPr>
      <w:r>
        <w:rPr>
          <w:rFonts w:ascii="Arial" w:cs="Arial" w:eastAsia="Arial" w:hAnsi="Arial"/>
          <w:sz w:val="17"/>
          <w:szCs w:val="17"/>
          <w:b w:val="1"/>
          <w:bCs w:val="1"/>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94" w:lineRule="exact"/>
        <w:rPr>
          <w:sz w:val="20"/>
          <w:szCs w:val="20"/>
          <w:color w:val="auto"/>
        </w:rPr>
      </w:pPr>
    </w:p>
    <w:p>
      <w:pPr>
        <w:jc w:val="both"/>
        <w:ind w:right="120" w:firstLine="490"/>
        <w:spacing w:after="0" w:line="320" w:lineRule="auto"/>
        <w:rPr>
          <w:sz w:val="20"/>
          <w:szCs w:val="20"/>
          <w:color w:val="auto"/>
        </w:rPr>
      </w:pPr>
      <w:r>
        <w:rPr>
          <w:rFonts w:ascii="Arial" w:cs="Arial" w:eastAsia="Arial" w:hAnsi="Arial"/>
          <w:sz w:val="15"/>
          <w:szCs w:val="15"/>
          <w:b w:val="1"/>
          <w:bCs w:val="1"/>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FDA cannot approve a biosimilar application for 12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 statute or the end of the seven-year orphan drug exclusivity period, whichever occurs later. In certain circumstances, a regulatory exclusivity period can extend beyond the life of a patent, and thus block biosimilar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96" w:lineRule="exact"/>
        <w:rPr>
          <w:sz w:val="20"/>
          <w:szCs w:val="20"/>
          <w:color w:val="auto"/>
        </w:rPr>
      </w:pPr>
    </w:p>
    <w:p>
      <w:pPr>
        <w:ind w:right="100" w:firstLine="490"/>
        <w:spacing w:after="0" w:line="351" w:lineRule="auto"/>
        <w:rPr>
          <w:sz w:val="20"/>
          <w:szCs w:val="20"/>
          <w:color w:val="auto"/>
        </w:rPr>
      </w:pPr>
      <w:r>
        <w:rPr>
          <w:rFonts w:ascii="Arial" w:cs="Arial" w:eastAsia="Arial" w:hAnsi="Arial"/>
          <w:sz w:val="15"/>
          <w:szCs w:val="15"/>
          <w:b w:val="1"/>
          <w:bCs w:val="1"/>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9360"/>
          </w:cols>
          <w:pgMar w:left="1440" w:top="1440" w:right="1440" w:bottom="181" w:gutter="0" w:footer="0" w:header="0"/>
          <w:type w:val="continuous"/>
        </w:sectPr>
      </w:pPr>
    </w:p>
    <w:bookmarkStart w:id="26" w:name="page27"/>
    <w:bookmarkEnd w:id="26"/>
    <w:p>
      <w:pPr>
        <w:spacing w:after="0" w:line="1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of: one year after the first commercial marketing of the first interchangeable product;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Post-Approval Requirements</w:t>
      </w:r>
    </w:p>
    <w:p>
      <w:pPr>
        <w:spacing w:after="0" w:line="128"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00" w:lineRule="exact"/>
        <w:rPr>
          <w:sz w:val="20"/>
          <w:szCs w:val="20"/>
          <w:color w:val="auto"/>
        </w:rPr>
      </w:pPr>
    </w:p>
    <w:p>
      <w:pPr>
        <w:ind w:right="200" w:firstLine="490"/>
        <w:spacing w:after="0" w:line="269" w:lineRule="auto"/>
        <w:rPr>
          <w:sz w:val="20"/>
          <w:szCs w:val="20"/>
          <w:color w:val="auto"/>
        </w:rPr>
      </w:pPr>
      <w:r>
        <w:rPr>
          <w:rFonts w:ascii="Arial" w:cs="Arial" w:eastAsia="Arial" w:hAnsi="Arial"/>
          <w:sz w:val="18"/>
          <w:szCs w:val="18"/>
          <w:b w:val="1"/>
          <w:bCs w:val="1"/>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08"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6" w:lineRule="exact"/>
        <w:rPr>
          <w:sz w:val="20"/>
          <w:szCs w:val="20"/>
          <w:color w:val="auto"/>
        </w:rPr>
      </w:pPr>
    </w:p>
    <w:p>
      <w:pPr>
        <w:ind w:left="1100" w:right="420"/>
        <w:spacing w:after="0" w:line="233" w:lineRule="auto"/>
        <w:rPr>
          <w:sz w:val="20"/>
          <w:szCs w:val="20"/>
          <w:color w:val="auto"/>
        </w:rPr>
      </w:pPr>
      <w:r>
        <w:rPr>
          <w:rFonts w:ascii="Arial" w:cs="Arial" w:eastAsia="Arial" w:hAnsi="Arial"/>
          <w:sz w:val="20"/>
          <w:szCs w:val="20"/>
          <w:b w:val="1"/>
          <w:bCs w:val="1"/>
          <w:color w:val="auto"/>
        </w:rPr>
        <w:t>restrictions on the marketing or manufacturing of the product, complete withdrawal of the product from the market, or product recalls;</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fines, warning letters, or holds on post-approval clinical studies;</w:t>
      </w:r>
    </w:p>
    <w:p>
      <w:pPr>
        <w:spacing w:after="0" w:line="145" w:lineRule="exact"/>
        <w:rPr>
          <w:sz w:val="20"/>
          <w:szCs w:val="20"/>
          <w:color w:val="auto"/>
        </w:rPr>
      </w:pPr>
    </w:p>
    <w:p>
      <w:pPr>
        <w:ind w:left="1100" w:right="820"/>
        <w:spacing w:after="0" w:line="422" w:lineRule="auto"/>
        <w:rPr>
          <w:sz w:val="20"/>
          <w:szCs w:val="20"/>
          <w:color w:val="auto"/>
        </w:rPr>
      </w:pPr>
      <w:r>
        <w:rPr>
          <w:rFonts w:ascii="Arial" w:cs="Arial" w:eastAsia="Arial" w:hAnsi="Arial"/>
          <w:sz w:val="18"/>
          <w:szCs w:val="18"/>
          <w:b w:val="1"/>
          <w:bCs w:val="1"/>
          <w:color w:val="auto"/>
        </w:rPr>
        <w:t>refusal of the FDA to approve pending applications or supplements to approved applications; applications, or suspension or revocation of product license approvals;</w:t>
      </w:r>
    </w:p>
    <w:p>
      <w:pPr>
        <w:spacing w:after="0" w:line="1" w:lineRule="exact"/>
        <w:rPr>
          <w:sz w:val="20"/>
          <w:szCs w:val="20"/>
          <w:color w:val="auto"/>
        </w:rPr>
      </w:pPr>
    </w:p>
    <w:p>
      <w:pPr>
        <w:ind w:left="1100" w:right="1500"/>
        <w:spacing w:after="0" w:line="401" w:lineRule="auto"/>
        <w:rPr>
          <w:sz w:val="20"/>
          <w:szCs w:val="20"/>
          <w:color w:val="auto"/>
        </w:rPr>
      </w:pPr>
      <w:r>
        <w:rPr>
          <w:rFonts w:ascii="Arial" w:cs="Arial" w:eastAsia="Arial" w:hAnsi="Arial"/>
          <w:sz w:val="19"/>
          <w:szCs w:val="19"/>
          <w:b w:val="1"/>
          <w:bCs w:val="1"/>
          <w:color w:val="auto"/>
        </w:rPr>
        <w:t>product seizure or detention, or refusal to permit the import or export of products; or injunctions or the imposition of civil or criminal penalties.</w:t>
      </w:r>
    </w:p>
    <w:p>
      <w:pPr>
        <w:spacing w:after="0" w:line="5" w:lineRule="exact"/>
        <w:rPr>
          <w:sz w:val="20"/>
          <w:szCs w:val="20"/>
          <w:color w:val="auto"/>
        </w:rPr>
      </w:pPr>
    </w:p>
    <w:p>
      <w:pPr>
        <w:ind w:right="120" w:firstLine="490"/>
        <w:spacing w:after="0" w:line="253" w:lineRule="auto"/>
        <w:rPr>
          <w:sz w:val="20"/>
          <w:szCs w:val="20"/>
          <w:color w:val="auto"/>
        </w:rPr>
      </w:pPr>
      <w:r>
        <w:rPr>
          <w:rFonts w:ascii="Arial" w:cs="Arial" w:eastAsia="Arial" w:hAnsi="Arial"/>
          <w:sz w:val="19"/>
          <w:szCs w:val="19"/>
          <w:b w:val="1"/>
          <w:bCs w:val="1"/>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U.S. Regulatory Matters</w:t>
      </w:r>
    </w:p>
    <w:p>
      <w:pPr>
        <w:spacing w:after="0" w:line="129" w:lineRule="exact"/>
        <w:rPr>
          <w:sz w:val="20"/>
          <w:szCs w:val="20"/>
          <w:color w:val="auto"/>
        </w:rPr>
      </w:pPr>
    </w:p>
    <w:p>
      <w:pPr>
        <w:ind w:right="40" w:firstLine="490"/>
        <w:spacing w:after="0" w:line="342" w:lineRule="auto"/>
        <w:rPr>
          <w:sz w:val="20"/>
          <w:szCs w:val="20"/>
          <w:color w:val="auto"/>
        </w:rPr>
      </w:pPr>
      <w:r>
        <w:rPr>
          <w:rFonts w:ascii="Arial" w:cs="Arial" w:eastAsia="Arial" w:hAnsi="Arial"/>
          <w:sz w:val="15"/>
          <w:szCs w:val="15"/>
          <w:b w:val="1"/>
          <w:bCs w:val="1"/>
          <w:color w:val="auto"/>
        </w:rPr>
        <w:t>Manufacturing, sales, promotion and other activities following product approval are also subject to regulation by numerous regulatory authorities in the United States in addition to the FDA, including the Centers for Medicare and Medicaid Services, other divisions of the Department of Health and Human Services, the Department of Justice, the Drug Enforcement Administration, the Consumer Product Safety Commission, the Federal Trade Commission,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9360"/>
          </w:cols>
          <w:pgMar w:left="1440" w:top="1440" w:right="1440" w:bottom="181" w:gutter="0" w:footer="0" w:header="0"/>
          <w:type w:val="continuous"/>
        </w:sectPr>
      </w:pPr>
    </w:p>
    <w:bookmarkStart w:id="27" w:name="page28"/>
    <w:bookmarkEnd w:id="27"/>
    <w:p>
      <w:pPr>
        <w:spacing w:after="0" w:line="10" w:lineRule="exact"/>
        <w:rPr>
          <w:sz w:val="20"/>
          <w:szCs w:val="20"/>
          <w:color w:val="auto"/>
        </w:rPr>
      </w:pPr>
    </w:p>
    <w:p>
      <w:pPr>
        <w:ind w:right="680"/>
        <w:spacing w:after="0" w:line="234" w:lineRule="auto"/>
        <w:rPr>
          <w:sz w:val="20"/>
          <w:szCs w:val="20"/>
          <w:color w:val="auto"/>
        </w:rPr>
      </w:pPr>
      <w:r>
        <w:rPr>
          <w:rFonts w:ascii="Arial" w:cs="Arial" w:eastAsia="Arial" w:hAnsi="Arial"/>
          <w:sz w:val="20"/>
          <w:szCs w:val="20"/>
          <w:b w:val="1"/>
          <w:bCs w:val="1"/>
          <w:color w:val="auto"/>
        </w:rPr>
        <w:t>the Occupational Safety &amp; Health Administration, the Environmental Protection Agency, and state and local governments.</w:t>
      </w:r>
    </w:p>
    <w:p>
      <w:pPr>
        <w:spacing w:after="0" w:line="130"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For example, in the United States, sales, marketing and scientific and educational programs also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10"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08" w:lineRule="exact"/>
        <w:rPr>
          <w:sz w:val="20"/>
          <w:szCs w:val="20"/>
          <w:color w:val="auto"/>
        </w:rPr>
      </w:pPr>
    </w:p>
    <w:p>
      <w:pPr>
        <w:ind w:right="40" w:firstLine="490"/>
        <w:spacing w:after="0" w:line="235" w:lineRule="auto"/>
        <w:rPr>
          <w:sz w:val="20"/>
          <w:szCs w:val="20"/>
          <w:color w:val="auto"/>
        </w:rPr>
      </w:pPr>
      <w:r>
        <w:rPr>
          <w:rFonts w:ascii="Arial" w:cs="Arial" w:eastAsia="Arial" w:hAnsi="Arial"/>
          <w:sz w:val="20"/>
          <w:szCs w:val="20"/>
          <w:b w:val="1"/>
          <w:bCs w:val="1"/>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33"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97" w:lineRule="exact"/>
        <w:rPr>
          <w:sz w:val="20"/>
          <w:szCs w:val="20"/>
          <w:color w:val="auto"/>
        </w:rPr>
      </w:pPr>
    </w:p>
    <w:p>
      <w:pPr>
        <w:ind w:right="40" w:firstLine="490"/>
        <w:spacing w:after="0" w:line="269" w:lineRule="auto"/>
        <w:rPr>
          <w:sz w:val="20"/>
          <w:szCs w:val="20"/>
          <w:color w:val="auto"/>
        </w:rPr>
      </w:pPr>
      <w:r>
        <w:rPr>
          <w:rFonts w:ascii="Arial" w:cs="Arial" w:eastAsia="Arial" w:hAnsi="Arial"/>
          <w:sz w:val="18"/>
          <w:szCs w:val="18"/>
          <w:b w:val="1"/>
          <w:bCs w:val="1"/>
          <w:color w:val="auto"/>
        </w:rPr>
        <w:t>Changes in regulations, statutes or the interpretation of existing regulations and statutes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 Likewise, the interpretation of federal law by regulatory agencies may change if judicial deference to such agencies’ interpretation is limited or eliminated. The judiciary may change the agencies’ interpretation of federal law in a way that has a negative impact on the operation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Patent-Term Restoration and Marketing Exclusivity</w:t>
      </w:r>
    </w:p>
    <w:p>
      <w:pPr>
        <w:spacing w:after="0" w:line="131"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9360"/>
          </w:cols>
          <w:pgMar w:left="1440" w:top="1440" w:right="1440" w:bottom="181" w:gutter="0" w:footer="0" w:header="0"/>
          <w:type w:val="continuous"/>
        </w:sectPr>
      </w:pPr>
    </w:p>
    <w:bookmarkStart w:id="28" w:name="page29"/>
    <w:bookmarkEnd w:id="28"/>
    <w:p>
      <w:pPr>
        <w:spacing w:after="0" w:line="10"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97" w:lineRule="exact"/>
        <w:rPr>
          <w:sz w:val="20"/>
          <w:szCs w:val="20"/>
          <w:color w:val="auto"/>
        </w:rPr>
      </w:pPr>
    </w:p>
    <w:p>
      <w:pPr>
        <w:ind w:right="60" w:firstLine="490"/>
        <w:spacing w:after="0" w:line="284" w:lineRule="auto"/>
        <w:rPr>
          <w:sz w:val="20"/>
          <w:szCs w:val="20"/>
          <w:color w:val="auto"/>
        </w:rPr>
      </w:pPr>
      <w:r>
        <w:rPr>
          <w:rFonts w:ascii="Arial" w:cs="Arial" w:eastAsia="Arial" w:hAnsi="Arial"/>
          <w:sz w:val="17"/>
          <w:szCs w:val="17"/>
          <w:b w:val="1"/>
          <w:bCs w:val="1"/>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Union Drug Development</w:t>
      </w:r>
    </w:p>
    <w:p>
      <w:pPr>
        <w:spacing w:after="0" w:line="131" w:lineRule="exact"/>
        <w:rPr>
          <w:sz w:val="20"/>
          <w:szCs w:val="20"/>
          <w:color w:val="auto"/>
        </w:rPr>
      </w:pPr>
    </w:p>
    <w:p>
      <w:pPr>
        <w:ind w:right="120" w:firstLine="490"/>
        <w:spacing w:after="0" w:line="286" w:lineRule="auto"/>
        <w:rPr>
          <w:sz w:val="20"/>
          <w:szCs w:val="20"/>
          <w:color w:val="auto"/>
        </w:rPr>
      </w:pPr>
      <w:r>
        <w:rPr>
          <w:rFonts w:ascii="Arial" w:cs="Arial" w:eastAsia="Arial" w:hAnsi="Arial"/>
          <w:sz w:val="17"/>
          <w:szCs w:val="17"/>
          <w:b w:val="1"/>
          <w:bCs w:val="1"/>
          <w:color w:val="auto"/>
        </w:rPr>
        <w:t>Similar to the United States, the various phases of preclinical and clinical research in the European Union are subject to significant regulatory controls. Although the EU Clinical Trials Directive 2001/20/EC (Directive)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ECs. Under the current regime all suspected unexpected serious adverse reactions to the investigated drug that occur during the clinical trial have to be reported to the NCA and ECs of the Member State where they occurred.</w:t>
      </w:r>
    </w:p>
    <w:p>
      <w:pPr>
        <w:spacing w:after="0" w:line="95" w:lineRule="exact"/>
        <w:rPr>
          <w:sz w:val="20"/>
          <w:szCs w:val="20"/>
          <w:color w:val="auto"/>
        </w:rPr>
      </w:pPr>
    </w:p>
    <w:p>
      <w:pPr>
        <w:ind w:right="80" w:firstLine="490"/>
        <w:spacing w:after="0" w:line="271" w:lineRule="auto"/>
        <w:rPr>
          <w:sz w:val="20"/>
          <w:szCs w:val="20"/>
          <w:color w:val="auto"/>
        </w:rPr>
      </w:pPr>
      <w:r>
        <w:rPr>
          <w:rFonts w:ascii="Arial" w:cs="Arial" w:eastAsia="Arial" w:hAnsi="Arial"/>
          <w:sz w:val="18"/>
          <w:szCs w:val="18"/>
          <w:b w:val="1"/>
          <w:bCs w:val="1"/>
          <w:color w:val="auto"/>
        </w:rPr>
        <w:t>The Clinical Trials Regulation EU No 536/2014, which replaced the Clinical Trials Directive and entered into application on January 31, 2022, is intended to simplify the current rules for clinical trial authorization and is aimed at harmonizing and streamlining clinical-trial authorization, simplifying adverse-event reporting procedures, improving the supervision of clinical trials and increasing their transparency.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Union Drug Review and Approval</w:t>
      </w:r>
    </w:p>
    <w:p>
      <w:pPr>
        <w:spacing w:after="0" w:line="131" w:lineRule="exact"/>
        <w:rPr>
          <w:sz w:val="20"/>
          <w:szCs w:val="20"/>
          <w:color w:val="auto"/>
        </w:rPr>
      </w:pPr>
    </w:p>
    <w:p>
      <w:pPr>
        <w:ind w:right="180" w:firstLine="490"/>
        <w:spacing w:after="0" w:line="297" w:lineRule="auto"/>
        <w:rPr>
          <w:sz w:val="20"/>
          <w:szCs w:val="20"/>
          <w:color w:val="auto"/>
        </w:rPr>
      </w:pPr>
      <w:r>
        <w:rPr>
          <w:rFonts w:ascii="Arial" w:cs="Arial" w:eastAsia="Arial" w:hAnsi="Arial"/>
          <w:sz w:val="17"/>
          <w:szCs w:val="17"/>
          <w:b w:val="1"/>
          <w:bCs w:val="1"/>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9360"/>
          </w:cols>
          <w:pgMar w:left="1440" w:top="1440" w:right="1440" w:bottom="181" w:gutter="0" w:footer="0" w:header="0"/>
          <w:type w:val="continuous"/>
        </w:sectPr>
      </w:pPr>
    </w:p>
    <w:bookmarkStart w:id="29" w:name="page30"/>
    <w:bookmarkEnd w:id="29"/>
    <w:p>
      <w:pPr>
        <w:spacing w:after="0" w:line="1" w:lineRule="exact"/>
        <w:rPr>
          <w:sz w:val="20"/>
          <w:szCs w:val="20"/>
          <w:color w:val="auto"/>
        </w:rPr>
      </w:pPr>
    </w:p>
    <w:p>
      <w:pPr>
        <w:ind w:left="1100" w:right="60"/>
        <w:spacing w:after="0" w:line="285" w:lineRule="auto"/>
        <w:rPr>
          <w:sz w:val="20"/>
          <w:szCs w:val="20"/>
          <w:color w:val="auto"/>
        </w:rPr>
      </w:pPr>
      <w:r>
        <w:rPr>
          <w:rFonts w:ascii="Arial" w:cs="Arial" w:eastAsia="Arial" w:hAnsi="Arial"/>
          <w:sz w:val="17"/>
          <w:szCs w:val="17"/>
          <w:b w:val="1"/>
          <w:bCs w:val="1"/>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12" w:lineRule="exact"/>
        <w:rPr>
          <w:sz w:val="20"/>
          <w:szCs w:val="20"/>
          <w:color w:val="auto"/>
        </w:rPr>
      </w:pPr>
    </w:p>
    <w:p>
      <w:pPr>
        <w:ind w:left="1100" w:right="20"/>
        <w:spacing w:after="0" w:line="284" w:lineRule="auto"/>
        <w:rPr>
          <w:sz w:val="20"/>
          <w:szCs w:val="20"/>
          <w:color w:val="auto"/>
        </w:rPr>
      </w:pPr>
      <w:r>
        <w:rPr>
          <w:rFonts w:ascii="Arial" w:cs="Arial" w:eastAsia="Arial" w:hAnsi="Arial"/>
          <w:sz w:val="17"/>
          <w:szCs w:val="17"/>
          <w:b w:val="1"/>
          <w:bCs w:val="1"/>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24" w:lineRule="exact"/>
        <w:rPr>
          <w:sz w:val="20"/>
          <w:szCs w:val="20"/>
          <w:color w:val="auto"/>
        </w:rPr>
      </w:pPr>
    </w:p>
    <w:p>
      <w:pPr>
        <w:jc w:val="both"/>
        <w:ind w:right="180" w:firstLine="490"/>
        <w:spacing w:after="0" w:line="235" w:lineRule="auto"/>
        <w:rPr>
          <w:sz w:val="20"/>
          <w:szCs w:val="20"/>
          <w:color w:val="auto"/>
        </w:rPr>
      </w:pPr>
      <w:r>
        <w:rPr>
          <w:rFonts w:ascii="Arial" w:cs="Arial" w:eastAsia="Arial" w:hAnsi="Arial"/>
          <w:sz w:val="20"/>
          <w:szCs w:val="20"/>
          <w:b w:val="1"/>
          <w:bCs w:val="1"/>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Coverage and Reimbursement</w:t>
      </w:r>
    </w:p>
    <w:p>
      <w:pPr>
        <w:spacing w:after="0" w:line="131" w:lineRule="exact"/>
        <w:rPr>
          <w:sz w:val="20"/>
          <w:szCs w:val="20"/>
          <w:color w:val="auto"/>
        </w:rPr>
      </w:pPr>
    </w:p>
    <w:p>
      <w:pPr>
        <w:ind w:firstLine="490"/>
        <w:spacing w:after="0" w:line="287" w:lineRule="auto"/>
        <w:rPr>
          <w:sz w:val="20"/>
          <w:szCs w:val="20"/>
          <w:color w:val="auto"/>
        </w:rPr>
      </w:pPr>
      <w:r>
        <w:rPr>
          <w:rFonts w:ascii="Arial" w:cs="Arial" w:eastAsia="Arial" w:hAnsi="Arial"/>
          <w:sz w:val="17"/>
          <w:szCs w:val="17"/>
          <w:b w:val="1"/>
          <w:bCs w:val="1"/>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94" w:lineRule="exact"/>
        <w:rPr>
          <w:sz w:val="20"/>
          <w:szCs w:val="20"/>
          <w:color w:val="auto"/>
        </w:rPr>
      </w:pPr>
    </w:p>
    <w:p>
      <w:pPr>
        <w:ind w:right="160" w:firstLine="490"/>
        <w:spacing w:after="0" w:line="285" w:lineRule="auto"/>
        <w:rPr>
          <w:sz w:val="20"/>
          <w:szCs w:val="20"/>
          <w:color w:val="auto"/>
        </w:rPr>
      </w:pPr>
      <w:r>
        <w:rPr>
          <w:rFonts w:ascii="Arial" w:cs="Arial" w:eastAsia="Arial" w:hAnsi="Arial"/>
          <w:sz w:val="17"/>
          <w:szCs w:val="17"/>
          <w:b w:val="1"/>
          <w:bCs w:val="1"/>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00" w:lineRule="exact"/>
        <w:rPr>
          <w:sz w:val="20"/>
          <w:szCs w:val="20"/>
          <w:color w:val="auto"/>
        </w:rPr>
      </w:pPr>
    </w:p>
    <w:p>
      <w:pPr>
        <w:ind w:right="100" w:firstLine="490"/>
        <w:spacing w:after="0" w:line="287" w:lineRule="auto"/>
        <w:rPr>
          <w:sz w:val="20"/>
          <w:szCs w:val="20"/>
          <w:color w:val="auto"/>
        </w:rPr>
      </w:pPr>
      <w:r>
        <w:rPr>
          <w:rFonts w:ascii="Arial" w:cs="Arial" w:eastAsia="Arial" w:hAnsi="Arial"/>
          <w:sz w:val="17"/>
          <w:szCs w:val="17"/>
          <w:b w:val="1"/>
          <w:bCs w:val="1"/>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9360"/>
          </w:cols>
          <w:pgMar w:left="1440" w:top="1440" w:right="1440" w:bottom="181" w:gutter="0" w:footer="0" w:header="0"/>
          <w:type w:val="continuous"/>
        </w:sectPr>
      </w:pPr>
    </w:p>
    <w:bookmarkStart w:id="30" w:name="page31"/>
    <w:bookmarkEnd w:id="30"/>
    <w:p>
      <w:pPr>
        <w:spacing w:after="0" w:line="1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color w:val="auto"/>
        </w:rPr>
        <w:t>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and Medicaid Services have proposed to expand Medicaid rebate liability to the territories of the United States as well.</w:t>
      </w:r>
    </w:p>
    <w:p>
      <w:pPr>
        <w:spacing w:after="0" w:line="105" w:lineRule="exact"/>
        <w:rPr>
          <w:sz w:val="20"/>
          <w:szCs w:val="20"/>
          <w:color w:val="auto"/>
        </w:rPr>
      </w:pPr>
    </w:p>
    <w:p>
      <w:pPr>
        <w:ind w:right="100" w:firstLine="490"/>
        <w:spacing w:after="0" w:line="284" w:lineRule="auto"/>
        <w:rPr>
          <w:sz w:val="20"/>
          <w:szCs w:val="20"/>
          <w:color w:val="auto"/>
        </w:rPr>
      </w:pPr>
      <w:r>
        <w:rPr>
          <w:rFonts w:ascii="Arial" w:cs="Arial" w:eastAsia="Arial" w:hAnsi="Arial"/>
          <w:sz w:val="17"/>
          <w:szCs w:val="17"/>
          <w:b w:val="1"/>
          <w:bCs w:val="1"/>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98" w:lineRule="exact"/>
        <w:rPr>
          <w:sz w:val="20"/>
          <w:szCs w:val="20"/>
          <w:color w:val="auto"/>
        </w:rPr>
      </w:pPr>
    </w:p>
    <w:p>
      <w:pPr>
        <w:ind w:right="40" w:firstLine="490"/>
        <w:spacing w:after="0" w:line="272" w:lineRule="auto"/>
        <w:rPr>
          <w:sz w:val="20"/>
          <w:szCs w:val="20"/>
          <w:color w:val="auto"/>
        </w:rPr>
      </w:pPr>
      <w:r>
        <w:rPr>
          <w:rFonts w:ascii="Arial" w:cs="Arial" w:eastAsia="Arial" w:hAnsi="Arial"/>
          <w:sz w:val="18"/>
          <w:szCs w:val="18"/>
          <w:b w:val="1"/>
          <w:bCs w:val="1"/>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03" w:lineRule="exact"/>
        <w:rPr>
          <w:sz w:val="20"/>
          <w:szCs w:val="20"/>
          <w:color w:val="auto"/>
        </w:rPr>
      </w:pPr>
    </w:p>
    <w:p>
      <w:pPr>
        <w:ind w:right="20" w:firstLine="490"/>
        <w:spacing w:after="0" w:line="252" w:lineRule="auto"/>
        <w:rPr>
          <w:sz w:val="20"/>
          <w:szCs w:val="20"/>
          <w:color w:val="auto"/>
        </w:rPr>
      </w:pPr>
      <w:r>
        <w:rPr>
          <w:rFonts w:ascii="Arial" w:cs="Arial" w:eastAsia="Arial" w:hAnsi="Arial"/>
          <w:sz w:val="19"/>
          <w:szCs w:val="19"/>
          <w:b w:val="1"/>
          <w:bCs w:val="1"/>
          <w:color w:val="auto"/>
        </w:rPr>
        <w:t>There has been increasing legislative and enforcement interest in the United States with respect to specialty drug pricing practices, including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2" w:lineRule="exact"/>
        <w:rPr>
          <w:sz w:val="20"/>
          <w:szCs w:val="20"/>
          <w:color w:val="auto"/>
        </w:rPr>
      </w:pPr>
    </w:p>
    <w:p>
      <w:pPr>
        <w:ind w:right="460" w:firstLine="490"/>
        <w:spacing w:after="0" w:line="236" w:lineRule="auto"/>
        <w:rPr>
          <w:sz w:val="20"/>
          <w:szCs w:val="20"/>
          <w:color w:val="auto"/>
        </w:rPr>
      </w:pPr>
      <w:r>
        <w:rPr>
          <w:rFonts w:ascii="Arial" w:cs="Arial" w:eastAsia="Arial" w:hAnsi="Arial"/>
          <w:sz w:val="20"/>
          <w:szCs w:val="20"/>
          <w:b w:val="1"/>
          <w:bCs w:val="1"/>
          <w:color w:val="auto"/>
        </w:rPr>
        <w:t>The American Rescue Plan Act of 2021 eliminated the statutory cap on Medicaid Drug Rebate Program rebates that manufacturers pay to state Medicaid programs. Elimination of this cap may require pharmaceutical manufacturers to pay more in rebates than they receive on the sale of approved products, which could have a material impact on our business.</w:t>
      </w:r>
    </w:p>
    <w:p>
      <w:pPr>
        <w:spacing w:after="0" w:line="135" w:lineRule="exact"/>
        <w:rPr>
          <w:sz w:val="20"/>
          <w:szCs w:val="20"/>
          <w:color w:val="auto"/>
        </w:rPr>
      </w:pPr>
    </w:p>
    <w:p>
      <w:pPr>
        <w:ind w:right="40" w:firstLine="490"/>
        <w:spacing w:after="0" w:line="323" w:lineRule="auto"/>
        <w:rPr>
          <w:sz w:val="20"/>
          <w:szCs w:val="20"/>
          <w:color w:val="auto"/>
        </w:rPr>
      </w:pPr>
      <w:r>
        <w:rPr>
          <w:rFonts w:ascii="Arial" w:cs="Arial" w:eastAsia="Arial" w:hAnsi="Arial"/>
          <w:sz w:val="15"/>
          <w:szCs w:val="15"/>
          <w:b w:val="1"/>
          <w:bCs w:val="1"/>
          <w:color w:val="auto"/>
        </w:rPr>
        <w:t>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HHS has and will continue to issue and update guidance as these programs are implemented, although the Medicare drug price negotiation program is currently subject to legal challenges.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9360"/>
          </w:cols>
          <w:pgMar w:left="1440" w:top="1440" w:right="1440" w:bottom="181" w:gutter="0" w:footer="0" w:header="0"/>
          <w:type w:val="continuous"/>
        </w:sectPr>
      </w:pPr>
    </w:p>
    <w:bookmarkStart w:id="31" w:name="page32"/>
    <w:bookmarkEnd w:id="31"/>
    <w:p>
      <w:pPr>
        <w:spacing w:after="0" w:line="1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through which American patients can buy drugs directly from manufacturers who sell at a most-favored-nation (MFN) price and directing the U.S. Trade Representative and Secretary of Commerce to take action to ensure foreign countries are not engaged in practices that purposefully and unfairly undercut market prices and drive price hikes in the United States. The One Big Beautiful Bill Act (OBBBA),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The impact of future legislative, executive, and administrative actions under the current presidential administration and new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15" w:lineRule="exact"/>
        <w:rPr>
          <w:sz w:val="20"/>
          <w:szCs w:val="20"/>
          <w:color w:val="auto"/>
        </w:rPr>
      </w:pPr>
    </w:p>
    <w:p>
      <w:pPr>
        <w:ind w:right="100" w:firstLine="490"/>
        <w:spacing w:after="0" w:line="267" w:lineRule="auto"/>
        <w:rPr>
          <w:sz w:val="20"/>
          <w:szCs w:val="20"/>
          <w:color w:val="auto"/>
        </w:rPr>
      </w:pPr>
      <w:r>
        <w:rPr>
          <w:rFonts w:ascii="Arial" w:cs="Arial" w:eastAsia="Arial" w:hAnsi="Arial"/>
          <w:sz w:val="18"/>
          <w:szCs w:val="18"/>
          <w:b w:val="1"/>
          <w:bCs w:val="1"/>
          <w:color w:val="auto"/>
        </w:rPr>
        <w:t>Further, many states have proposed or enacted legislation, administrative actions, and government programs that seek to indirectly or directly regulate pharmaceutical drug pricing, such as by requiring biopharmaceutical manufacturers to publicly report proprietary pricing information or to place a maximum price ceiling on pharmaceutical products purchased by state agencies. In January 2024, the FDA authorized the state of Florida to import certain prescription drugs from Canada for a period of two years to help reduce drug costs, provided that Florida’s Agency for Health Care Administration meets the requirements set forth by the FDA. Other states may follow Florida. Additionally,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candidates. Such initiatives, state drug importation programs, and legislation may affect the prices we may obtain for any of our product candidates for which we may obtain regulatory approval or the demand for any such product candidate, if approved. The full impact of the state importation program on our industry and our business is unclear.</w:t>
      </w:r>
    </w:p>
    <w:p>
      <w:pPr>
        <w:spacing w:after="0" w:line="117"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5"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9360"/>
          </w:cols>
          <w:pgMar w:left="1440" w:top="1440" w:right="1440" w:bottom="181"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Scientific Advisory Board</w:t>
      </w:r>
    </w:p>
    <w:p>
      <w:pPr>
        <w:spacing w:after="0" w:line="131" w:lineRule="exact"/>
        <w:rPr>
          <w:sz w:val="20"/>
          <w:szCs w:val="20"/>
          <w:color w:val="auto"/>
        </w:rPr>
      </w:pPr>
    </w:p>
    <w:p>
      <w:pPr>
        <w:ind w:right="60" w:firstLine="490"/>
        <w:spacing w:after="0" w:line="291" w:lineRule="auto"/>
        <w:rPr>
          <w:sz w:val="20"/>
          <w:szCs w:val="20"/>
          <w:color w:val="auto"/>
        </w:rPr>
      </w:pPr>
      <w:r>
        <w:rPr>
          <w:rFonts w:ascii="Arial" w:cs="Arial" w:eastAsia="Arial" w:hAnsi="Arial"/>
          <w:sz w:val="17"/>
          <w:szCs w:val="17"/>
          <w:b w:val="1"/>
          <w:bCs w:val="1"/>
          <w:color w:val="auto"/>
        </w:rPr>
        <w:t>We have assembled a highly qualified scientific advisory board comprised of advisors who have, collectively, deep expertise in neurodegenerative diseases, genomics, protein engineering, drug development, and drug discovery as well as translational medicine. Our scientists work in collaboration with these advisors to identify new disease targets, develop a biomarker strategy, and accelerate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-182880</wp:posOffset>
            </wp:positionV>
            <wp:extent cx="4184650" cy="255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84650" cy="255524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590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Affiliated Entity</w:t>
            </w:r>
          </w:p>
        </w:tc>
      </w:tr>
      <w:tr>
        <w:trPr>
          <w:trHeight w:val="292"/>
        </w:trPr>
        <w:tc>
          <w:tcPr>
            <w:tcW w:w="3460" w:type="dxa"/>
            <w:vAlign w:val="bottom"/>
          </w:tcPr>
          <w:p>
            <w:pPr>
              <w:spacing w:after="0"/>
              <w:rPr>
                <w:sz w:val="20"/>
                <w:szCs w:val="20"/>
                <w:color w:val="auto"/>
              </w:rPr>
            </w:pPr>
            <w:r>
              <w:rPr>
                <w:rFonts w:ascii="Arial" w:cs="Arial" w:eastAsia="Arial" w:hAnsi="Arial"/>
                <w:sz w:val="20"/>
                <w:szCs w:val="20"/>
                <w:b w:val="1"/>
                <w:bCs w:val="1"/>
                <w:color w:val="auto"/>
                <w:w w:val="89"/>
              </w:rPr>
              <w:t>Adam Boxer, M.D., Ph.D. ..........................</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92"/>
              </w:rPr>
              <w:t>Department of Neurology at University of California, San Francisco</w:t>
            </w:r>
          </w:p>
        </w:tc>
      </w:tr>
      <w:tr>
        <w:trPr>
          <w:trHeight w:val="245"/>
        </w:trPr>
        <w:tc>
          <w:tcPr>
            <w:tcW w:w="3460" w:type="dxa"/>
            <w:vAlign w:val="bottom"/>
          </w:tcPr>
          <w:p>
            <w:pPr>
              <w:spacing w:after="0"/>
              <w:rPr>
                <w:sz w:val="20"/>
                <w:szCs w:val="20"/>
                <w:color w:val="auto"/>
              </w:rPr>
            </w:pPr>
            <w:r>
              <w:rPr>
                <w:rFonts w:ascii="Arial" w:cs="Arial" w:eastAsia="Arial" w:hAnsi="Arial"/>
                <w:sz w:val="20"/>
                <w:szCs w:val="20"/>
                <w:b w:val="1"/>
                <w:bCs w:val="1"/>
                <w:color w:val="auto"/>
                <w:w w:val="88"/>
              </w:rPr>
              <w:t>Stephen L. Hauser, M.D. ............................</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92"/>
              </w:rPr>
              <w:t>Department of Neurology at University of California, San Francisco</w:t>
            </w:r>
          </w:p>
        </w:tc>
      </w:tr>
      <w:tr>
        <w:trPr>
          <w:trHeight w:val="245"/>
        </w:trPr>
        <w:tc>
          <w:tcPr>
            <w:tcW w:w="3460" w:type="dxa"/>
            <w:vAlign w:val="bottom"/>
          </w:tcPr>
          <w:p>
            <w:pPr>
              <w:spacing w:after="0"/>
              <w:rPr>
                <w:sz w:val="20"/>
                <w:szCs w:val="20"/>
                <w:color w:val="auto"/>
              </w:rPr>
            </w:pPr>
            <w:r>
              <w:rPr>
                <w:rFonts w:ascii="Arial" w:cs="Arial" w:eastAsia="Arial" w:hAnsi="Arial"/>
                <w:sz w:val="20"/>
                <w:szCs w:val="20"/>
                <w:b w:val="1"/>
                <w:bCs w:val="1"/>
                <w:color w:val="auto"/>
                <w:w w:val="90"/>
              </w:rPr>
              <w:t>Michael Heneka, M.D.................................</w:t>
            </w:r>
          </w:p>
        </w:tc>
        <w:tc>
          <w:tcPr>
            <w:tcW w:w="5900" w:type="dxa"/>
            <w:vAlign w:val="bottom"/>
          </w:tcPr>
          <w:p>
            <w:pPr>
              <w:spacing w:after="0"/>
              <w:rPr>
                <w:sz w:val="20"/>
                <w:szCs w:val="20"/>
                <w:color w:val="auto"/>
              </w:rPr>
            </w:pPr>
            <w:r>
              <w:rPr>
                <w:rFonts w:ascii="Arial" w:cs="Arial" w:eastAsia="Arial" w:hAnsi="Arial"/>
                <w:sz w:val="20"/>
                <w:szCs w:val="20"/>
                <w:b w:val="1"/>
                <w:bCs w:val="1"/>
                <w:color w:val="auto"/>
              </w:rPr>
              <w:t>Luxembourg Centre for Systems Biomedicine at University of</w:t>
            </w:r>
          </w:p>
        </w:tc>
      </w:tr>
      <w:tr>
        <w:trPr>
          <w:trHeight w:val="230"/>
        </w:trPr>
        <w:tc>
          <w:tcPr>
            <w:tcW w:w="34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20"/>
                <w:szCs w:val="20"/>
                <w:b w:val="1"/>
                <w:bCs w:val="1"/>
                <w:color w:val="auto"/>
              </w:rPr>
              <w:t>Luxembourg</w:t>
            </w:r>
          </w:p>
        </w:tc>
      </w:tr>
      <w:tr>
        <w:trPr>
          <w:trHeight w:val="242"/>
        </w:trPr>
        <w:tc>
          <w:tcPr>
            <w:tcW w:w="3460" w:type="dxa"/>
            <w:vAlign w:val="bottom"/>
          </w:tcPr>
          <w:p>
            <w:pPr>
              <w:spacing w:after="0"/>
              <w:rPr>
                <w:sz w:val="20"/>
                <w:szCs w:val="20"/>
                <w:color w:val="auto"/>
              </w:rPr>
            </w:pPr>
            <w:r>
              <w:rPr>
                <w:rFonts w:ascii="Arial" w:cs="Arial" w:eastAsia="Arial" w:hAnsi="Arial"/>
                <w:sz w:val="20"/>
                <w:szCs w:val="20"/>
                <w:b w:val="1"/>
                <w:bCs w:val="1"/>
                <w:color w:val="auto"/>
                <w:w w:val="88"/>
              </w:rPr>
              <w:t>Peter Heutink ..............................................</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88"/>
              </w:rPr>
              <w:t>Professor of Functional Genomics of Aging and Neurodegeneration at</w:t>
            </w:r>
          </w:p>
        </w:tc>
      </w:tr>
      <w:tr>
        <w:trPr>
          <w:trHeight w:val="230"/>
        </w:trPr>
        <w:tc>
          <w:tcPr>
            <w:tcW w:w="34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20"/>
                <w:szCs w:val="20"/>
                <w:b w:val="1"/>
                <w:bCs w:val="1"/>
                <w:color w:val="auto"/>
                <w:w w:val="91"/>
              </w:rPr>
              <w:t>the Faculty of Medical Sciences of the University of Groningen, The</w:t>
            </w:r>
          </w:p>
        </w:tc>
      </w:tr>
      <w:tr>
        <w:trPr>
          <w:trHeight w:val="230"/>
        </w:trPr>
        <w:tc>
          <w:tcPr>
            <w:tcW w:w="34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20"/>
                <w:szCs w:val="20"/>
                <w:b w:val="1"/>
                <w:bCs w:val="1"/>
                <w:color w:val="auto"/>
              </w:rPr>
              <w:t>Netherlands</w:t>
            </w:r>
          </w:p>
        </w:tc>
      </w:tr>
      <w:tr>
        <w:trPr>
          <w:trHeight w:val="245"/>
        </w:trPr>
        <w:tc>
          <w:tcPr>
            <w:tcW w:w="3460" w:type="dxa"/>
            <w:vAlign w:val="bottom"/>
          </w:tcPr>
          <w:p>
            <w:pPr>
              <w:spacing w:after="0"/>
              <w:rPr>
                <w:sz w:val="20"/>
                <w:szCs w:val="20"/>
                <w:color w:val="auto"/>
              </w:rPr>
            </w:pPr>
            <w:r>
              <w:rPr>
                <w:rFonts w:ascii="Arial" w:cs="Arial" w:eastAsia="Arial" w:hAnsi="Arial"/>
                <w:sz w:val="20"/>
                <w:szCs w:val="20"/>
                <w:b w:val="1"/>
                <w:bCs w:val="1"/>
                <w:color w:val="auto"/>
                <w:w w:val="88"/>
              </w:rPr>
              <w:t>Martin Kampmann, Ph.D............................</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89"/>
              </w:rPr>
              <w:t>Department of Biochemistry and Biophysics, University of California,</w:t>
            </w:r>
          </w:p>
        </w:tc>
      </w:tr>
      <w:tr>
        <w:trPr>
          <w:trHeight w:val="228"/>
        </w:trPr>
        <w:tc>
          <w:tcPr>
            <w:tcW w:w="3460" w:type="dxa"/>
            <w:vAlign w:val="bottom"/>
          </w:tcPr>
          <w:p>
            <w:pPr>
              <w:spacing w:after="0"/>
              <w:rPr>
                <w:sz w:val="19"/>
                <w:szCs w:val="19"/>
                <w:color w:val="auto"/>
              </w:rPr>
            </w:pPr>
          </w:p>
        </w:tc>
        <w:tc>
          <w:tcPr>
            <w:tcW w:w="5900" w:type="dxa"/>
            <w:vAlign w:val="bottom"/>
          </w:tcPr>
          <w:p>
            <w:pPr>
              <w:spacing w:after="0" w:line="228" w:lineRule="exact"/>
              <w:rPr>
                <w:sz w:val="20"/>
                <w:szCs w:val="20"/>
                <w:color w:val="auto"/>
              </w:rPr>
            </w:pPr>
            <w:r>
              <w:rPr>
                <w:rFonts w:ascii="Arial" w:cs="Arial" w:eastAsia="Arial" w:hAnsi="Arial"/>
                <w:sz w:val="20"/>
                <w:szCs w:val="20"/>
                <w:b w:val="1"/>
                <w:bCs w:val="1"/>
                <w:color w:val="auto"/>
              </w:rPr>
              <w:t>San Francisco Weill Institute for Neurosciences</w:t>
            </w:r>
          </w:p>
        </w:tc>
      </w:tr>
      <w:tr>
        <w:trPr>
          <w:trHeight w:val="245"/>
        </w:trPr>
        <w:tc>
          <w:tcPr>
            <w:tcW w:w="3460" w:type="dxa"/>
            <w:vAlign w:val="bottom"/>
          </w:tcPr>
          <w:p>
            <w:pPr>
              <w:spacing w:after="0"/>
              <w:rPr>
                <w:sz w:val="20"/>
                <w:szCs w:val="20"/>
                <w:color w:val="auto"/>
              </w:rPr>
            </w:pPr>
            <w:r>
              <w:rPr>
                <w:rFonts w:ascii="Arial" w:cs="Arial" w:eastAsia="Arial" w:hAnsi="Arial"/>
                <w:sz w:val="20"/>
                <w:szCs w:val="20"/>
                <w:b w:val="1"/>
                <w:bCs w:val="1"/>
                <w:color w:val="auto"/>
                <w:w w:val="87"/>
              </w:rPr>
              <w:t>Richard Scheller, Ph.D. ..............................</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95"/>
              </w:rPr>
              <w:t>National Academy of Sciences and National Institute of Medicine</w:t>
            </w:r>
          </w:p>
        </w:tc>
      </w:tr>
      <w:tr>
        <w:trPr>
          <w:trHeight w:val="245"/>
        </w:trPr>
        <w:tc>
          <w:tcPr>
            <w:tcW w:w="3460" w:type="dxa"/>
            <w:vAlign w:val="bottom"/>
          </w:tcPr>
          <w:p>
            <w:pPr>
              <w:spacing w:after="0"/>
              <w:rPr>
                <w:sz w:val="20"/>
                <w:szCs w:val="20"/>
                <w:color w:val="auto"/>
              </w:rPr>
            </w:pPr>
            <w:r>
              <w:rPr>
                <w:rFonts w:ascii="Arial" w:cs="Arial" w:eastAsia="Arial" w:hAnsi="Arial"/>
                <w:sz w:val="20"/>
                <w:szCs w:val="20"/>
                <w:b w:val="1"/>
                <w:bCs w:val="1"/>
                <w:color w:val="auto"/>
                <w:w w:val="88"/>
              </w:rPr>
              <w:t>Thomas C. Südhof, M.D., Ph.D..................</w:t>
            </w:r>
          </w:p>
        </w:tc>
        <w:tc>
          <w:tcPr>
            <w:tcW w:w="5900" w:type="dxa"/>
            <w:vAlign w:val="bottom"/>
          </w:tcPr>
          <w:p>
            <w:pPr>
              <w:spacing w:after="0"/>
              <w:rPr>
                <w:sz w:val="20"/>
                <w:szCs w:val="20"/>
                <w:color w:val="auto"/>
              </w:rPr>
            </w:pPr>
            <w:r>
              <w:rPr>
                <w:rFonts w:ascii="Arial" w:cs="Arial" w:eastAsia="Arial" w:hAnsi="Arial"/>
                <w:sz w:val="20"/>
                <w:szCs w:val="20"/>
                <w:b w:val="1"/>
                <w:bCs w:val="1"/>
                <w:color w:val="auto"/>
                <w:w w:val="86"/>
              </w:rPr>
              <w:t>Departments of Molecular and Cellular Physiology and Neurosurgery at</w:t>
            </w:r>
          </w:p>
        </w:tc>
      </w:tr>
      <w:tr>
        <w:trPr>
          <w:trHeight w:val="230"/>
        </w:trPr>
        <w:tc>
          <w:tcPr>
            <w:tcW w:w="34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20"/>
                <w:szCs w:val="20"/>
                <w:b w:val="1"/>
                <w:bCs w:val="1"/>
                <w:color w:val="auto"/>
              </w:rPr>
              <w:t>Stanford University</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Human Capital </w:t>
      </w:r>
      <w:r>
        <w:rPr>
          <w:rFonts w:ascii="Arial" w:cs="Arial" w:eastAsia="Arial" w:hAnsi="Arial"/>
          <w:sz w:val="20"/>
          <w:szCs w:val="20"/>
          <w:b w:val="1"/>
          <w:bCs w:val="1"/>
          <w:color w:val="auto"/>
          <w:highlight w:val="white"/>
        </w:rPr>
        <w:t>Resources</w:t>
      </w:r>
    </w:p>
    <w:p>
      <w:pPr>
        <w:spacing w:after="0" w:line="131" w:lineRule="exact"/>
        <w:rPr>
          <w:sz w:val="20"/>
          <w:szCs w:val="20"/>
          <w:color w:val="auto"/>
        </w:rPr>
      </w:pPr>
    </w:p>
    <w:p>
      <w:pPr>
        <w:ind w:right="160" w:firstLine="490"/>
        <w:spacing w:after="0" w:line="236" w:lineRule="auto"/>
        <w:rPr>
          <w:sz w:val="20"/>
          <w:szCs w:val="20"/>
          <w:color w:val="auto"/>
        </w:rPr>
      </w:pPr>
      <w:r>
        <w:rPr>
          <w:rFonts w:ascii="Arial" w:cs="Arial" w:eastAsia="Arial" w:hAnsi="Arial"/>
          <w:sz w:val="20"/>
          <w:szCs w:val="20"/>
          <w:b w:val="1"/>
          <w:bCs w:val="1"/>
          <w:color w:val="auto"/>
        </w:rPr>
        <w:t>Our human capital resources are a key factor in our ability to achieve our mission. We believe that our future success depends, in part, on our ability to continue to identify, recruit, retain, incentivize, and integrate our employees, advisors, and consultants.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Profile</w:t>
      </w:r>
    </w:p>
    <w:p>
      <w:pPr>
        <w:spacing w:after="0" w:line="131" w:lineRule="exact"/>
        <w:rPr>
          <w:sz w:val="20"/>
          <w:szCs w:val="20"/>
          <w:color w:val="auto"/>
        </w:rPr>
      </w:pPr>
    </w:p>
    <w:p>
      <w:pPr>
        <w:ind w:right="120" w:firstLine="490"/>
        <w:spacing w:after="0" w:line="252" w:lineRule="auto"/>
        <w:rPr>
          <w:sz w:val="20"/>
          <w:szCs w:val="20"/>
          <w:color w:val="auto"/>
        </w:rPr>
      </w:pPr>
      <w:r>
        <w:rPr>
          <w:rFonts w:ascii="Arial" w:cs="Arial" w:eastAsia="Arial" w:hAnsi="Arial"/>
          <w:sz w:val="19"/>
          <w:szCs w:val="19"/>
          <w:b w:val="1"/>
          <w:bCs w:val="1"/>
          <w:color w:val="auto"/>
        </w:rPr>
        <w:t>As of December 31, 2025, we had 103 full-time employees, 70% of whom were engaged in research and development activities. The workforce has subsequently been reduced in connection with the reduction-in-force (of approximately 47% of our employees) that was announced and initiated in October 2025. The majority of our employees work out of our headquarters location in South San Francisco; and the remainder of our team members work remotely. None of our employees are represented by a labor union or party to a collective bargaining agreement.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Employment Practices</w:t>
      </w:r>
    </w:p>
    <w:p>
      <w:pPr>
        <w:spacing w:after="0" w:line="129" w:lineRule="exact"/>
        <w:rPr>
          <w:sz w:val="20"/>
          <w:szCs w:val="20"/>
          <w:color w:val="auto"/>
        </w:rPr>
      </w:pPr>
    </w:p>
    <w:p>
      <w:pPr>
        <w:ind w:firstLine="490"/>
        <w:spacing w:after="0" w:line="292" w:lineRule="auto"/>
        <w:rPr>
          <w:sz w:val="20"/>
          <w:szCs w:val="20"/>
          <w:color w:val="auto"/>
        </w:rPr>
      </w:pPr>
      <w:r>
        <w:rPr>
          <w:rFonts w:ascii="Arial" w:cs="Arial" w:eastAsia="Arial" w:hAnsi="Arial"/>
          <w:sz w:val="17"/>
          <w:szCs w:val="17"/>
          <w:b w:val="1"/>
          <w:bCs w:val="1"/>
          <w:color w:val="auto"/>
        </w:rPr>
        <w:t>Our employees represent a broad range of backgrounds and bring a wide array of perspectives and experiences to the company. We are committed to building an open, diverse, and inclusive environment for everyone, as we believe this fosters greater innovation and furthers our mission. We have made efforts to ensure that our job postings, hiring process, and people programs are unbiased and are fair and equitable to all.</w:t>
      </w:r>
    </w:p>
    <w:p>
      <w:pPr>
        <w:spacing w:after="0" w:line="90" w:lineRule="exact"/>
        <w:rPr>
          <w:sz w:val="20"/>
          <w:szCs w:val="20"/>
          <w:color w:val="auto"/>
        </w:rPr>
      </w:pPr>
    </w:p>
    <w:p>
      <w:pPr>
        <w:ind w:right="60" w:firstLine="490"/>
        <w:spacing w:after="0" w:line="341" w:lineRule="auto"/>
        <w:rPr>
          <w:sz w:val="20"/>
          <w:szCs w:val="20"/>
          <w:color w:val="auto"/>
        </w:rPr>
      </w:pPr>
      <w:r>
        <w:rPr>
          <w:rFonts w:ascii="Arial" w:cs="Arial" w:eastAsia="Arial" w:hAnsi="Arial"/>
          <w:sz w:val="15"/>
          <w:szCs w:val="15"/>
          <w:b w:val="1"/>
          <w:bCs w:val="1"/>
          <w:color w:val="auto"/>
        </w:rPr>
        <w:t>We do not tolerate discrimination or harassment of or retaliation against our employees, job applicants, contractors, consultants, interns, or volunteers, and we have a longstanding anti-harassment policy. We have created multiple safe avenues for employees to submit concerns, including an anonymous hotline that goes directly to our head of compliance. We have a formal process and policy for the submission and treatment of complaints.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Compensation and Benefits</w:t>
      </w:r>
    </w:p>
    <w:p>
      <w:pPr>
        <w:spacing w:after="0" w:line="131" w:lineRule="exact"/>
        <w:rPr>
          <w:sz w:val="20"/>
          <w:szCs w:val="20"/>
          <w:color w:val="auto"/>
        </w:rPr>
      </w:pPr>
    </w:p>
    <w:p>
      <w:pPr>
        <w:ind w:right="160" w:firstLine="490"/>
        <w:spacing w:after="0" w:line="270" w:lineRule="auto"/>
        <w:rPr>
          <w:sz w:val="20"/>
          <w:szCs w:val="20"/>
          <w:color w:val="auto"/>
        </w:rPr>
      </w:pPr>
      <w:r>
        <w:rPr>
          <w:rFonts w:ascii="Arial" w:cs="Arial" w:eastAsia="Arial" w:hAnsi="Arial"/>
          <w:sz w:val="18"/>
          <w:szCs w:val="18"/>
          <w:b w:val="1"/>
          <w:bCs w:val="1"/>
          <w:color w:val="auto"/>
        </w:rPr>
        <w:t>Our compensation program is designed to attract, retain, and reward employees who share our vision and are deeply connected to our mission. We achieve this purpose using a mix of competitive base salaries, short term incentive opportunities, stock based awards, and an Employee Stock Purchase Plan (ESPP) that promotes an ownership mindset. We also provide customary benefits, including health insurance and retirement savings with matching contributions for eligible employees.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Growth and Development</w:t>
      </w:r>
    </w:p>
    <w:p>
      <w:pPr>
        <w:spacing w:after="0" w:line="131" w:lineRule="exact"/>
        <w:rPr>
          <w:sz w:val="20"/>
          <w:szCs w:val="20"/>
          <w:color w:val="auto"/>
        </w:rPr>
      </w:pPr>
    </w:p>
    <w:p>
      <w:pPr>
        <w:jc w:val="both"/>
        <w:ind w:right="140" w:firstLine="490"/>
        <w:spacing w:after="0" w:line="236" w:lineRule="auto"/>
        <w:rPr>
          <w:sz w:val="20"/>
          <w:szCs w:val="20"/>
          <w:color w:val="auto"/>
        </w:rPr>
      </w:pPr>
      <w:r>
        <w:rPr>
          <w:rFonts w:ascii="Arial" w:cs="Arial" w:eastAsia="Arial" w:hAnsi="Arial"/>
          <w:sz w:val="20"/>
          <w:szCs w:val="20"/>
          <w:b w:val="1"/>
          <w:bCs w:val="1"/>
          <w:color w:val="auto"/>
        </w:rPr>
        <w:t>We are committed to employee growth and development, and we support this in a variety of ways, including internal training, regular manager-employee check-ins, and a seminar program of visiting academics, reflecting our emphasis on learning, feedback, and a growth mindset.</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9360"/>
          </w:cols>
          <w:pgMar w:left="1440" w:top="1439" w:right="1440" w:bottom="181"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Employee Wellness, Health, and Safety</w:t>
      </w:r>
    </w:p>
    <w:p>
      <w:pPr>
        <w:spacing w:after="0" w:line="131" w:lineRule="exact"/>
        <w:rPr>
          <w:sz w:val="20"/>
          <w:szCs w:val="20"/>
          <w:color w:val="auto"/>
        </w:rPr>
      </w:pPr>
    </w:p>
    <w:p>
      <w:pPr>
        <w:ind w:right="80" w:firstLine="490"/>
        <w:spacing w:after="0" w:line="271" w:lineRule="auto"/>
        <w:rPr>
          <w:sz w:val="20"/>
          <w:szCs w:val="20"/>
          <w:color w:val="auto"/>
        </w:rPr>
      </w:pPr>
      <w:r>
        <w:rPr>
          <w:rFonts w:ascii="Arial" w:cs="Arial" w:eastAsia="Arial" w:hAnsi="Arial"/>
          <w:sz w:val="18"/>
          <w:szCs w:val="18"/>
          <w:b w:val="1"/>
          <w:bCs w:val="1"/>
          <w:color w:val="auto"/>
        </w:rPr>
        <w:t>The well-being of Alector’s employees is critical to our business success. We maintain environmental, health, and safety programs designed to provide a safe working environment in line with applicable regulatory standards, including required training, job specific safety instruction, periodic inspections, and periodic reviews by third party Environmental Health and Safety (EH&amp;S) providers.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31" w:lineRule="exact"/>
        <w:rPr>
          <w:sz w:val="20"/>
          <w:szCs w:val="20"/>
          <w:color w:val="auto"/>
        </w:rPr>
      </w:pPr>
    </w:p>
    <w:p>
      <w:pPr>
        <w:ind w:right="40" w:firstLine="490"/>
        <w:spacing w:after="0" w:line="288" w:lineRule="auto"/>
        <w:rPr>
          <w:sz w:val="20"/>
          <w:szCs w:val="20"/>
          <w:color w:val="auto"/>
        </w:rPr>
      </w:pPr>
      <w:r>
        <w:rPr>
          <w:rFonts w:ascii="Arial" w:cs="Arial" w:eastAsia="Arial" w:hAnsi="Arial"/>
          <w:sz w:val="17"/>
          <w:szCs w:val="17"/>
          <w:b w:val="1"/>
          <w:bCs w:val="1"/>
          <w:color w:val="auto"/>
        </w:rPr>
        <w:t>We were initially formed as a limited liability company in Delaware in May 2013 under the name Alector LLC and completed our restructuring to a Delaware corporation in October 2017 under the name Alector, Inc. Our principal executive offices are located at 131 Oyster Point Boulevard, Suite 600, South San Francisco, California 94080. Our telephone number is 415-231-5660. Our website address is www.alector.com. Information contained on, or that can be accessed through, our website is not incorporated by reference in this Annual Report on Form 10-K or in any other filings we make with the Securities and Exchange Commission (SEC).</w:t>
      </w:r>
    </w:p>
    <w:p>
      <w:pPr>
        <w:spacing w:after="0" w:line="93" w:lineRule="exact"/>
        <w:rPr>
          <w:sz w:val="20"/>
          <w:szCs w:val="20"/>
          <w:color w:val="auto"/>
        </w:rPr>
      </w:pPr>
    </w:p>
    <w:p>
      <w:pPr>
        <w:ind w:right="120" w:firstLine="490"/>
        <w:spacing w:after="0" w:line="288" w:lineRule="auto"/>
        <w:rPr>
          <w:sz w:val="20"/>
          <w:szCs w:val="20"/>
          <w:color w:val="auto"/>
        </w:rPr>
      </w:pPr>
      <w:r>
        <w:rPr>
          <w:rFonts w:ascii="Arial" w:cs="Arial" w:eastAsia="Arial" w:hAnsi="Arial"/>
          <w:sz w:val="17"/>
          <w:szCs w:val="17"/>
          <w:b w:val="1"/>
          <w:bCs w:val="1"/>
          <w:color w:val="auto"/>
        </w:rPr>
        <w:t>We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93" w:lineRule="exact"/>
        <w:rPr>
          <w:sz w:val="20"/>
          <w:szCs w:val="20"/>
          <w:color w:val="auto"/>
        </w:rPr>
      </w:pPr>
    </w:p>
    <w:p>
      <w:pPr>
        <w:ind w:right="20" w:firstLine="490"/>
        <w:spacing w:after="0" w:line="295" w:lineRule="auto"/>
        <w:rPr>
          <w:sz w:val="20"/>
          <w:szCs w:val="20"/>
          <w:color w:val="auto"/>
        </w:rPr>
      </w:pPr>
      <w:r>
        <w:rPr>
          <w:rFonts w:ascii="Arial" w:cs="Arial" w:eastAsia="Arial" w:hAnsi="Arial"/>
          <w:sz w:val="16"/>
          <w:szCs w:val="16"/>
          <w:b w:val="1"/>
          <w:bCs w:val="1"/>
          <w:color w:val="auto"/>
        </w:rPr>
        <w:t xml:space="preserve">We use Alector, the Alector logo, and other marks as trademarks in the United States and other countries. This report contains references to our trademarks and service marks and to those belonging to other entities. Solely for convenience, trademarks and trade names referred to in this report, including logos, artwork, and other visual displays, may appear without the </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Channels for Disclosure of Information</w:t>
      </w:r>
    </w:p>
    <w:p>
      <w:pPr>
        <w:spacing w:after="0" w:line="128" w:lineRule="exact"/>
        <w:rPr>
          <w:sz w:val="20"/>
          <w:szCs w:val="20"/>
          <w:color w:val="auto"/>
        </w:rPr>
      </w:pPr>
    </w:p>
    <w:p>
      <w:pPr>
        <w:ind w:right="60" w:firstLine="490"/>
        <w:spacing w:after="0" w:line="334" w:lineRule="auto"/>
        <w:rPr>
          <w:sz w:val="20"/>
          <w:szCs w:val="20"/>
          <w:color w:val="auto"/>
        </w:rPr>
      </w:pPr>
      <w:r>
        <w:rPr>
          <w:rFonts w:ascii="Arial" w:cs="Arial" w:eastAsia="Arial" w:hAnsi="Arial"/>
          <w:sz w:val="15"/>
          <w:szCs w:val="15"/>
          <w:b w:val="1"/>
          <w:bCs w:val="1"/>
          <w:color w:val="auto"/>
        </w:rPr>
        <w:t>Investors and others should note that we may announce material business and financial information to our investors using our investor relations website (https://investors.alector.com), SEC filings, webcasts, press releases, corporate decks provided on our website, and conference calls. We use these mediums, including our website, to communicate with our members and the public about our company, our products, and other issues. It is possible that the information that we make available may be deemed to be material information. We therefore encourage our investors and others interested in our company to review the information that we make available on our website.</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9360"/>
          </w:cols>
          <w:pgMar w:left="1440" w:top="1439" w:right="1440" w:bottom="181"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Item 1A. Risk Factors.</w:t>
      </w:r>
    </w:p>
    <w:p>
      <w:pPr>
        <w:spacing w:after="0" w:line="131" w:lineRule="exact"/>
        <w:rPr>
          <w:sz w:val="20"/>
          <w:szCs w:val="20"/>
          <w:color w:val="auto"/>
        </w:rPr>
      </w:pPr>
    </w:p>
    <w:p>
      <w:pPr>
        <w:ind w:right="40" w:firstLine="490"/>
        <w:spacing w:after="0" w:line="286" w:lineRule="auto"/>
        <w:rPr>
          <w:sz w:val="20"/>
          <w:szCs w:val="20"/>
          <w:color w:val="auto"/>
        </w:rPr>
      </w:pPr>
      <w:r>
        <w:rPr>
          <w:rFonts w:ascii="Arial" w:cs="Arial" w:eastAsia="Arial" w:hAnsi="Arial"/>
          <w:sz w:val="17"/>
          <w:szCs w:val="17"/>
          <w:b w:val="1"/>
          <w:bCs w:val="1"/>
          <w:color w:val="auto"/>
        </w:rPr>
        <w:t>Investing in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Risk Factors</w:t>
      </w:r>
    </w:p>
    <w:p>
      <w:pPr>
        <w:spacing w:after="0" w:line="131" w:lineRule="exact"/>
        <w:rPr>
          <w:sz w:val="20"/>
          <w:szCs w:val="20"/>
          <w:color w:val="auto"/>
        </w:rPr>
      </w:pPr>
    </w:p>
    <w:p>
      <w:pPr>
        <w:ind w:right="20" w:firstLine="490"/>
        <w:spacing w:after="0" w:line="236" w:lineRule="auto"/>
        <w:rPr>
          <w:sz w:val="20"/>
          <w:szCs w:val="20"/>
          <w:color w:val="auto"/>
        </w:rPr>
      </w:pPr>
      <w:r>
        <w:rPr>
          <w:rFonts w:ascii="Arial" w:cs="Arial" w:eastAsia="Arial" w:hAnsi="Arial"/>
          <w:sz w:val="20"/>
          <w:szCs w:val="20"/>
          <w:b w:val="1"/>
          <w:b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4" w:lineRule="exact"/>
        <w:rPr>
          <w:sz w:val="20"/>
          <w:szCs w:val="20"/>
          <w:color w:val="auto"/>
        </w:rPr>
      </w:pPr>
    </w:p>
    <w:p>
      <w:pPr>
        <w:ind w:left="720" w:right="100"/>
        <w:spacing w:after="0" w:line="235" w:lineRule="auto"/>
        <w:rPr>
          <w:sz w:val="20"/>
          <w:szCs w:val="20"/>
          <w:color w:val="auto"/>
        </w:rPr>
      </w:pPr>
      <w:r>
        <w:rPr>
          <w:rFonts w:ascii="Arial" w:cs="Arial" w:eastAsia="Arial" w:hAnsi="Arial"/>
          <w:sz w:val="20"/>
          <w:szCs w:val="20"/>
          <w:b w:val="1"/>
          <w:bCs w:val="1"/>
          <w:color w:val="auto"/>
        </w:rPr>
        <w:t>We are in various stages of drug development and have a limited operating history and no products approved for commercial sale, which may make it difficult to evaluate our current business and predict our future success and viability.</w:t>
      </w:r>
    </w:p>
    <w:p>
      <w:pPr>
        <w:spacing w:after="0" w:line="147" w:lineRule="exact"/>
        <w:rPr>
          <w:sz w:val="20"/>
          <w:szCs w:val="20"/>
          <w:color w:val="auto"/>
        </w:rPr>
      </w:pPr>
    </w:p>
    <w:p>
      <w:pPr>
        <w:ind w:left="720" w:right="20"/>
        <w:spacing w:after="0" w:line="234" w:lineRule="auto"/>
        <w:rPr>
          <w:sz w:val="20"/>
          <w:szCs w:val="20"/>
          <w:color w:val="auto"/>
        </w:rPr>
      </w:pPr>
      <w:r>
        <w:rPr>
          <w:rFonts w:ascii="Arial" w:cs="Arial" w:eastAsia="Arial" w:hAnsi="Arial"/>
          <w:sz w:val="20"/>
          <w:szCs w:val="20"/>
          <w:b w:val="1"/>
          <w:bCs w:val="1"/>
          <w:color w:val="auto"/>
        </w:rPr>
        <w:t>We have incurred significant net losses in each year since our inception and anticipate that we will continue to incur net losses for the foreseeable future.</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Drug development is a highly uncertain undertaking and involves a substantial degree of risk.</w:t>
      </w:r>
    </w:p>
    <w:p>
      <w:pPr>
        <w:spacing w:after="0" w:line="145"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spacing w:after="0" w:line="149" w:lineRule="exact"/>
        <w:rPr>
          <w:sz w:val="20"/>
          <w:szCs w:val="20"/>
          <w:color w:val="auto"/>
        </w:rPr>
      </w:pPr>
    </w:p>
    <w:p>
      <w:pPr>
        <w:ind w:left="720" w:right="120"/>
        <w:spacing w:after="0" w:line="252" w:lineRule="auto"/>
        <w:rPr>
          <w:sz w:val="20"/>
          <w:szCs w:val="20"/>
          <w:color w:val="auto"/>
        </w:rPr>
      </w:pPr>
      <w:r>
        <w:rPr>
          <w:rFonts w:ascii="Arial" w:cs="Arial" w:eastAsia="Arial" w:hAnsi="Arial"/>
          <w:sz w:val="19"/>
          <w:szCs w:val="19"/>
          <w:b w:val="1"/>
          <w:bCs w:val="1"/>
          <w:color w:val="auto"/>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136" w:lineRule="exact"/>
        <w:rPr>
          <w:sz w:val="20"/>
          <w:szCs w:val="20"/>
          <w:color w:val="auto"/>
        </w:rPr>
      </w:pPr>
    </w:p>
    <w:p>
      <w:pPr>
        <w:ind w:left="720" w:right="80"/>
        <w:spacing w:after="0" w:line="342" w:lineRule="auto"/>
        <w:rPr>
          <w:sz w:val="20"/>
          <w:szCs w:val="20"/>
          <w:color w:val="auto"/>
        </w:rPr>
      </w:pPr>
      <w:r>
        <w:rPr>
          <w:rFonts w:ascii="Arial" w:cs="Arial" w:eastAsia="Arial" w:hAnsi="Arial"/>
          <w:sz w:val="15"/>
          <w:szCs w:val="15"/>
          <w:b w:val="1"/>
          <w:bCs w:val="1"/>
          <w:color w:val="auto"/>
        </w:rPr>
        <w:t>Research and development of biopharmaceutical products is inherently risky. Our business is heavily dependent on the successful development of our product candidates, which are in various stages of preclinical and clinical development. We cannot give any assurance that any of our product candidates will receive regulatory, including marketing, approval, which is necessary before they may be commercialized.</w:t>
      </w:r>
    </w:p>
    <w:p>
      <w:pPr>
        <w:spacing w:after="0" w:line="70" w:lineRule="exact"/>
        <w:rPr>
          <w:sz w:val="20"/>
          <w:szCs w:val="20"/>
          <w:color w:val="auto"/>
        </w:rPr>
      </w:pPr>
    </w:p>
    <w:p>
      <w:pPr>
        <w:ind w:left="720" w:right="420"/>
        <w:spacing w:after="0" w:line="271" w:lineRule="auto"/>
        <w:rPr>
          <w:sz w:val="20"/>
          <w:szCs w:val="20"/>
          <w:color w:val="auto"/>
        </w:rPr>
      </w:pPr>
      <w:r>
        <w:rPr>
          <w:rFonts w:ascii="Arial" w:cs="Arial" w:eastAsia="Arial" w:hAnsi="Arial"/>
          <w:sz w:val="18"/>
          <w:szCs w:val="18"/>
          <w:b w:val="1"/>
          <w:bCs w:val="1"/>
          <w:color w:val="auto"/>
        </w:rPr>
        <w:t>We may not be successful in our efforts to continue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p>
    <w:p>
      <w:pPr>
        <w:spacing w:after="0" w:line="121" w:lineRule="exact"/>
        <w:rPr>
          <w:sz w:val="20"/>
          <w:szCs w:val="20"/>
          <w:color w:val="auto"/>
        </w:rPr>
      </w:pPr>
    </w:p>
    <w:p>
      <w:pPr>
        <w:ind w:left="720" w:right="240"/>
        <w:spacing w:after="0" w:line="234" w:lineRule="auto"/>
        <w:rPr>
          <w:sz w:val="20"/>
          <w:szCs w:val="20"/>
          <w:color w:val="auto"/>
        </w:rPr>
      </w:pPr>
      <w:r>
        <w:rPr>
          <w:rFonts w:ascii="Arial" w:cs="Arial" w:eastAsia="Arial" w:hAnsi="Arial"/>
          <w:sz w:val="20"/>
          <w:szCs w:val="20"/>
          <w:b w:val="1"/>
          <w:bCs w:val="1"/>
          <w:color w:val="auto"/>
        </w:rPr>
        <w:t>We may not be successful in our efforts to obtain approval for additional or expanded indications for any product candidates that receive approval for a given indication.</w:t>
      </w:r>
    </w:p>
    <w:p>
      <w:pPr>
        <w:spacing w:after="0" w:line="144" w:lineRule="exact"/>
        <w:rPr>
          <w:sz w:val="20"/>
          <w:szCs w:val="20"/>
          <w:color w:val="auto"/>
        </w:rPr>
      </w:pPr>
    </w:p>
    <w:p>
      <w:pPr>
        <w:ind w:left="720" w:right="40"/>
        <w:spacing w:after="0" w:line="253" w:lineRule="auto"/>
        <w:rPr>
          <w:sz w:val="20"/>
          <w:szCs w:val="20"/>
          <w:color w:val="auto"/>
        </w:rPr>
      </w:pPr>
      <w:r>
        <w:rPr>
          <w:rFonts w:ascii="Arial" w:cs="Arial" w:eastAsia="Arial" w:hAnsi="Arial"/>
          <w:sz w:val="19"/>
          <w:szCs w:val="19"/>
          <w:b w:val="1"/>
          <w:bCs w:val="1"/>
          <w:color w:val="auto"/>
        </w:rPr>
        <w:t>We have concentrated our research and development efforts on the treatment of neurodegenerative diseases, a field that has seen both limited success in drug development and evolving standards for regulatory approval. Further, our product candidates are based on innovative approaches and technologies, making it difficult to predict the time and cost of product candidate development and subsequent regulatory approval.</w:t>
      </w:r>
    </w:p>
    <w:p>
      <w:pPr>
        <w:spacing w:after="0" w:line="134" w:lineRule="exact"/>
        <w:rPr>
          <w:sz w:val="20"/>
          <w:szCs w:val="20"/>
          <w:color w:val="auto"/>
        </w:rPr>
      </w:pPr>
    </w:p>
    <w:p>
      <w:pPr>
        <w:ind w:left="720" w:right="300"/>
        <w:spacing w:after="0" w:line="233" w:lineRule="auto"/>
        <w:rPr>
          <w:sz w:val="20"/>
          <w:szCs w:val="20"/>
          <w:color w:val="auto"/>
        </w:rPr>
      </w:pPr>
      <w:r>
        <w:rPr>
          <w:rFonts w:ascii="Arial" w:cs="Arial" w:eastAsia="Arial" w:hAnsi="Arial"/>
          <w:sz w:val="20"/>
          <w:szCs w:val="20"/>
          <w:b w:val="1"/>
          <w:bCs w:val="1"/>
          <w:color w:val="auto"/>
        </w:rPr>
        <w:t>We may encounter substantial delays in our clinical trials or may not be able to conduct or complete our clinical trials on the timelines we expect, if at all.</w:t>
      </w:r>
    </w:p>
    <w:p>
      <w:pPr>
        <w:spacing w:after="0" w:line="146" w:lineRule="exact"/>
        <w:rPr>
          <w:sz w:val="20"/>
          <w:szCs w:val="20"/>
          <w:color w:val="auto"/>
        </w:rPr>
      </w:pPr>
    </w:p>
    <w:p>
      <w:pPr>
        <w:ind w:left="720" w:right="420"/>
        <w:spacing w:after="0" w:line="297" w:lineRule="auto"/>
        <w:rPr>
          <w:sz w:val="20"/>
          <w:szCs w:val="20"/>
          <w:color w:val="auto"/>
        </w:rPr>
      </w:pPr>
      <w:r>
        <w:rPr>
          <w:rFonts w:ascii="Arial" w:cs="Arial" w:eastAsia="Arial" w:hAnsi="Arial"/>
          <w:sz w:val="17"/>
          <w:szCs w:val="17"/>
          <w:b w:val="1"/>
          <w:bCs w:val="1"/>
          <w:color w:val="auto"/>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9360"/>
          </w:cols>
          <w:pgMar w:left="1440" w:top="1439" w:right="1440" w:bottom="181" w:gutter="0" w:footer="0" w:header="0"/>
          <w:type w:val="continuous"/>
        </w:sectPr>
      </w:pPr>
    </w:p>
    <w:bookmarkStart w:id="35" w:name="page36"/>
    <w:bookmarkEnd w:id="35"/>
    <w:p>
      <w:pPr>
        <w:spacing w:after="0" w:line="1" w:lineRule="exact"/>
        <w:rPr>
          <w:sz w:val="20"/>
          <w:szCs w:val="20"/>
          <w:color w:val="auto"/>
        </w:rPr>
      </w:pPr>
    </w:p>
    <w:p>
      <w:pPr>
        <w:ind w:left="720" w:right="80"/>
        <w:spacing w:after="0" w:line="235" w:lineRule="auto"/>
        <w:rPr>
          <w:sz w:val="20"/>
          <w:szCs w:val="20"/>
          <w:color w:val="auto"/>
        </w:rPr>
      </w:pPr>
      <w:r>
        <w:rPr>
          <w:rFonts w:ascii="Arial" w:cs="Arial" w:eastAsia="Arial" w:hAnsi="Arial"/>
          <w:sz w:val="20"/>
          <w:szCs w:val="20"/>
          <w:b w:val="1"/>
          <w:bCs w:val="1"/>
          <w:color w:val="auto"/>
        </w:rPr>
        <w:t>We may not be successful in developing product candidates that effectively compete with therapeutics that are developed or commercialized by our competitors, including therapeutics that affect the same biological targets or pathways.</w:t>
      </w:r>
    </w:p>
    <w:p>
      <w:pPr>
        <w:spacing w:after="0" w:line="147" w:lineRule="exact"/>
        <w:rPr>
          <w:sz w:val="20"/>
          <w:szCs w:val="20"/>
          <w:color w:val="auto"/>
        </w:rPr>
      </w:pPr>
    </w:p>
    <w:p>
      <w:pPr>
        <w:ind w:left="720" w:right="40"/>
        <w:spacing w:after="0" w:line="270" w:lineRule="auto"/>
        <w:rPr>
          <w:sz w:val="20"/>
          <w:szCs w:val="20"/>
          <w:color w:val="auto"/>
        </w:rPr>
      </w:pPr>
      <w:r>
        <w:rPr>
          <w:rFonts w:ascii="Arial" w:cs="Arial" w:eastAsia="Arial" w:hAnsi="Arial"/>
          <w:sz w:val="18"/>
          <w:szCs w:val="18"/>
          <w:b w:val="1"/>
          <w:bCs w:val="1"/>
          <w:color w:val="auto"/>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functions upon which the operation of our business may rely, which could negatively impact our business.</w:t>
      </w:r>
    </w:p>
    <w:p>
      <w:pPr>
        <w:spacing w:after="0" w:line="119" w:lineRule="exact"/>
        <w:rPr>
          <w:sz w:val="20"/>
          <w:szCs w:val="20"/>
          <w:color w:val="auto"/>
        </w:rPr>
      </w:pPr>
    </w:p>
    <w:p>
      <w:pPr>
        <w:ind w:left="720" w:right="140"/>
        <w:spacing w:after="0" w:line="274" w:lineRule="auto"/>
        <w:rPr>
          <w:sz w:val="20"/>
          <w:szCs w:val="20"/>
          <w:color w:val="auto"/>
        </w:rPr>
      </w:pPr>
      <w:r>
        <w:rPr>
          <w:rFonts w:ascii="Arial" w:cs="Arial" w:eastAsia="Arial" w:hAnsi="Arial"/>
          <w:sz w:val="18"/>
          <w:szCs w:val="18"/>
          <w:b w:val="1"/>
          <w:b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16" w:lineRule="exact"/>
        <w:rPr>
          <w:sz w:val="20"/>
          <w:szCs w:val="20"/>
          <w:color w:val="auto"/>
        </w:rPr>
      </w:pPr>
    </w:p>
    <w:p>
      <w:pPr>
        <w:ind w:left="720" w:right="640"/>
        <w:spacing w:after="0" w:line="253" w:lineRule="auto"/>
        <w:rPr>
          <w:sz w:val="20"/>
          <w:szCs w:val="20"/>
          <w:color w:val="auto"/>
        </w:rPr>
      </w:pPr>
      <w:r>
        <w:rPr>
          <w:rFonts w:ascii="Arial" w:cs="Arial" w:eastAsia="Arial" w:hAnsi="Arial"/>
          <w:sz w:val="19"/>
          <w:szCs w:val="19"/>
          <w:b w:val="1"/>
          <w:b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32" w:lineRule="exact"/>
        <w:rPr>
          <w:sz w:val="20"/>
          <w:szCs w:val="20"/>
          <w:color w:val="auto"/>
        </w:rPr>
      </w:pPr>
    </w:p>
    <w:p>
      <w:pPr>
        <w:ind w:left="720" w:right="340"/>
        <w:spacing w:after="0" w:line="274" w:lineRule="auto"/>
        <w:rPr>
          <w:sz w:val="20"/>
          <w:szCs w:val="20"/>
          <w:color w:val="auto"/>
        </w:rPr>
      </w:pPr>
      <w:r>
        <w:rPr>
          <w:rFonts w:ascii="Arial" w:cs="Arial" w:eastAsia="Arial" w:hAnsi="Arial"/>
          <w:sz w:val="18"/>
          <w:szCs w:val="18"/>
          <w:b w:val="1"/>
          <w:bCs w:val="1"/>
          <w:color w:val="auto"/>
        </w:rPr>
        <w:t>We may not be successful in our efforts to carry out our obligations under our collaborations for our product development and research programs; for instance, without limitation, we may not complete in a timely manner or at all our contractual obligations to GSK.</w:t>
      </w:r>
    </w:p>
    <w:p>
      <w:pPr>
        <w:spacing w:after="0" w:line="116" w:lineRule="exact"/>
        <w:rPr>
          <w:sz w:val="20"/>
          <w:szCs w:val="20"/>
          <w:color w:val="auto"/>
        </w:rPr>
      </w:pPr>
    </w:p>
    <w:p>
      <w:pPr>
        <w:jc w:val="both"/>
        <w:ind w:left="720" w:right="80"/>
        <w:spacing w:after="0" w:line="271" w:lineRule="auto"/>
        <w:rPr>
          <w:sz w:val="20"/>
          <w:szCs w:val="20"/>
          <w:color w:val="auto"/>
        </w:rPr>
      </w:pPr>
      <w:r>
        <w:rPr>
          <w:rFonts w:ascii="Arial" w:cs="Arial" w:eastAsia="Arial" w:hAnsi="Arial"/>
          <w:sz w:val="18"/>
          <w:szCs w:val="18"/>
          <w:b w:val="1"/>
          <w:bCs w:val="1"/>
          <w:color w:val="auto"/>
        </w:rPr>
        <w:t>Our operations, financial results, and the market price of our common stock could be adversely impacted by the effects of worldwide economic conditions, including macroeconomic downturns, global recessions, increased inflation, supply chain disruptions, trade tariffs or other disruptions in global trade, pandemics or other public health outbreaks, and geopolitical events and conflicts.</w:t>
      </w:r>
    </w:p>
    <w:p>
      <w:pPr>
        <w:spacing w:after="0" w:line="118" w:lineRule="exact"/>
        <w:rPr>
          <w:sz w:val="20"/>
          <w:szCs w:val="20"/>
          <w:color w:val="auto"/>
        </w:rPr>
      </w:pPr>
    </w:p>
    <w:p>
      <w:pPr>
        <w:jc w:val="right"/>
        <w:ind w:left="720" w:right="200"/>
        <w:spacing w:after="0" w:line="385" w:lineRule="auto"/>
        <w:rPr>
          <w:sz w:val="20"/>
          <w:szCs w:val="20"/>
          <w:color w:val="auto"/>
        </w:rPr>
      </w:pPr>
      <w:r>
        <w:rPr>
          <w:rFonts w:ascii="Arial" w:cs="Arial" w:eastAsia="Arial" w:hAnsi="Arial"/>
          <w:sz w:val="15"/>
          <w:szCs w:val="15"/>
          <w:b w:val="1"/>
          <w:bCs w:val="1"/>
          <w:color w:val="auto"/>
        </w:rPr>
        <w:t>We are highly dependent on our key personnel, and if we are not successful in attracting, motivating, and retaining highly qualified personnel, we may not be able to successfully implement our business strategy.</w:t>
      </w:r>
    </w:p>
    <w:p>
      <w:pPr>
        <w:spacing w:after="0" w:line="41" w:lineRule="exact"/>
        <w:rPr>
          <w:sz w:val="20"/>
          <w:szCs w:val="20"/>
          <w:color w:val="auto"/>
        </w:rPr>
      </w:pPr>
    </w:p>
    <w:p>
      <w:pPr>
        <w:ind w:left="720" w:right="40"/>
        <w:spacing w:after="0" w:line="234" w:lineRule="auto"/>
        <w:rPr>
          <w:sz w:val="20"/>
          <w:szCs w:val="20"/>
          <w:color w:val="auto"/>
        </w:rPr>
      </w:pPr>
      <w:r>
        <w:rPr>
          <w:rFonts w:ascii="Arial" w:cs="Arial" w:eastAsia="Arial" w:hAnsi="Arial"/>
          <w:sz w:val="20"/>
          <w:szCs w:val="20"/>
          <w:b w:val="1"/>
          <w:bCs w:val="1"/>
          <w:color w:val="auto"/>
        </w:rPr>
        <w:t>Our existing or future indebtedness and any associated debt covenants may impact our business and growth prospects.</w:t>
      </w:r>
    </w:p>
    <w:p>
      <w:pPr>
        <w:spacing w:after="0" w:line="146" w:lineRule="exact"/>
        <w:rPr>
          <w:sz w:val="20"/>
          <w:szCs w:val="20"/>
          <w:color w:val="auto"/>
        </w:rPr>
      </w:pPr>
    </w:p>
    <w:p>
      <w:pPr>
        <w:ind w:left="720" w:right="20"/>
        <w:spacing w:after="0" w:line="233" w:lineRule="auto"/>
        <w:rPr>
          <w:sz w:val="20"/>
          <w:szCs w:val="20"/>
          <w:color w:val="auto"/>
        </w:rPr>
      </w:pPr>
      <w:r>
        <w:rPr>
          <w:rFonts w:ascii="Arial" w:cs="Arial" w:eastAsia="Arial" w:hAnsi="Arial"/>
          <w:sz w:val="20"/>
          <w:szCs w:val="20"/>
          <w:b w:val="1"/>
          <w:bCs w:val="1"/>
          <w:color w:val="auto"/>
        </w:rPr>
        <w:t>Raising additional capital may cause dilution to our existing stockholders, restrict our operations, or require us to relinquish rights to our technologies or product candidates.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Financial Condition, and Capital Requirements</w:t>
      </w:r>
    </w:p>
    <w:p>
      <w:pPr>
        <w:spacing w:after="0" w:line="251" w:lineRule="exact"/>
        <w:rPr>
          <w:sz w:val="20"/>
          <w:szCs w:val="20"/>
          <w:color w:val="auto"/>
        </w:rPr>
      </w:pPr>
    </w:p>
    <w:p>
      <w:pPr>
        <w:jc w:val="both"/>
        <w:ind w:right="80"/>
        <w:spacing w:after="0" w:line="236" w:lineRule="auto"/>
        <w:rPr>
          <w:sz w:val="20"/>
          <w:szCs w:val="20"/>
          <w:color w:val="auto"/>
        </w:rPr>
      </w:pPr>
      <w:r>
        <w:rPr>
          <w:rFonts w:ascii="Arial" w:cs="Arial" w:eastAsia="Arial" w:hAnsi="Arial"/>
          <w:sz w:val="20"/>
          <w:szCs w:val="20"/>
          <w:b w:val="1"/>
          <w:bCs w:val="1"/>
          <w:color w:val="auto"/>
        </w:rPr>
        <w:t>We are in various stages of drug development and have a limited operating history and no products approved for commercial sale, which may make it difficult to evaluate our current business and predict our future success and viability.</w:t>
      </w:r>
    </w:p>
    <w:p>
      <w:pPr>
        <w:spacing w:after="0" w:line="133"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auto"/>
        </w:rPr>
        <w:t>We are a biotechnology company with both preclinical and clinical stage programs, focused on developing therapeutics for neurodegenerative diseases, including Alzheimer’s disease and Parkinson’s disease. We commenced operations in May 2013. To date, we have financed our operations primarily through equity and debt financings and upfront payments received in connection with the GSK Agreement and previously, our October 2017 collaboration agreement with AbbVie Biotechnology, Ltd. (AbbVie Agreement). We currently have one product candidate, nivisnebart, in a Phase 2 clinical trial. We have no products approved for commercial sale and have not generated any revenue from product sales. Drug development is a highly uncertain undertaking and involves a substantial degree of risk.</w:t>
      </w:r>
    </w:p>
    <w:p>
      <w:pPr>
        <w:spacing w:after="0" w:line="109" w:lineRule="exact"/>
        <w:rPr>
          <w:sz w:val="20"/>
          <w:szCs w:val="20"/>
          <w:color w:val="auto"/>
        </w:rPr>
      </w:pPr>
    </w:p>
    <w:p>
      <w:pPr>
        <w:ind w:right="260" w:firstLine="490"/>
        <w:spacing w:after="0" w:line="253" w:lineRule="auto"/>
        <w:rPr>
          <w:sz w:val="20"/>
          <w:szCs w:val="20"/>
          <w:color w:val="auto"/>
        </w:rPr>
      </w:pPr>
      <w:r>
        <w:rPr>
          <w:rFonts w:ascii="Arial" w:cs="Arial" w:eastAsia="Arial" w:hAnsi="Arial"/>
          <w:sz w:val="19"/>
          <w:szCs w:val="19"/>
          <w:b w:val="1"/>
          <w:bCs w:val="1"/>
          <w:color w:val="auto"/>
        </w:rPr>
        <w:t>In October 2025, we decided to stop the open label extension portion of the INFRONT-3 trial and the continuation study of our product candidate latozinemab based on the results of the INFRONT-3 Phase 3 clinical trial evaluating the safety and efficacy of latozinemab in slowing disease progression in individuals with frontotemporal dementia due to a progranulin gene mutation (FTD-GRN). Latozinemab failed to meet the clinical co-primary endpoint in that trial.</w:t>
      </w:r>
    </w:p>
    <w:p>
      <w:pPr>
        <w:spacing w:after="0" w:line="118" w:lineRule="exact"/>
        <w:rPr>
          <w:sz w:val="20"/>
          <w:szCs w:val="20"/>
          <w:color w:val="auto"/>
        </w:rPr>
      </w:pPr>
    </w:p>
    <w:p>
      <w:pPr>
        <w:ind w:right="320" w:firstLine="490"/>
        <w:spacing w:after="0" w:line="297" w:lineRule="auto"/>
        <w:rPr>
          <w:sz w:val="20"/>
          <w:szCs w:val="20"/>
          <w:color w:val="auto"/>
        </w:rPr>
      </w:pPr>
      <w:r>
        <w:rPr>
          <w:rFonts w:ascii="Arial" w:cs="Arial" w:eastAsia="Arial" w:hAnsi="Arial"/>
          <w:sz w:val="17"/>
          <w:szCs w:val="17"/>
          <w:b w:val="1"/>
          <w:bCs w:val="1"/>
          <w:color w:val="auto"/>
        </w:rPr>
        <w:t>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9360"/>
          </w:cols>
          <w:pgMar w:left="1440" w:top="1440" w:right="1440" w:bottom="181" w:gutter="0" w:footer="0" w:header="0"/>
          <w:type w:val="continuous"/>
        </w:sectPr>
      </w:pPr>
    </w:p>
    <w:bookmarkStart w:id="36" w:name="page37"/>
    <w:bookmarkEnd w:id="36"/>
    <w:p>
      <w:pPr>
        <w:spacing w:after="0" w:line="10" w:lineRule="exact"/>
        <w:rPr>
          <w:sz w:val="20"/>
          <w:szCs w:val="20"/>
          <w:color w:val="auto"/>
        </w:rPr>
      </w:pPr>
    </w:p>
    <w:p>
      <w:pPr>
        <w:ind w:right="620"/>
        <w:spacing w:after="0" w:line="312" w:lineRule="auto"/>
        <w:rPr>
          <w:sz w:val="20"/>
          <w:szCs w:val="20"/>
          <w:color w:val="auto"/>
        </w:rPr>
      </w:pPr>
      <w:r>
        <w:rPr>
          <w:rFonts w:ascii="Arial" w:cs="Arial" w:eastAsia="Arial" w:hAnsi="Arial"/>
          <w:sz w:val="17"/>
          <w:szCs w:val="17"/>
          <w:b w:val="1"/>
          <w:bCs w:val="1"/>
          <w:color w:val="auto"/>
        </w:rPr>
        <w:t>development of our product candidate AL003 was not warranted. We previously decided to close the Phase 1 clinical trial for our AL044 product candidate based on initial pharmacokinetics and tolerability data.</w:t>
      </w:r>
    </w:p>
    <w:p>
      <w:pPr>
        <w:spacing w:after="0" w:line="70" w:lineRule="exact"/>
        <w:rPr>
          <w:sz w:val="20"/>
          <w:szCs w:val="20"/>
          <w:color w:val="auto"/>
        </w:rPr>
      </w:pPr>
    </w:p>
    <w:p>
      <w:pPr>
        <w:ind w:right="100" w:firstLine="490"/>
        <w:spacing w:after="0" w:line="238" w:lineRule="auto"/>
        <w:rPr>
          <w:sz w:val="20"/>
          <w:szCs w:val="20"/>
          <w:color w:val="auto"/>
        </w:rPr>
      </w:pPr>
      <w:r>
        <w:rPr>
          <w:rFonts w:ascii="Arial" w:cs="Arial" w:eastAsia="Arial" w:hAnsi="Arial"/>
          <w:sz w:val="20"/>
          <w:szCs w:val="20"/>
          <w:b w:val="1"/>
          <w:bCs w:val="1"/>
          <w:color w:val="auto"/>
        </w:rPr>
        <w:t>To date, we have not obtained a positive readout from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w:t>
      </w:r>
    </w:p>
    <w:p>
      <w:pPr>
        <w:spacing w:after="0" w:line="132" w:lineRule="exact"/>
        <w:rPr>
          <w:sz w:val="20"/>
          <w:szCs w:val="20"/>
          <w:color w:val="auto"/>
        </w:rPr>
      </w:pPr>
    </w:p>
    <w:p>
      <w:pPr>
        <w:ind w:right="140" w:firstLine="490"/>
        <w:spacing w:after="0" w:line="273" w:lineRule="auto"/>
        <w:rPr>
          <w:sz w:val="20"/>
          <w:szCs w:val="20"/>
          <w:color w:val="auto"/>
        </w:rPr>
      </w:pPr>
      <w:r>
        <w:rPr>
          <w:rFonts w:ascii="Arial" w:cs="Arial" w:eastAsia="Arial" w:hAnsi="Arial"/>
          <w:sz w:val="18"/>
          <w:szCs w:val="18"/>
          <w:b w:val="1"/>
          <w:bCs w:val="1"/>
          <w:color w:val="auto"/>
        </w:rPr>
        <w:t>We will encounter risks and difficulties frequently experienced by biotechnology companies in rapidly evolving fields, and we have not yet demonstrated an ability to successfully overcome such risks and difficulties. If we do not address these risks and difficulties successfully, our business will suffer.</w:t>
      </w:r>
    </w:p>
    <w:p>
      <w:pPr>
        <w:spacing w:after="0" w:line="222"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We have incurred significant net losses in each year since our inception and anticipate that we will continue to incur net losses for the foreseeable future.</w:t>
      </w:r>
    </w:p>
    <w:p>
      <w:pPr>
        <w:spacing w:after="0" w:line="132" w:lineRule="exact"/>
        <w:rPr>
          <w:sz w:val="20"/>
          <w:szCs w:val="20"/>
          <w:color w:val="auto"/>
        </w:rPr>
      </w:pPr>
    </w:p>
    <w:p>
      <w:pPr>
        <w:jc w:val="both"/>
        <w:ind w:right="200" w:firstLine="490"/>
        <w:spacing w:after="0" w:line="235" w:lineRule="auto"/>
        <w:rPr>
          <w:sz w:val="20"/>
          <w:szCs w:val="20"/>
          <w:color w:val="auto"/>
        </w:rPr>
      </w:pPr>
      <w:r>
        <w:rPr>
          <w:rFonts w:ascii="Arial" w:cs="Arial" w:eastAsia="Arial" w:hAnsi="Arial"/>
          <w:sz w:val="20"/>
          <w:szCs w:val="20"/>
          <w:b w:val="1"/>
          <w:bCs w:val="1"/>
          <w:color w:val="auto"/>
        </w:rPr>
        <w:t>We have incurred net losses in each year since our inception. We incurred net losses of $142.9 million, and $119.0 million, for the years ended December 31, 2025, and 2024, respectively. As of December 31, 2025, we had an accumulated deficit of $972.1 million.</w:t>
      </w:r>
    </w:p>
    <w:p>
      <w:pPr>
        <w:spacing w:after="0" w:line="133" w:lineRule="exact"/>
        <w:rPr>
          <w:sz w:val="20"/>
          <w:szCs w:val="20"/>
          <w:color w:val="auto"/>
        </w:rPr>
      </w:pPr>
    </w:p>
    <w:p>
      <w:pPr>
        <w:ind w:right="320" w:firstLine="490"/>
        <w:spacing w:after="0" w:line="253" w:lineRule="auto"/>
        <w:rPr>
          <w:sz w:val="20"/>
          <w:szCs w:val="20"/>
          <w:color w:val="auto"/>
        </w:rPr>
      </w:pPr>
      <w:r>
        <w:rPr>
          <w:rFonts w:ascii="Arial" w:cs="Arial" w:eastAsia="Arial" w:hAnsi="Arial"/>
          <w:sz w:val="19"/>
          <w:szCs w:val="19"/>
          <w:b w:val="1"/>
          <w:bCs w:val="1"/>
          <w:color w:val="auto"/>
        </w:rPr>
        <w:t>We have invested significant financial resources in research and development activities, including for our preclinical and clinical product candidates. We do not expect to generate revenue from product sales for several years, if at all. The revenue we have generated from our collaboration arrangements with GSK, and previously, AbbVie, has been, and from our collaboration arrangement with GSK, is expected to continue to be, variable and limited in amount.</w:t>
      </w:r>
    </w:p>
    <w:p>
      <w:pPr>
        <w:spacing w:after="0" w:line="118" w:lineRule="exact"/>
        <w:rPr>
          <w:sz w:val="20"/>
          <w:szCs w:val="20"/>
          <w:color w:val="auto"/>
        </w:rPr>
      </w:pPr>
    </w:p>
    <w:p>
      <w:pPr>
        <w:ind w:right="180" w:firstLine="490"/>
        <w:spacing w:after="0" w:line="270" w:lineRule="auto"/>
        <w:rPr>
          <w:sz w:val="20"/>
          <w:szCs w:val="20"/>
          <w:color w:val="auto"/>
        </w:rPr>
      </w:pPr>
      <w:r>
        <w:rPr>
          <w:rFonts w:ascii="Arial" w:cs="Arial" w:eastAsia="Arial" w:hAnsi="Arial"/>
          <w:sz w:val="18"/>
          <w:szCs w:val="18"/>
          <w:b w:val="1"/>
          <w:bCs w:val="1"/>
          <w:color w:val="auto"/>
        </w:rPr>
        <w:t>Developing our product candidates is expensive, and we expect to continue to spend substantial amounts as we fund our early-stage research projects and continue to advance our programs through preclinical and clinical development. Even if we are successful in developing our product candidates and obtaining regulatory approvals, launching and commercializing any product candidate will require substantial additional funding as we continue to advance other candidates in our pipeline.</w:t>
      </w:r>
    </w:p>
    <w:p>
      <w:pPr>
        <w:spacing w:after="0" w:line="108" w:lineRule="exact"/>
        <w:rPr>
          <w:sz w:val="20"/>
          <w:szCs w:val="20"/>
          <w:color w:val="auto"/>
        </w:rPr>
      </w:pPr>
    </w:p>
    <w:p>
      <w:pPr>
        <w:ind w:right="900" w:firstLine="490"/>
        <w:spacing w:after="0" w:line="309" w:lineRule="auto"/>
        <w:rPr>
          <w:sz w:val="20"/>
          <w:szCs w:val="20"/>
          <w:color w:val="auto"/>
        </w:rPr>
      </w:pPr>
      <w:r>
        <w:rPr>
          <w:rFonts w:ascii="Arial" w:cs="Arial" w:eastAsia="Arial" w:hAnsi="Arial"/>
          <w:sz w:val="17"/>
          <w:szCs w:val="17"/>
          <w:b w:val="1"/>
          <w:bCs w:val="1"/>
          <w:color w:val="auto"/>
        </w:rPr>
        <w:t>We expect to continue to incur significant expenses and increasingly higher operating losses for the foreseeable future. We anticipate that our expenses will increase substantially if and as we:</w:t>
      </w:r>
    </w:p>
    <w:p>
      <w:pPr>
        <w:spacing w:after="0" w:line="5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continue our research and drug discovery activities;</w:t>
      </w:r>
    </w:p>
    <w:p>
      <w:pPr>
        <w:spacing w:after="0" w:line="145" w:lineRule="exact"/>
        <w:rPr>
          <w:sz w:val="20"/>
          <w:szCs w:val="20"/>
          <w:color w:val="auto"/>
        </w:rPr>
      </w:pPr>
    </w:p>
    <w:p>
      <w:pPr>
        <w:ind w:left="1100" w:right="860"/>
        <w:spacing w:after="0" w:line="234" w:lineRule="auto"/>
        <w:rPr>
          <w:sz w:val="20"/>
          <w:szCs w:val="20"/>
          <w:color w:val="auto"/>
        </w:rPr>
      </w:pPr>
      <w:r>
        <w:rPr>
          <w:rFonts w:ascii="Arial" w:cs="Arial" w:eastAsia="Arial" w:hAnsi="Arial"/>
          <w:sz w:val="20"/>
          <w:szCs w:val="20"/>
          <w:b w:val="1"/>
          <w:bCs w:val="1"/>
          <w:color w:val="auto"/>
        </w:rPr>
        <w:t>advance our research and development pipeline, including our target, indication, patient, and biomarker selections;</w:t>
      </w:r>
    </w:p>
    <w:p>
      <w:pPr>
        <w:spacing w:after="0" w:line="146" w:lineRule="exact"/>
        <w:rPr>
          <w:sz w:val="20"/>
          <w:szCs w:val="20"/>
          <w:color w:val="auto"/>
        </w:rPr>
      </w:pPr>
    </w:p>
    <w:p>
      <w:pPr>
        <w:ind w:left="1100" w:right="520"/>
        <w:spacing w:after="0" w:line="234" w:lineRule="auto"/>
        <w:rPr>
          <w:sz w:val="20"/>
          <w:szCs w:val="20"/>
          <w:color w:val="auto"/>
        </w:rPr>
      </w:pPr>
      <w:r>
        <w:rPr>
          <w:rFonts w:ascii="Arial" w:cs="Arial" w:eastAsia="Arial" w:hAnsi="Arial"/>
          <w:sz w:val="20"/>
          <w:szCs w:val="20"/>
          <w:b w:val="1"/>
          <w:bCs w:val="1"/>
          <w:color w:val="auto"/>
        </w:rPr>
        <w:t>continue to develop and apply our ABC technology to potentially enhance our current and future product candidates’ penetration of the blood-brain barrier;</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progress our current and any future product candidates through preclinical and clinical development;</w:t>
      </w:r>
    </w:p>
    <w:p>
      <w:pPr>
        <w:spacing w:after="0" w:line="169" w:lineRule="exact"/>
        <w:rPr>
          <w:sz w:val="20"/>
          <w:szCs w:val="20"/>
          <w:color w:val="auto"/>
        </w:rPr>
      </w:pPr>
    </w:p>
    <w:p>
      <w:pPr>
        <w:ind w:left="1100" w:right="420"/>
        <w:spacing w:after="0" w:line="234" w:lineRule="auto"/>
        <w:rPr>
          <w:sz w:val="20"/>
          <w:szCs w:val="20"/>
          <w:color w:val="auto"/>
        </w:rPr>
      </w:pPr>
      <w:r>
        <w:rPr>
          <w:rFonts w:ascii="Arial" w:cs="Arial" w:eastAsia="Arial" w:hAnsi="Arial"/>
          <w:sz w:val="20"/>
          <w:szCs w:val="20"/>
          <w:b w:val="1"/>
          <w:bCs w:val="1"/>
          <w:color w:val="auto"/>
        </w:rPr>
        <w:t>initiate and conduct additional preclinical, clinical, or other studies for our product candidates and future commercial products;</w:t>
      </w:r>
    </w:p>
    <w:p>
      <w:pPr>
        <w:spacing w:after="0" w:line="146" w:lineRule="exact"/>
        <w:rPr>
          <w:sz w:val="20"/>
          <w:szCs w:val="20"/>
          <w:color w:val="auto"/>
        </w:rPr>
      </w:pPr>
    </w:p>
    <w:p>
      <w:pPr>
        <w:ind w:left="1100" w:right="880"/>
        <w:spacing w:after="0" w:line="281" w:lineRule="auto"/>
        <w:rPr>
          <w:sz w:val="20"/>
          <w:szCs w:val="20"/>
          <w:color w:val="auto"/>
        </w:rPr>
      </w:pPr>
      <w:r>
        <w:rPr>
          <w:rFonts w:ascii="Arial" w:cs="Arial" w:eastAsia="Arial" w:hAnsi="Arial"/>
          <w:sz w:val="18"/>
          <w:szCs w:val="18"/>
          <w:b w:val="1"/>
          <w:bCs w:val="1"/>
          <w:color w:val="auto"/>
        </w:rPr>
        <w:t>work with our CDMOs to develop and scale up the manufacturing processes for our product candidates or, in the future, establish and operate a manufacturing facility;</w:t>
      </w:r>
    </w:p>
    <w:p>
      <w:pPr>
        <w:spacing w:after="0" w:line="110" w:lineRule="exact"/>
        <w:rPr>
          <w:sz w:val="20"/>
          <w:szCs w:val="20"/>
          <w:color w:val="auto"/>
        </w:rPr>
      </w:pPr>
    </w:p>
    <w:p>
      <w:pPr>
        <w:ind w:left="1100" w:right="260"/>
        <w:spacing w:after="0" w:line="233" w:lineRule="auto"/>
        <w:rPr>
          <w:sz w:val="20"/>
          <w:szCs w:val="20"/>
          <w:color w:val="auto"/>
        </w:rPr>
      </w:pPr>
      <w:r>
        <w:rPr>
          <w:rFonts w:ascii="Arial" w:cs="Arial" w:eastAsia="Arial" w:hAnsi="Arial"/>
          <w:sz w:val="20"/>
          <w:szCs w:val="20"/>
          <w:b w:val="1"/>
          <w:bCs w:val="1"/>
          <w:color w:val="auto"/>
        </w:rPr>
        <w:t>change or add contract manufacturers or suppliers for our product candidates and future commercial products;</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seek regulatory approvals and marketing authorizations for our product candidates;</w:t>
      </w:r>
    </w:p>
    <w:p>
      <w:pPr>
        <w:spacing w:after="0" w:line="145" w:lineRule="exact"/>
        <w:rPr>
          <w:sz w:val="20"/>
          <w:szCs w:val="20"/>
          <w:color w:val="auto"/>
        </w:rPr>
      </w:pPr>
    </w:p>
    <w:p>
      <w:pPr>
        <w:ind w:left="1100" w:right="120"/>
        <w:spacing w:after="0" w:line="234" w:lineRule="auto"/>
        <w:rPr>
          <w:sz w:val="20"/>
          <w:szCs w:val="20"/>
          <w:color w:val="auto"/>
        </w:rPr>
      </w:pPr>
      <w:r>
        <w:rPr>
          <w:rFonts w:ascii="Arial" w:cs="Arial" w:eastAsia="Arial" w:hAnsi="Arial"/>
          <w:sz w:val="20"/>
          <w:szCs w:val="20"/>
          <w:b w:val="1"/>
          <w:bCs w:val="1"/>
          <w:color w:val="auto"/>
        </w:rPr>
        <w:t>establish sales, marketing, and distribution infrastructure to commercialize any products for which we obtain approval;</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make milestone, royalty, or other payments due under any license or collaboration agreements;</w:t>
      </w:r>
    </w:p>
    <w:p>
      <w:pPr>
        <w:spacing w:after="0" w:line="157" w:lineRule="exact"/>
        <w:rPr>
          <w:sz w:val="20"/>
          <w:szCs w:val="20"/>
          <w:color w:val="auto"/>
        </w:rPr>
      </w:pPr>
    </w:p>
    <w:p>
      <w:pPr>
        <w:ind w:left="1100" w:right="280"/>
        <w:spacing w:after="0" w:line="233" w:lineRule="auto"/>
        <w:rPr>
          <w:sz w:val="20"/>
          <w:szCs w:val="20"/>
          <w:color w:val="auto"/>
        </w:rPr>
      </w:pPr>
      <w:r>
        <w:rPr>
          <w:rFonts w:ascii="Arial" w:cs="Arial" w:eastAsia="Arial" w:hAnsi="Arial"/>
          <w:sz w:val="20"/>
          <w:szCs w:val="20"/>
          <w:b w:val="1"/>
          <w:bCs w:val="1"/>
          <w:color w:val="auto"/>
        </w:rPr>
        <w:t>take steps to seek protection of our intellectual property and defend our intellectual property against challenges from third parties;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9360"/>
          </w:cols>
          <w:pgMar w:left="1440" w:top="1440" w:right="1440" w:bottom="181" w:gutter="0" w:footer="0" w:header="0"/>
          <w:type w:val="continuous"/>
        </w:sectPr>
      </w:pPr>
    </w:p>
    <w:bookmarkStart w:id="37" w:name="page38"/>
    <w:bookmarkEnd w:id="37"/>
    <w:p>
      <w:pPr>
        <w:spacing w:after="0" w:line="1" w:lineRule="exact"/>
        <w:rPr>
          <w:sz w:val="20"/>
          <w:szCs w:val="20"/>
          <w:color w:val="auto"/>
        </w:rPr>
      </w:pPr>
    </w:p>
    <w:p>
      <w:pPr>
        <w:ind w:left="1100" w:right="20"/>
        <w:spacing w:after="0" w:line="234" w:lineRule="auto"/>
        <w:rPr>
          <w:sz w:val="20"/>
          <w:szCs w:val="20"/>
          <w:color w:val="auto"/>
        </w:rPr>
      </w:pPr>
      <w:r>
        <w:rPr>
          <w:rFonts w:ascii="Arial" w:cs="Arial" w:eastAsia="Arial" w:hAnsi="Arial"/>
          <w:sz w:val="20"/>
          <w:szCs w:val="20"/>
          <w:b w:val="1"/>
          <w:bCs w:val="1"/>
          <w:color w:val="auto"/>
        </w:rPr>
        <w:t>obtain, maintain, protect, and enforce our intellectual property portfolio, including intellectual property obtained through license and collaboration agreements;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attract, hire, and retain qualified personnel;</w:t>
      </w:r>
    </w:p>
    <w:p>
      <w:pPr>
        <w:spacing w:after="0" w:line="145" w:lineRule="exact"/>
        <w:rPr>
          <w:sz w:val="20"/>
          <w:szCs w:val="20"/>
          <w:color w:val="auto"/>
        </w:rPr>
      </w:pPr>
    </w:p>
    <w:p>
      <w:pPr>
        <w:ind w:left="1100" w:right="860"/>
        <w:spacing w:after="0" w:line="254" w:lineRule="auto"/>
        <w:rPr>
          <w:sz w:val="20"/>
          <w:szCs w:val="20"/>
          <w:color w:val="auto"/>
        </w:rPr>
      </w:pPr>
      <w:r>
        <w:rPr>
          <w:rFonts w:ascii="Arial" w:cs="Arial" w:eastAsia="Arial" w:hAnsi="Arial"/>
          <w:sz w:val="19"/>
          <w:szCs w:val="19"/>
          <w:b w:val="1"/>
          <w:bCs w:val="1"/>
          <w:color w:val="auto"/>
        </w:rPr>
        <w:t>provide additional internal infrastructure to support our continued research and development operations and any planned commercialization efforts in the future;</w:t>
      </w:r>
    </w:p>
    <w:p>
      <w:pPr>
        <w:spacing w:after="0" w:line="132" w:lineRule="exact"/>
        <w:rPr>
          <w:sz w:val="20"/>
          <w:szCs w:val="20"/>
          <w:color w:val="auto"/>
        </w:rPr>
      </w:pPr>
    </w:p>
    <w:p>
      <w:pPr>
        <w:ind w:left="1100" w:right="1760"/>
        <w:spacing w:after="0" w:line="369" w:lineRule="auto"/>
        <w:rPr>
          <w:sz w:val="20"/>
          <w:szCs w:val="20"/>
          <w:color w:val="auto"/>
        </w:rPr>
      </w:pPr>
      <w:r>
        <w:rPr>
          <w:rFonts w:ascii="Arial" w:cs="Arial" w:eastAsia="Arial" w:hAnsi="Arial"/>
          <w:sz w:val="20"/>
          <w:szCs w:val="20"/>
          <w:b w:val="1"/>
          <w:bCs w:val="1"/>
          <w:color w:val="auto"/>
        </w:rPr>
        <w:t>implement additional internal systems and infrastructure related to cybersecurity; make required payments under the Loan Agreement;</w:t>
      </w:r>
    </w:p>
    <w:p>
      <w:pPr>
        <w:spacing w:after="0" w:line="22" w:lineRule="exact"/>
        <w:rPr>
          <w:sz w:val="20"/>
          <w:szCs w:val="20"/>
          <w:color w:val="auto"/>
        </w:rPr>
      </w:pPr>
    </w:p>
    <w:p>
      <w:pPr>
        <w:ind w:left="1100" w:right="3160"/>
        <w:spacing w:after="0" w:line="505" w:lineRule="auto"/>
        <w:rPr>
          <w:sz w:val="20"/>
          <w:szCs w:val="20"/>
          <w:color w:val="auto"/>
        </w:rPr>
      </w:pPr>
      <w:r>
        <w:rPr>
          <w:rFonts w:ascii="Arial" w:cs="Arial" w:eastAsia="Arial" w:hAnsi="Arial"/>
          <w:sz w:val="15"/>
          <w:szCs w:val="15"/>
          <w:b w:val="1"/>
          <w:bCs w:val="1"/>
          <w:color w:val="auto"/>
        </w:rPr>
        <w:t>meet the requirements and demands of being a public company; withstand high rates or sustained periods of inflation; and</w:t>
      </w:r>
    </w:p>
    <w:p>
      <w:pPr>
        <w:ind w:left="740"/>
        <w:spacing w:after="0"/>
        <w:rPr>
          <w:sz w:val="20"/>
          <w:szCs w:val="20"/>
          <w:color w:val="auto"/>
        </w:rPr>
      </w:pPr>
      <w:r>
        <w:rPr>
          <w:rFonts w:ascii="Arial" w:cs="Arial" w:eastAsia="Arial" w:hAnsi="Arial"/>
          <w:sz w:val="20"/>
          <w:szCs w:val="20"/>
          <w:b w:val="1"/>
          <w:bCs w:val="1"/>
          <w:color w:val="auto"/>
        </w:rPr>
        <w:t>defend against any product liability claims or other lawsuits related to our products.</w:t>
      </w:r>
    </w:p>
    <w:p>
      <w:pPr>
        <w:spacing w:after="0" w:line="154" w:lineRule="exact"/>
        <w:rPr>
          <w:sz w:val="20"/>
          <w:szCs w:val="20"/>
          <w:color w:val="auto"/>
        </w:rPr>
      </w:pPr>
    </w:p>
    <w:p>
      <w:pPr>
        <w:ind w:right="140" w:firstLine="490"/>
        <w:spacing w:after="0" w:line="297" w:lineRule="auto"/>
        <w:rPr>
          <w:sz w:val="20"/>
          <w:szCs w:val="20"/>
          <w:color w:val="auto"/>
        </w:rPr>
      </w:pPr>
      <w:r>
        <w:rPr>
          <w:rFonts w:ascii="Arial" w:cs="Arial" w:eastAsia="Arial" w:hAnsi="Arial"/>
          <w:sz w:val="17"/>
          <w:szCs w:val="17"/>
          <w:b w:val="1"/>
          <w:bCs w:val="1"/>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Drug development is a highly uncertain undertaking and involves a substantial degree of risk.</w:t>
      </w:r>
    </w:p>
    <w:p>
      <w:pPr>
        <w:spacing w:after="0" w:line="129"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5"/>
          <w:szCs w:val="15"/>
          <w:b w:val="1"/>
          <w:bCs w:val="1"/>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completing research and preclinical and clinical development of our product candidates;</w:t>
      </w:r>
    </w:p>
    <w:p>
      <w:pPr>
        <w:spacing w:after="0" w:line="145" w:lineRule="exact"/>
        <w:rPr>
          <w:sz w:val="20"/>
          <w:szCs w:val="20"/>
          <w:color w:val="auto"/>
        </w:rPr>
      </w:pPr>
    </w:p>
    <w:p>
      <w:pPr>
        <w:ind w:left="1100" w:right="480"/>
        <w:spacing w:after="0" w:line="251" w:lineRule="auto"/>
        <w:rPr>
          <w:sz w:val="20"/>
          <w:szCs w:val="20"/>
          <w:color w:val="auto"/>
        </w:rPr>
      </w:pPr>
      <w:r>
        <w:rPr>
          <w:rFonts w:ascii="Arial" w:cs="Arial" w:eastAsia="Arial" w:hAnsi="Arial"/>
          <w:sz w:val="19"/>
          <w:szCs w:val="19"/>
          <w:b w:val="1"/>
          <w:bCs w:val="1"/>
          <w:color w:val="auto"/>
        </w:rPr>
        <w:t>obtaining regulatory approvals and marketing authorizations for product candidates for which we successfully complete clinical development and clinical trials;</w:t>
      </w:r>
    </w:p>
    <w:p>
      <w:pPr>
        <w:spacing w:after="0" w:line="135" w:lineRule="exact"/>
        <w:rPr>
          <w:sz w:val="20"/>
          <w:szCs w:val="20"/>
          <w:color w:val="auto"/>
        </w:rPr>
      </w:pPr>
    </w:p>
    <w:p>
      <w:pPr>
        <w:ind w:left="1100" w:right="380"/>
        <w:spacing w:after="0" w:line="234" w:lineRule="auto"/>
        <w:rPr>
          <w:sz w:val="20"/>
          <w:szCs w:val="20"/>
          <w:color w:val="auto"/>
        </w:rPr>
      </w:pPr>
      <w:r>
        <w:rPr>
          <w:rFonts w:ascii="Arial" w:cs="Arial" w:eastAsia="Arial" w:hAnsi="Arial"/>
          <w:sz w:val="20"/>
          <w:szCs w:val="20"/>
          <w:b w:val="1"/>
          <w:bCs w:val="1"/>
          <w:color w:val="auto"/>
        </w:rPr>
        <w:t>developing a sustainable and scalable manufacturing process for our product candidates and future commercial products;</w:t>
      </w:r>
    </w:p>
    <w:p>
      <w:pPr>
        <w:spacing w:after="0" w:line="146" w:lineRule="exact"/>
        <w:rPr>
          <w:sz w:val="20"/>
          <w:szCs w:val="20"/>
          <w:color w:val="auto"/>
        </w:rPr>
      </w:pPr>
    </w:p>
    <w:p>
      <w:pPr>
        <w:ind w:left="1100" w:right="300"/>
        <w:spacing w:after="0" w:line="253" w:lineRule="auto"/>
        <w:rPr>
          <w:sz w:val="20"/>
          <w:szCs w:val="20"/>
          <w:color w:val="auto"/>
        </w:rPr>
      </w:pPr>
      <w:r>
        <w:rPr>
          <w:rFonts w:ascii="Arial" w:cs="Arial" w:eastAsia="Arial" w:hAnsi="Arial"/>
          <w:sz w:val="19"/>
          <w:szCs w:val="19"/>
          <w:b w:val="1"/>
          <w:bCs w:val="1"/>
          <w:color w:val="auto"/>
        </w:rPr>
        <w:t>establishing and maintaining commercially viable supply relationships with third parties that can provide adequate products and services to support clinical activities and commercial demand of our product candidates and future commercial products;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identifying, assessing, acquiring, and/or developing new product candidates;</w:t>
      </w:r>
    </w:p>
    <w:p>
      <w:pPr>
        <w:spacing w:after="0" w:line="145"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negotiating favorable terms in any collaboration, licensing, or other arrangements into which we may enter;</w:t>
      </w:r>
    </w:p>
    <w:p>
      <w:pPr>
        <w:spacing w:after="0" w:line="146" w:lineRule="exact"/>
        <w:rPr>
          <w:sz w:val="20"/>
          <w:szCs w:val="20"/>
          <w:color w:val="auto"/>
        </w:rPr>
      </w:pPr>
    </w:p>
    <w:p>
      <w:pPr>
        <w:ind w:left="1100" w:right="280"/>
        <w:spacing w:after="0" w:line="297" w:lineRule="auto"/>
        <w:rPr>
          <w:sz w:val="20"/>
          <w:szCs w:val="20"/>
          <w:color w:val="auto"/>
        </w:rPr>
      </w:pPr>
      <w:r>
        <w:rPr>
          <w:rFonts w:ascii="Arial" w:cs="Arial" w:eastAsia="Arial" w:hAnsi="Arial"/>
          <w:sz w:val="17"/>
          <w:szCs w:val="17"/>
          <w:b w:val="1"/>
          <w:bCs w:val="1"/>
          <w:color w:val="auto"/>
        </w:rPr>
        <w:t>launching and successfully commercializing product candidates for which we obtain regulatory and marketing approval, whether alone or in collaboration with a partner, including the establishment of any necessary sales, marketing, and distribution infrastructure;</w:t>
      </w:r>
    </w:p>
    <w:p>
      <w:pPr>
        <w:spacing w:after="0" w:line="97" w:lineRule="exact"/>
        <w:rPr>
          <w:sz w:val="20"/>
          <w:szCs w:val="20"/>
          <w:color w:val="auto"/>
        </w:rPr>
      </w:pPr>
    </w:p>
    <w:p>
      <w:pPr>
        <w:ind w:left="1100" w:right="280"/>
        <w:spacing w:after="0" w:line="254" w:lineRule="auto"/>
        <w:rPr>
          <w:sz w:val="20"/>
          <w:szCs w:val="20"/>
          <w:color w:val="auto"/>
        </w:rPr>
      </w:pPr>
      <w:r>
        <w:rPr>
          <w:rFonts w:ascii="Arial" w:cs="Arial" w:eastAsia="Arial" w:hAnsi="Arial"/>
          <w:sz w:val="19"/>
          <w:szCs w:val="19"/>
          <w:b w:val="1"/>
          <w:bCs w:val="1"/>
          <w:color w:val="auto"/>
        </w:rPr>
        <w:t>obtaining and maintaining an adequate price for any future commercial products, both in the United States and in foreign countries where our products are commercialized;</w:t>
      </w:r>
    </w:p>
    <w:p>
      <w:pPr>
        <w:spacing w:after="0" w:line="132" w:lineRule="exact"/>
        <w:rPr>
          <w:sz w:val="20"/>
          <w:szCs w:val="20"/>
          <w:color w:val="auto"/>
        </w:rPr>
      </w:pPr>
    </w:p>
    <w:p>
      <w:pPr>
        <w:ind w:left="1100" w:right="300"/>
        <w:spacing w:after="0" w:line="234" w:lineRule="auto"/>
        <w:rPr>
          <w:sz w:val="20"/>
          <w:szCs w:val="20"/>
          <w:color w:val="auto"/>
        </w:rPr>
      </w:pPr>
      <w:r>
        <w:rPr>
          <w:rFonts w:ascii="Arial" w:cs="Arial" w:eastAsia="Arial" w:hAnsi="Arial"/>
          <w:sz w:val="20"/>
          <w:szCs w:val="20"/>
          <w:b w:val="1"/>
          <w:bCs w:val="1"/>
          <w:color w:val="auto"/>
        </w:rPr>
        <w:t>obtaining adequate reimbursement for our product candidates and future commercial products from payors;</w:t>
      </w:r>
    </w:p>
    <w:p>
      <w:pPr>
        <w:spacing w:after="0" w:line="146" w:lineRule="exact"/>
        <w:rPr>
          <w:sz w:val="20"/>
          <w:szCs w:val="20"/>
          <w:color w:val="auto"/>
        </w:rPr>
      </w:pPr>
    </w:p>
    <w:p>
      <w:pPr>
        <w:ind w:left="1100" w:right="540"/>
        <w:spacing w:after="0" w:line="234" w:lineRule="auto"/>
        <w:rPr>
          <w:sz w:val="20"/>
          <w:szCs w:val="20"/>
          <w:color w:val="auto"/>
        </w:rPr>
      </w:pPr>
      <w:r>
        <w:rPr>
          <w:rFonts w:ascii="Arial" w:cs="Arial" w:eastAsia="Arial" w:hAnsi="Arial"/>
          <w:sz w:val="20"/>
          <w:szCs w:val="20"/>
          <w:b w:val="1"/>
          <w:bCs w:val="1"/>
          <w:color w:val="auto"/>
        </w:rPr>
        <w:t>obtaining market acceptance of our product candidates and future commercial products as viable treatment options;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addressing any competing technological and market developments;</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receiving milestones and other payments under our current and any future collaboration arrangements;</w:t>
      </w:r>
    </w:p>
    <w:p>
      <w:pPr>
        <w:spacing w:after="0" w:line="169" w:lineRule="exact"/>
        <w:rPr>
          <w:sz w:val="20"/>
          <w:szCs w:val="20"/>
          <w:color w:val="auto"/>
        </w:rPr>
      </w:pPr>
    </w:p>
    <w:p>
      <w:pPr>
        <w:ind w:left="1100" w:right="140"/>
        <w:spacing w:after="0" w:line="385" w:lineRule="auto"/>
        <w:rPr>
          <w:sz w:val="20"/>
          <w:szCs w:val="20"/>
          <w:color w:val="auto"/>
        </w:rPr>
      </w:pPr>
      <w:r>
        <w:rPr>
          <w:rFonts w:ascii="Arial" w:cs="Arial" w:eastAsia="Arial" w:hAnsi="Arial"/>
          <w:sz w:val="15"/>
          <w:szCs w:val="15"/>
          <w:b w:val="1"/>
          <w:bCs w:val="1"/>
          <w:color w:val="auto"/>
        </w:rPr>
        <w:t>addressing impacts on our clinical trials resulting from factors related to the effects of U.S. and worldwide economic conditions, including macroeconomic downturns or global recessions stemming</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9360"/>
          </w:cols>
          <w:pgMar w:left="1440" w:top="1440" w:right="1440" w:bottom="181" w:gutter="0" w:footer="0" w:header="0"/>
          <w:type w:val="continuous"/>
        </w:sectPr>
      </w:pPr>
    </w:p>
    <w:bookmarkStart w:id="38" w:name="page39"/>
    <w:bookmarkEnd w:id="38"/>
    <w:p>
      <w:pPr>
        <w:spacing w:after="0" w:line="10" w:lineRule="exact"/>
        <w:rPr>
          <w:sz w:val="20"/>
          <w:szCs w:val="20"/>
          <w:color w:val="auto"/>
        </w:rPr>
      </w:pPr>
    </w:p>
    <w:p>
      <w:pPr>
        <w:ind w:left="1100" w:right="160"/>
        <w:spacing w:after="0" w:line="254" w:lineRule="auto"/>
        <w:rPr>
          <w:sz w:val="20"/>
          <w:szCs w:val="20"/>
          <w:color w:val="auto"/>
        </w:rPr>
      </w:pPr>
      <w:r>
        <w:rPr>
          <w:rFonts w:ascii="Arial" w:cs="Arial" w:eastAsia="Arial" w:hAnsi="Arial"/>
          <w:sz w:val="19"/>
          <w:szCs w:val="19"/>
          <w:b w:val="1"/>
          <w:bCs w:val="1"/>
          <w:color w:val="auto"/>
        </w:rPr>
        <w:t>from the economic impacts of increased inflation, supply chain disruption, trade tariffs, pandemics or other public health outbreaks, and geopolitical events and conflicts;</w:t>
      </w:r>
    </w:p>
    <w:p>
      <w:pPr>
        <w:spacing w:after="0" w:line="108" w:lineRule="exact"/>
        <w:rPr>
          <w:sz w:val="20"/>
          <w:szCs w:val="20"/>
          <w:color w:val="auto"/>
        </w:rPr>
      </w:pPr>
    </w:p>
    <w:p>
      <w:pPr>
        <w:ind w:left="1100" w:right="760"/>
        <w:spacing w:after="0" w:line="234" w:lineRule="auto"/>
        <w:rPr>
          <w:sz w:val="20"/>
          <w:szCs w:val="20"/>
          <w:color w:val="auto"/>
        </w:rPr>
      </w:pPr>
      <w:r>
        <w:rPr>
          <w:rFonts w:ascii="Arial" w:cs="Arial" w:eastAsia="Arial" w:hAnsi="Arial"/>
          <w:sz w:val="20"/>
          <w:szCs w:val="20"/>
          <w:b w:val="1"/>
          <w:bCs w:val="1"/>
          <w:color w:val="auto"/>
        </w:rPr>
        <w:t>maintaining, protecting, expanding, and enforcing our portfolio of intellectual property rights, including patents, trade secrets, and know-how; and</w:t>
      </w:r>
    </w:p>
    <w:p>
      <w:pPr>
        <w:spacing w:after="0" w:line="146" w:lineRule="exact"/>
        <w:rPr>
          <w:sz w:val="20"/>
          <w:szCs w:val="20"/>
          <w:color w:val="auto"/>
        </w:rPr>
      </w:pPr>
    </w:p>
    <w:p>
      <w:pPr>
        <w:ind w:left="1100" w:right="300"/>
        <w:spacing w:after="0" w:line="236" w:lineRule="auto"/>
        <w:rPr>
          <w:sz w:val="20"/>
          <w:szCs w:val="20"/>
          <w:color w:val="auto"/>
        </w:rPr>
      </w:pPr>
      <w:r>
        <w:rPr>
          <w:rFonts w:ascii="Arial" w:cs="Arial" w:eastAsia="Arial" w:hAnsi="Arial"/>
          <w:sz w:val="20"/>
          <w:szCs w:val="20"/>
          <w:b w:val="1"/>
          <w:bCs w:val="1"/>
          <w:color w:val="auto"/>
        </w:rPr>
        <w:t>attracting, hiring, and retaining qualified personnel in the face of reductions in force, layoffs, hiring freezes, employee attrition, policy changes for foreign worker visas, or a competitive compensation environment.</w:t>
      </w:r>
    </w:p>
    <w:p>
      <w:pPr>
        <w:spacing w:after="0" w:line="155" w:lineRule="exact"/>
        <w:rPr>
          <w:sz w:val="20"/>
          <w:szCs w:val="20"/>
          <w:color w:val="auto"/>
        </w:rPr>
      </w:pPr>
    </w:p>
    <w:p>
      <w:pPr>
        <w:ind w:right="20" w:firstLine="490"/>
        <w:spacing w:after="0" w:line="329" w:lineRule="auto"/>
        <w:rPr>
          <w:sz w:val="20"/>
          <w:szCs w:val="20"/>
          <w:color w:val="auto"/>
        </w:rPr>
      </w:pPr>
      <w:r>
        <w:rPr>
          <w:rFonts w:ascii="Arial" w:cs="Arial" w:eastAsia="Arial" w:hAnsi="Arial"/>
          <w:sz w:val="15"/>
          <w:szCs w:val="15"/>
          <w:b w:val="1"/>
          <w:bCs w:val="1"/>
          <w:color w:val="auto"/>
        </w:rPr>
        <w:t>To date, clinical development of four of our product candidates has been terminated. In October 2025, we decided to stop the open label extension portion of INFRONT-3 and the continuation study of our product candidate latozinemab based on the results of the INFRONT-3 Phase 3 clinical trial evaluating the safety and efficacy of latozinemab in slowing disease progression in individuals with FTD-GRN. Latozinemab failed to meet the clinical co-primary endpoint in that trial. 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Additionally, we decided to close the Phase 1 clinical trial for our AL044 product candidate based on initial pharmacokinetics and tolerability data.</w:t>
      </w:r>
    </w:p>
    <w:p>
      <w:pPr>
        <w:spacing w:after="0" w:line="297" w:lineRule="exact"/>
        <w:rPr>
          <w:sz w:val="20"/>
          <w:szCs w:val="20"/>
          <w:color w:val="auto"/>
        </w:rPr>
      </w:pPr>
    </w:p>
    <w:p>
      <w:pPr>
        <w:ind w:right="220" w:firstLine="490"/>
        <w:spacing w:after="0" w:line="286" w:lineRule="auto"/>
        <w:rPr>
          <w:sz w:val="20"/>
          <w:szCs w:val="20"/>
          <w:color w:val="auto"/>
        </w:rPr>
      </w:pPr>
      <w:r>
        <w:rPr>
          <w:rFonts w:ascii="Arial" w:cs="Arial" w:eastAsia="Arial" w:hAnsi="Arial"/>
          <w:sz w:val="17"/>
          <w:szCs w:val="17"/>
          <w:b w:val="1"/>
          <w:bCs w:val="1"/>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current or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217"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b w:val="1"/>
          <w:bCs w:val="1"/>
          <w:color w:val="auto"/>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spacing w:after="0" w:line="135"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auto"/>
        </w:rPr>
        <w:t>Our operations have required substantial amounts of cash since inception. We expect our expenses relating to latozinemab and AL002 to decrease in the foreseeable future as a result of the discontinuation and wind-down of clinical trials for latozinemab and AL002. However, we continue to invest in research and development activities related to programs in our research and preclinical pipeline and to the advancement of those programs into clinical trials. To date, we have financed our operations primarily through the sale of equity securities and upfront payments received in connection with our collaboration arrangements with GSK, and previously, AbbVie. Developing our product candidates and conducting clinical trials for the treatment of neurodegenerative diseases, including Alzheimer’s disease, and Parkinson’s disease, will require substantial amounts of capital. Even if our clinical trials are successful, preparing for and applying for regulatory approval of our product candidates will require a significant amount of capital, and if we do not have sufficient capital, we may be unable to seek regulatory approval, or regulatory approval may be significantly delayed, in any or all desired markets. Likewise, even if our product candidates are approved, commercialization of our product candidates will require a significant amount of capital, and if we do not have sufficient capital, we may be unable to commercialize our approved products, or commercialization of such products may be significantly delayed, in any or all desired markets.</w:t>
      </w:r>
    </w:p>
    <w:p>
      <w:pPr>
        <w:spacing w:after="0" w:line="102"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As of December 31, 2025, we had cash, cash equivalents, and marketable securities of $256.0 million, which we anticipate provides runway at least through 2027. Our estimate as to how long we expect our existing cash, cash equivalents, and marketable securities to be available to fund our operations is based on assumptions that may prove to be inaccurate, and we could use our available capital resources sooner than we currently expect. In addition, changing circumstances, including periods of rising inflation, may cause us to increase our spending significantly faster than we currently anticipate, and we may need to spend more money than currently expected because of circumstances beyond our control. We may need to raise additional funds sooner than we anticipate if we choose to grow more than we presently anticipate.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9360"/>
          </w:cols>
          <w:pgMar w:left="1440" w:top="1440" w:right="1440" w:bottom="181" w:gutter="0" w:footer="0" w:header="0"/>
          <w:type w:val="continuous"/>
        </w:sectPr>
      </w:pPr>
    </w:p>
    <w:bookmarkStart w:id="39" w:name="page40"/>
    <w:bookmarkEnd w:id="39"/>
    <w:p>
      <w:pPr>
        <w:spacing w:after="0" w:line="10" w:lineRule="exact"/>
        <w:rPr>
          <w:sz w:val="20"/>
          <w:szCs w:val="20"/>
          <w:color w:val="auto"/>
        </w:rPr>
      </w:pPr>
    </w:p>
    <w:p>
      <w:pPr>
        <w:ind w:right="180" w:firstLine="490"/>
        <w:spacing w:after="0" w:line="326" w:lineRule="auto"/>
        <w:rPr>
          <w:sz w:val="20"/>
          <w:szCs w:val="20"/>
          <w:color w:val="auto"/>
        </w:rPr>
      </w:pPr>
      <w:r>
        <w:rPr>
          <w:rFonts w:ascii="Arial" w:cs="Arial" w:eastAsia="Arial" w:hAnsi="Arial"/>
          <w:sz w:val="15"/>
          <w:szCs w:val="15"/>
          <w:b w:val="1"/>
          <w:bCs w:val="1"/>
          <w:color w:val="auto"/>
        </w:rPr>
        <w:t>Global markets recently have experienced volatility and instability in connection with macroeconomic downturns stemming from tariffs and global trade uncertainties, increased inflation, supply chain disruption and economic impacts of pandemics or other public health outbreaks and geopolitical events, including the ongoing conflict between Russia and Ukraine, associated sanctions targeting Russia, and the ongoing conflict in the Middle East, among other matters. In addition, the public market for and stock prices of biotechnology companies have experienced significant downturns over the last few years. Our ability to raise money in the public markets may be severely impacted for the foreseeable future due to these factors. Additional capital may not be available when we need it, on terms acceptable to us, or at all.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303" w:lineRule="exact"/>
        <w:rPr>
          <w:sz w:val="20"/>
          <w:szCs w:val="20"/>
          <w:color w:val="auto"/>
        </w:rPr>
      </w:pPr>
    </w:p>
    <w:p>
      <w:pPr>
        <w:ind w:right="20" w:firstLine="490"/>
        <w:spacing w:after="0" w:line="286" w:lineRule="auto"/>
        <w:rPr>
          <w:sz w:val="20"/>
          <w:szCs w:val="20"/>
          <w:color w:val="auto"/>
        </w:rPr>
      </w:pPr>
      <w:r>
        <w:rPr>
          <w:rFonts w:ascii="Arial" w:cs="Arial" w:eastAsia="Arial" w:hAnsi="Arial"/>
          <w:sz w:val="17"/>
          <w:szCs w:val="17"/>
          <w:b w:val="1"/>
          <w:bCs w:val="1"/>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a common stockholder. If we raise additional funds through collaborations, strategic alliances, or licensing or other transactions, we may have to relinquish valuable rights to our technologies, future revenue streams, research programs, or product candidates, or grant licenses on terms that may not be favorable to us. Debt financing, if available, may be on unfavorable terms, including interest rates, and may involve agreements that include covenants limiting or restricting our ability to take specific actions, such as incurring additional debt, making capital expenditures, or declaring dividends.</w:t>
      </w:r>
    </w:p>
    <w:p>
      <w:pPr>
        <w:spacing w:after="0" w:line="215"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b w:val="1"/>
          <w:bCs w:val="1"/>
          <w:color w:val="auto"/>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90"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auto"/>
        </w:rPr>
        <w:t>Our product candidate, nivisnebart is in clinical development, and we continue to develop our research and preclinical pipeline, including our ABC technology platform and ABC-enabled product candidates. Together, the development of these programs and product candidates and this platform requires significant capital investment. Due to the significant resources required, we must focus our programs and product candidates on specific diseases and disease pathways and decide which product candidates to pursue and advance and the amount of resources to allocate to each. One aspect of our drug development strategy is to clinically test and seek regulatory approval for our product candidates in indications in which we believe there is the most evidence that we will be able to quickly generate proof-of-concept data. For certain product candidates, we may choose to expand clinical testing and seek regulatory approvals in other neurodegenerative indications based on genetic and mechanistic overlap with the primary indication.</w:t>
      </w:r>
    </w:p>
    <w:p>
      <w:pPr>
        <w:spacing w:after="0" w:line="108"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However, even if our product candidates are able to gain regulatory approval in one indication, there is no guarantee that we will be able to obtain approval in other indications, and we may expend significant resources in seeking such approvals. Our decisions concerning the allocation of research, development, collaboration, management, and financial resources toward particular technologies,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such events could have a material adverse effect on our business, financial condition, and results of operations. As a result, we may fail to capitalize on viable commercial products or profitable market opportunities, be required to forego or delay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Our reliance on genetics and use of biomarkers to align patient risk profiles with targeted intervention may eventually require us to develop and use companion diagnostics, which could impact product development costs and timelines depending on the specific diagnostic test and any applicable regulatory requirements that would need to be met to enable its use.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9360"/>
          </w:cols>
          <w:pgMar w:left="1440" w:top="1440" w:right="1440" w:bottom="181" w:gutter="0" w:footer="0" w:header="0"/>
          <w:type w:val="continuous"/>
        </w:sectPr>
      </w:pPr>
    </w:p>
    <w:bookmarkStart w:id="40" w:name="page41"/>
    <w:bookmarkEnd w:id="40"/>
    <w:p>
      <w:pPr>
        <w:spacing w:after="0" w:line="10"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b w:val="1"/>
          <w:bCs w:val="1"/>
          <w:color w:val="auto"/>
        </w:rPr>
        <w:t>Our Loan Agreement requires us to comply with specified operating covenants and places restrictions on our operating and financial flexibility.</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On November 14, 2024, we entered into a loan and security agreement (the Loan Agreement) with our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Alector LLC, as a co-borrower, the lenders from time to time party thereto (the Lenders), and Hercules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Inc. (Hercules), in its capacity as administrative agent and collateral agent for itself and the Lenders,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which we may access up to two tranches of term loans in an aggregate principal amount of up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$50,000,000 (the Term Loans). The Loan Agreement provides for an initial $25.0 million tranche of Term Loans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through June 30, 2026, $10.0 million of which we borrowed at closing. Our ability to borrow an additional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of $25.0 million is subject to the terms and conditions of the Loan Agreement and at the sole discretion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Lenders. As security for our obligations under the Loan Agreement, we granted the collateral agent a first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priority security interest on substantially all of our assets, subject to certain exceptions. We intend to satisfy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debt service obligations with our existing cash and cash equivalents. However, we may not have sufficient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or may be unable to arrange for additional financing to pay the amounts due under our outstanding debt.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Funds from external sources may not be available on acceptable terms, if at all.</w:t>
      </w:r>
    </w:p>
    <w:p>
      <w:pPr>
        <w:spacing w:after="0" w:line="129" w:lineRule="exact"/>
        <w:rPr>
          <w:sz w:val="20"/>
          <w:szCs w:val="20"/>
          <w:color w:val="auto"/>
        </w:rPr>
      </w:pPr>
    </w:p>
    <w:p>
      <w:pPr>
        <w:ind w:right="140" w:firstLine="554"/>
        <w:spacing w:after="0" w:line="268" w:lineRule="auto"/>
        <w:rPr>
          <w:sz w:val="20"/>
          <w:szCs w:val="20"/>
          <w:color w:val="auto"/>
        </w:rPr>
      </w:pPr>
      <w:r>
        <w:rPr>
          <w:rFonts w:ascii="Arial" w:cs="Arial" w:eastAsia="Arial" w:hAnsi="Arial"/>
          <w:sz w:val="18"/>
          <w:szCs w:val="18"/>
          <w:b w:val="1"/>
          <w:bCs w:val="1"/>
          <w:color w:val="auto"/>
        </w:rPr>
        <w:t>The Loan Agreement contains customary representations and warranties, events of default and affirmative and negative covenants, including covenants that limit or restrict our ability to, among other things, dispose of assets, enter into certain licensing arrangements, effect certain mergers, incur debt, grant liens, pay dividends or other distributions on our capital stock, make investments and acquisitions,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111" w:lineRule="exact"/>
        <w:rPr>
          <w:sz w:val="20"/>
          <w:szCs w:val="20"/>
          <w:color w:val="auto"/>
        </w:rPr>
      </w:pPr>
    </w:p>
    <w:p>
      <w:pPr>
        <w:ind w:firstLine="554"/>
        <w:spacing w:after="0" w:line="268" w:lineRule="auto"/>
        <w:rPr>
          <w:sz w:val="20"/>
          <w:szCs w:val="20"/>
          <w:color w:val="auto"/>
        </w:rPr>
      </w:pPr>
      <w:r>
        <w:rPr>
          <w:rFonts w:ascii="Arial" w:cs="Arial" w:eastAsia="Arial" w:hAnsi="Arial"/>
          <w:sz w:val="18"/>
          <w:szCs w:val="18"/>
          <w:b w:val="1"/>
          <w:bCs w:val="1"/>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the Lenders could seek to enforce security interests in the collateral securing such indebtedness. Even if we are able to repay such accelerated debt amount under the Loan Agreement, the repayment of these sums may reduce our working capital and impair our ability to operate as planned. As such, any declaration by the Lenders of an event of default could significantly harm our business and prospects and could cause the price of our common stock to decline. Further, if we are liquidated, the Lenders’ rights to repayment under the Loan Agreement would be senior to the rights of the holders of our common stock to receive any proceeds from the liquidation.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Discovery, Development, and Commercialization of Our Product Candidates</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Research and development of biopharmaceutical products is inherently risky. Our business is heavily dependent on the successful development of our product candidates, which are in various stages of preclinical and clinical development. We cannot give any assurance that any of our product candidates will receive regulatory, including marketing, approval, which is necessary before they can be commercialized.</w:t>
      </w:r>
    </w:p>
    <w:p>
      <w:pPr>
        <w:spacing w:after="0" w:line="104" w:lineRule="exact"/>
        <w:rPr>
          <w:sz w:val="20"/>
          <w:szCs w:val="20"/>
          <w:color w:val="auto"/>
        </w:rPr>
      </w:pPr>
    </w:p>
    <w:p>
      <w:pPr>
        <w:ind w:right="420" w:firstLine="490"/>
        <w:spacing w:after="0" w:line="336" w:lineRule="auto"/>
        <w:rPr>
          <w:sz w:val="20"/>
          <w:szCs w:val="20"/>
          <w:color w:val="auto"/>
        </w:rPr>
      </w:pPr>
      <w:r>
        <w:rPr>
          <w:rFonts w:ascii="Arial" w:cs="Arial" w:eastAsia="Arial" w:hAnsi="Arial"/>
          <w:sz w:val="15"/>
          <w:szCs w:val="15"/>
          <w:b w:val="1"/>
          <w:bCs w:val="1"/>
          <w:color w:val="auto"/>
        </w:rPr>
        <w:t>We are in Phase 2 for nivisnebart. To date, we have invested substantially in our efforts and financial resources to identify, procure intellectual property for, and develop our programs, product candidates, and ABC technology platform, and provide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w:t>
      </w:r>
    </w:p>
    <w:p>
      <w:pPr>
        <w:spacing w:after="0" w:line="54" w:lineRule="exact"/>
        <w:rPr>
          <w:sz w:val="20"/>
          <w:szCs w:val="20"/>
          <w:color w:val="auto"/>
        </w:rPr>
      </w:pPr>
    </w:p>
    <w:p>
      <w:pPr>
        <w:ind w:left="1100" w:right="40"/>
        <w:spacing w:after="0" w:line="236" w:lineRule="auto"/>
        <w:rPr>
          <w:sz w:val="20"/>
          <w:szCs w:val="20"/>
          <w:color w:val="auto"/>
        </w:rPr>
      </w:pPr>
      <w:r>
        <w:rPr>
          <w:rFonts w:ascii="Arial" w:cs="Arial" w:eastAsia="Arial" w:hAnsi="Arial"/>
          <w:sz w:val="20"/>
          <w:szCs w:val="20"/>
          <w:b w:val="1"/>
          <w:bCs w:val="1"/>
          <w:color w:val="auto"/>
        </w:rPr>
        <w:t>our preclinical studies or clinical trials of our product candidates may not be successfully completed or may not establish sufficient efficacy or safety to merit further clinical development or regulatory approval;</w:t>
      </w:r>
    </w:p>
    <w:p>
      <w:pPr>
        <w:spacing w:after="0" w:line="147" w:lineRule="exact"/>
        <w:rPr>
          <w:sz w:val="20"/>
          <w:szCs w:val="20"/>
          <w:color w:val="auto"/>
        </w:rPr>
      </w:pPr>
    </w:p>
    <w:p>
      <w:pPr>
        <w:ind w:left="1100" w:right="740"/>
        <w:spacing w:after="0" w:line="274" w:lineRule="auto"/>
        <w:rPr>
          <w:sz w:val="20"/>
          <w:szCs w:val="20"/>
          <w:color w:val="auto"/>
        </w:rPr>
      </w:pPr>
      <w:r>
        <w:rPr>
          <w:rFonts w:ascii="Arial" w:cs="Arial" w:eastAsia="Arial" w:hAnsi="Arial"/>
          <w:sz w:val="18"/>
          <w:szCs w:val="18"/>
          <w:b w:val="1"/>
          <w:bCs w:val="1"/>
          <w:color w:val="auto"/>
        </w:rPr>
        <w:t>a product candidate may upon further study be shown to have harmful side effects or other characteristics that indicate it is unlikely to have an acceptable safety profile or be sufficiently effective or otherwise does not meet applicable regulatory criteria;</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9360"/>
          </w:cols>
          <w:pgMar w:left="1440" w:top="1440" w:right="1440" w:bottom="181" w:gutter="0" w:footer="0" w:header="0"/>
          <w:type w:val="continuous"/>
        </w:sectPr>
      </w:pPr>
    </w:p>
    <w:bookmarkStart w:id="41" w:name="page42"/>
    <w:bookmarkEnd w:id="41"/>
    <w:p>
      <w:pPr>
        <w:spacing w:after="0" w:line="1" w:lineRule="exact"/>
        <w:rPr>
          <w:sz w:val="20"/>
          <w:szCs w:val="20"/>
          <w:color w:val="auto"/>
        </w:rPr>
      </w:pPr>
    </w:p>
    <w:p>
      <w:pPr>
        <w:ind w:left="1100" w:right="840"/>
        <w:spacing w:after="0" w:line="234" w:lineRule="auto"/>
        <w:rPr>
          <w:sz w:val="20"/>
          <w:szCs w:val="20"/>
          <w:color w:val="auto"/>
        </w:rPr>
      </w:pPr>
      <w:r>
        <w:rPr>
          <w:rFonts w:ascii="Arial" w:cs="Arial" w:eastAsia="Arial" w:hAnsi="Arial"/>
          <w:sz w:val="20"/>
          <w:szCs w:val="20"/>
          <w:b w:val="1"/>
          <w:bCs w:val="1"/>
          <w:color w:val="auto"/>
        </w:rPr>
        <w:t>our competitors may develop therapeutics that render our product candidates obsolete or less attractive;</w:t>
      </w:r>
    </w:p>
    <w:p>
      <w:pPr>
        <w:spacing w:after="0" w:line="144" w:lineRule="exact"/>
        <w:rPr>
          <w:sz w:val="20"/>
          <w:szCs w:val="20"/>
          <w:color w:val="auto"/>
        </w:rPr>
      </w:pPr>
    </w:p>
    <w:p>
      <w:pPr>
        <w:ind w:left="1100" w:right="120"/>
        <w:spacing w:after="0" w:line="236" w:lineRule="auto"/>
        <w:rPr>
          <w:sz w:val="20"/>
          <w:szCs w:val="20"/>
          <w:color w:val="auto"/>
        </w:rPr>
      </w:pPr>
      <w:r>
        <w:rPr>
          <w:rFonts w:ascii="Arial" w:cs="Arial" w:eastAsia="Arial" w:hAnsi="Arial"/>
          <w:sz w:val="20"/>
          <w:szCs w:val="20"/>
          <w:b w:val="1"/>
          <w:bCs w:val="1"/>
          <w:color w:val="auto"/>
        </w:rPr>
        <w:t>our competitors may develop and commercialize therapeutics that achieve greater market acceptance than our product candidates, including therapeutics that affect the same biological targets or pathways as our product candidates;</w:t>
      </w:r>
    </w:p>
    <w:p>
      <w:pPr>
        <w:spacing w:after="0" w:line="147" w:lineRule="exact"/>
        <w:rPr>
          <w:sz w:val="20"/>
          <w:szCs w:val="20"/>
          <w:color w:val="auto"/>
        </w:rPr>
      </w:pPr>
    </w:p>
    <w:p>
      <w:pPr>
        <w:ind w:left="1100" w:right="360"/>
        <w:spacing w:after="0" w:line="234" w:lineRule="auto"/>
        <w:rPr>
          <w:sz w:val="20"/>
          <w:szCs w:val="20"/>
          <w:color w:val="auto"/>
        </w:rPr>
      </w:pPr>
      <w:r>
        <w:rPr>
          <w:rFonts w:ascii="Arial" w:cs="Arial" w:eastAsia="Arial" w:hAnsi="Arial"/>
          <w:sz w:val="20"/>
          <w:szCs w:val="20"/>
          <w:b w:val="1"/>
          <w:bCs w:val="1"/>
          <w:color w:val="auto"/>
        </w:rPr>
        <w:t>the product candidates that we develop may not be sufficiently covered by intellectual property for which we hold exclusive rights;</w:t>
      </w:r>
    </w:p>
    <w:p>
      <w:pPr>
        <w:spacing w:after="0" w:line="146" w:lineRule="exact"/>
        <w:rPr>
          <w:sz w:val="20"/>
          <w:szCs w:val="20"/>
          <w:color w:val="auto"/>
        </w:rPr>
      </w:pPr>
    </w:p>
    <w:p>
      <w:pPr>
        <w:ind w:left="1100" w:right="280"/>
        <w:spacing w:after="0" w:line="233" w:lineRule="auto"/>
        <w:rPr>
          <w:sz w:val="20"/>
          <w:szCs w:val="20"/>
          <w:color w:val="auto"/>
        </w:rPr>
      </w:pPr>
      <w:r>
        <w:rPr>
          <w:rFonts w:ascii="Arial" w:cs="Arial" w:eastAsia="Arial" w:hAnsi="Arial"/>
          <w:sz w:val="20"/>
          <w:szCs w:val="20"/>
          <w:b w:val="1"/>
          <w:bCs w:val="1"/>
          <w:color w:val="auto"/>
        </w:rPr>
        <w:t>the product candidates that we develop may be covered by third parties’ patents or other intellectual property or exclusive rights;</w:t>
      </w:r>
    </w:p>
    <w:p>
      <w:pPr>
        <w:spacing w:after="0" w:line="146" w:lineRule="exact"/>
        <w:rPr>
          <w:sz w:val="20"/>
          <w:szCs w:val="20"/>
          <w:color w:val="auto"/>
        </w:rPr>
      </w:pPr>
    </w:p>
    <w:p>
      <w:pPr>
        <w:ind w:left="1100" w:right="480"/>
        <w:spacing w:after="0" w:line="254" w:lineRule="auto"/>
        <w:rPr>
          <w:sz w:val="20"/>
          <w:szCs w:val="20"/>
          <w:color w:val="auto"/>
        </w:rPr>
      </w:pPr>
      <w:r>
        <w:rPr>
          <w:rFonts w:ascii="Arial" w:cs="Arial" w:eastAsia="Arial" w:hAnsi="Arial"/>
          <w:sz w:val="19"/>
          <w:szCs w:val="19"/>
          <w:b w:val="1"/>
          <w:bCs w:val="1"/>
          <w:color w:val="auto"/>
        </w:rPr>
        <w:t>the market for a product candidate may change so that the continued development of that product candidate is no longer reasonable or commercially attractive;</w:t>
      </w:r>
    </w:p>
    <w:p>
      <w:pPr>
        <w:spacing w:after="0" w:line="132" w:lineRule="exact"/>
        <w:rPr>
          <w:sz w:val="20"/>
          <w:szCs w:val="20"/>
          <w:color w:val="auto"/>
        </w:rPr>
      </w:pPr>
    </w:p>
    <w:p>
      <w:pPr>
        <w:ind w:left="1100" w:right="180"/>
        <w:spacing w:after="0" w:line="234" w:lineRule="auto"/>
        <w:rPr>
          <w:sz w:val="20"/>
          <w:szCs w:val="20"/>
          <w:color w:val="auto"/>
        </w:rPr>
      </w:pPr>
      <w:r>
        <w:rPr>
          <w:rFonts w:ascii="Arial" w:cs="Arial" w:eastAsia="Arial" w:hAnsi="Arial"/>
          <w:sz w:val="20"/>
          <w:szCs w:val="20"/>
          <w:b w:val="1"/>
          <w:bCs w:val="1"/>
          <w:color w:val="auto"/>
        </w:rPr>
        <w:t>a product candidate may not be capable of being produced in sufficient quantities for development or commercialization at an acceptable cost, or at all;</w:t>
      </w:r>
    </w:p>
    <w:p>
      <w:pPr>
        <w:spacing w:after="0" w:line="146" w:lineRule="exact"/>
        <w:rPr>
          <w:sz w:val="20"/>
          <w:szCs w:val="20"/>
          <w:color w:val="auto"/>
        </w:rPr>
      </w:pPr>
    </w:p>
    <w:p>
      <w:pPr>
        <w:jc w:val="right"/>
        <w:ind w:left="1100" w:right="140"/>
        <w:spacing w:after="0" w:line="382" w:lineRule="auto"/>
        <w:rPr>
          <w:sz w:val="20"/>
          <w:szCs w:val="20"/>
          <w:color w:val="auto"/>
        </w:rPr>
      </w:pPr>
      <w:r>
        <w:rPr>
          <w:rFonts w:ascii="Arial" w:cs="Arial" w:eastAsia="Arial" w:hAnsi="Arial"/>
          <w:sz w:val="15"/>
          <w:szCs w:val="15"/>
          <w:b w:val="1"/>
          <w:bCs w:val="1"/>
          <w:color w:val="auto"/>
        </w:rPr>
        <w:t>if a product candidate obtains regulatory approval, we may be unable to establish sales and marketing capabilities, or successfully market such approved product candidate, to gain market acceptance; and</w:t>
      </w:r>
    </w:p>
    <w:p>
      <w:pPr>
        <w:spacing w:after="0" w:line="43"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a product candidate may not be accepted as safe and effective by patients, the medical community, or third-party payors, if applicable.</w:t>
      </w:r>
    </w:p>
    <w:p>
      <w:pPr>
        <w:spacing w:after="0" w:line="155" w:lineRule="exact"/>
        <w:rPr>
          <w:sz w:val="20"/>
          <w:szCs w:val="20"/>
          <w:color w:val="auto"/>
        </w:rPr>
      </w:pPr>
    </w:p>
    <w:p>
      <w:pPr>
        <w:ind w:right="20" w:firstLine="490"/>
        <w:spacing w:after="0" w:line="386" w:lineRule="auto"/>
        <w:rPr>
          <w:sz w:val="20"/>
          <w:szCs w:val="20"/>
          <w:color w:val="auto"/>
        </w:rPr>
      </w:pPr>
      <w:r>
        <w:rPr>
          <w:rFonts w:ascii="Arial" w:cs="Arial" w:eastAsia="Arial" w:hAnsi="Arial"/>
          <w:sz w:val="15"/>
          <w:szCs w:val="15"/>
          <w:b w:val="1"/>
          <w:bCs w:val="1"/>
          <w:color w:val="auto"/>
        </w:rPr>
        <w:t>If any of these events occur, we may be forced to abandon our development efforts for a program or programs, which would have a material adverse effect on our business and could potentially cause us to cease operations.</w:t>
      </w:r>
    </w:p>
    <w:p>
      <w:pPr>
        <w:spacing w:after="0" w:line="26"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We may not be successful in our efforts to further develop our current product candidates. For example, clinical trials of our product candidates may not demonstrate their safety or efficacy, e.g., the trials may not meet their primary endpoints or otherwise demonstrate evidence of clinical benefit, or interim analyses of our clinical trials may result in a decision to terminate such trials due to failure of our product candidates to meet certain criteria. We are not permitted to market or promote any of our product candidates before we receive regulatory approval from the FDA or comparable foreign regulatory authorities, and we may never receive such regulatory approval for any of our product candidates. We have product candidates in development, and all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32"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We cannot be certain that any of our product candidates will be successful in this or any other future clinical trials. Our current or future clinical trials of our product candidates may not demonstrate their safety or efficacy, either in the indications currently being tested or in any other indications, or either as single agent therapies or in combination with other therapeutics. For example, we were developing our product candidate latozinemab with GSK to treat patients with FTD-GRN. Latozinemab was an investigational human monoclonal antibody (mAb) designed to block and internalize the sortilin receptor (SORT1) to elevate PGRN levels in the brain. In October 2025, we decided to stop the open label extension portion of the Phase 3 study and the continuation study of latozinemab based on the results of the INFRONT-3 Phase 3 clinical trial evaluating the safety and efficacy of latozinemab in slowing disease progression. Latozinemab failed to meet the clinical co-primary endpoint in that trial. Our product candidate nivisnebart, which is being tested in the PROGRESS-AD Phase 2 clinical trial, is an investigational human mAb designed to block and downregulate SORT1 to elevate the level of PGRN in the brain in a manner that is similar to latozinemab, but with different pharmacokinetic and pharmacodynamic properties. An independent interim futility analysis is planned for PROGRESS-AD for the first half of 2026.</w:t>
      </w:r>
    </w:p>
    <w:p>
      <w:pPr>
        <w:spacing w:after="0" w:line="101" w:lineRule="exact"/>
        <w:rPr>
          <w:sz w:val="20"/>
          <w:szCs w:val="20"/>
          <w:color w:val="auto"/>
        </w:rPr>
      </w:pPr>
    </w:p>
    <w:p>
      <w:pPr>
        <w:ind w:right="320" w:firstLine="490"/>
        <w:spacing w:after="0" w:line="290" w:lineRule="auto"/>
        <w:rPr>
          <w:sz w:val="20"/>
          <w:szCs w:val="20"/>
          <w:color w:val="auto"/>
        </w:rPr>
      </w:pPr>
      <w:r>
        <w:rPr>
          <w:rFonts w:ascii="Arial" w:cs="Arial" w:eastAsia="Arial" w:hAnsi="Arial"/>
          <w:sz w:val="17"/>
          <w:szCs w:val="17"/>
          <w:b w:val="1"/>
          <w:bCs w:val="1"/>
          <w:color w:val="auto"/>
        </w:rPr>
        <w:t>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In the future, GSK or any other collaboration partner may decide to terminate a collaboration program based on, among other things, our clinical trial data.</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w:t>
      </w:r>
    </w:p>
    <w:p>
      <w:pPr>
        <w:sectPr>
          <w:pgSz w:w="12240" w:h="15840" w:orient="portrait"/>
          <w:cols w:equalWidth="0" w:num="1">
            <w:col w:w="9360"/>
          </w:cols>
          <w:pgMar w:left="1440" w:top="1440" w:right="1440" w:bottom="181" w:gutter="0" w:footer="0" w:header="0"/>
          <w:type w:val="continuous"/>
        </w:sectPr>
      </w:pPr>
    </w:p>
    <w:bookmarkStart w:id="42" w:name="page43"/>
    <w:bookmarkEnd w:id="42"/>
    <w:p>
      <w:pPr>
        <w:spacing w:after="0" w:line="10" w:lineRule="exact"/>
        <w:rPr>
          <w:sz w:val="20"/>
          <w:szCs w:val="20"/>
          <w:color w:val="auto"/>
        </w:rPr>
      </w:pPr>
    </w:p>
    <w:p>
      <w:pPr>
        <w:jc w:val="both"/>
        <w:ind w:right="40" w:firstLine="490"/>
        <w:spacing w:after="0" w:line="252" w:lineRule="auto"/>
        <w:rPr>
          <w:sz w:val="20"/>
          <w:szCs w:val="20"/>
          <w:color w:val="auto"/>
        </w:rPr>
      </w:pPr>
      <w:r>
        <w:rPr>
          <w:rFonts w:ascii="Arial" w:cs="Arial" w:eastAsia="Arial" w:hAnsi="Arial"/>
          <w:sz w:val="19"/>
          <w:szCs w:val="19"/>
          <w:b w:val="1"/>
          <w:bCs w:val="1"/>
          <w:color w:val="auto"/>
        </w:rPr>
        <w:t>For any product candidates that have advanced into clinical trials, we may terminate such trials or the clinical program prior to their completion. For example, we decided to close the Phase 1 clinical trial for our AL044 product candidate based on initial pharmacokinetics and tolerability data.</w:t>
      </w:r>
    </w:p>
    <w:p>
      <w:pPr>
        <w:spacing w:after="0" w:line="121" w:lineRule="exact"/>
        <w:rPr>
          <w:sz w:val="20"/>
          <w:szCs w:val="20"/>
          <w:color w:val="auto"/>
        </w:rPr>
      </w:pPr>
    </w:p>
    <w:p>
      <w:pPr>
        <w:ind w:right="80" w:firstLine="490"/>
        <w:spacing w:after="0" w:line="284" w:lineRule="auto"/>
        <w:rPr>
          <w:sz w:val="20"/>
          <w:szCs w:val="20"/>
          <w:color w:val="auto"/>
        </w:rPr>
      </w:pPr>
      <w:r>
        <w:rPr>
          <w:rFonts w:ascii="Arial" w:cs="Arial" w:eastAsia="Arial" w:hAnsi="Arial"/>
          <w:sz w:val="17"/>
          <w:szCs w:val="17"/>
          <w:b w:val="1"/>
          <w:bCs w:val="1"/>
          <w:color w:val="auto"/>
        </w:rPr>
        <w:t>If any of our product candidates successfully complete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and we may encounter difficulties or delays in doing so, even if such product candidate successfully completed clinical trials. We may never receive regulatory approval, or we may not receive approval in the desired timeframe,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countries regarding safety, efficacy,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or do so within the timeframe we desire. Even if we (or our collaborators or partners) are successful in obtaining approval in one jurisdiction, we cannot ensure that we will obtain approval in any other jurisdiction. If we are unable to obtain approval for our product candidates in multiple jurisdictions, our business, financial condition, results of operations, and our growth prospects could be negatively affected.</w:t>
      </w:r>
    </w:p>
    <w:p>
      <w:pPr>
        <w:spacing w:after="0" w:line="101" w:lineRule="exact"/>
        <w:rPr>
          <w:sz w:val="20"/>
          <w:szCs w:val="20"/>
          <w:color w:val="auto"/>
        </w:rPr>
      </w:pPr>
    </w:p>
    <w:p>
      <w:pPr>
        <w:ind w:right="180" w:firstLine="490"/>
        <w:spacing w:after="0" w:line="236" w:lineRule="auto"/>
        <w:rPr>
          <w:sz w:val="20"/>
          <w:szCs w:val="20"/>
          <w:color w:val="auto"/>
        </w:rPr>
      </w:pPr>
      <w:r>
        <w:rPr>
          <w:rFonts w:ascii="Arial" w:cs="Arial" w:eastAsia="Arial" w:hAnsi="Arial"/>
          <w:sz w:val="20"/>
          <w:szCs w:val="20"/>
          <w:b w:val="1"/>
          <w:bCs w:val="1"/>
          <w:color w:val="auto"/>
        </w:rPr>
        <w:t>Even if we receive regulatory approval to market any of our product candidates, whether for the treatment of neurodegenerative diseases or other diseases, we cannot be assured that any such product candidate will be successfully commercialized, widely accepted in the marketplace, or more effective than other commercially available alternatives.</w:t>
      </w:r>
    </w:p>
    <w:p>
      <w:pPr>
        <w:spacing w:after="0" w:line="135" w:lineRule="exact"/>
        <w:rPr>
          <w:sz w:val="20"/>
          <w:szCs w:val="20"/>
          <w:color w:val="auto"/>
        </w:rPr>
      </w:pPr>
    </w:p>
    <w:p>
      <w:pPr>
        <w:ind w:firstLine="490"/>
        <w:spacing w:after="0" w:line="237" w:lineRule="auto"/>
        <w:rPr>
          <w:sz w:val="20"/>
          <w:szCs w:val="20"/>
          <w:color w:val="auto"/>
        </w:rPr>
      </w:pPr>
      <w:r>
        <w:rPr>
          <w:rFonts w:ascii="Arial" w:cs="Arial" w:eastAsia="Arial" w:hAnsi="Arial"/>
          <w:sz w:val="20"/>
          <w:szCs w:val="20"/>
          <w:b w:val="1"/>
          <w:bCs w:val="1"/>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54"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We may not be successful in our efforts to continue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p>
    <w:p>
      <w:pPr>
        <w:spacing w:after="0" w:line="131"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One of our strategies is to identify and pursue clinical development of additional product candidates. Identifying, developing, obtaining regulatory approval for, and commercializing additional product candidates for the treatment of neurodegenerative and other diseases will require substantial additional funding and are prone to the risks of failure inherent in drug development. We cannot provide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w:t>
      </w:r>
    </w:p>
    <w:p>
      <w:pPr>
        <w:spacing w:after="0" w:line="111" w:lineRule="exact"/>
        <w:rPr>
          <w:sz w:val="20"/>
          <w:szCs w:val="20"/>
          <w:color w:val="auto"/>
        </w:rPr>
      </w:pPr>
    </w:p>
    <w:p>
      <w:pPr>
        <w:ind w:right="80" w:firstLine="490"/>
        <w:spacing w:after="0" w:line="341" w:lineRule="auto"/>
        <w:rPr>
          <w:sz w:val="20"/>
          <w:szCs w:val="20"/>
          <w:color w:val="auto"/>
        </w:rPr>
      </w:pPr>
      <w:r>
        <w:rPr>
          <w:rFonts w:ascii="Arial" w:cs="Arial" w:eastAsia="Arial" w:hAnsi="Arial"/>
          <w:sz w:val="15"/>
          <w:szCs w:val="15"/>
          <w:b w:val="1"/>
          <w:bCs w:val="1"/>
          <w:color w:val="auto"/>
        </w:rPr>
        <w:t>For example, we are developing our proprietary BBB technology platform (Alector Brain Carrier, or ABC) to support selected product candidates. The goal of our technology is to deliver therapeutic candidates at a lower dose and provide deeper blood-brain barrier penetration while optimizing efficacy, safety and cost. If we are unable to successfully develop and apply our ABC technology as intended, our future pipeline opportunities may be reduced.</w:t>
      </w:r>
    </w:p>
    <w:p>
      <w:pPr>
        <w:spacing w:after="0" w:line="59" w:lineRule="exact"/>
        <w:rPr>
          <w:sz w:val="20"/>
          <w:szCs w:val="20"/>
          <w:color w:val="auto"/>
        </w:rPr>
      </w:pPr>
    </w:p>
    <w:p>
      <w:pPr>
        <w:ind w:right="60" w:firstLine="490"/>
        <w:spacing w:after="0" w:line="330" w:lineRule="auto"/>
        <w:rPr>
          <w:sz w:val="20"/>
          <w:szCs w:val="20"/>
          <w:color w:val="auto"/>
        </w:rPr>
      </w:pPr>
      <w:r>
        <w:rPr>
          <w:rFonts w:ascii="Arial" w:cs="Arial" w:eastAsia="Arial" w:hAnsi="Arial"/>
          <w:sz w:val="15"/>
          <w:szCs w:val="15"/>
          <w:b w:val="1"/>
          <w:bCs w:val="1"/>
          <w:color w:val="auto"/>
        </w:rPr>
        <w:t>We also seek to develop product candidates incorporating our ABC technology in our preclinical and research pipeline for a range of neurodegenerative diseases. For example, we are currently pursuing AL137 (and a back-up candidate), our brain-penetrant anti-amyloid beta antibody in AD; AL050, our brain-penetrant GCase enzyme replacement therapy, in Parkinson’s disease; and AL064, our brain-penetrant tau siRNA, in AD, all of which are enabled by ABC using a TfR-based transport mechanism. Those product candidates have complex structures and multiple functional elements, relative to the standard antibody candidates that have previously been our main focus. Therefore, those product candidates may pose additional challenges, including with respect to their manufacture and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9360"/>
          </w:cols>
          <w:pgMar w:left="1440" w:top="1440" w:right="1440" w:bottom="181" w:gutter="0" w:footer="0" w:header="0"/>
          <w:type w:val="continuous"/>
        </w:sectPr>
      </w:pPr>
    </w:p>
    <w:bookmarkStart w:id="43" w:name="page44"/>
    <w:bookmarkEnd w:id="43"/>
    <w:p>
      <w:pPr>
        <w:spacing w:after="0" w:line="10" w:lineRule="exact"/>
        <w:rPr>
          <w:sz w:val="20"/>
          <w:szCs w:val="20"/>
          <w:color w:val="auto"/>
        </w:rPr>
      </w:pPr>
    </w:p>
    <w:p>
      <w:pPr>
        <w:ind w:right="460"/>
        <w:spacing w:after="0" w:line="234" w:lineRule="auto"/>
        <w:rPr>
          <w:sz w:val="20"/>
          <w:szCs w:val="20"/>
          <w:color w:val="auto"/>
        </w:rPr>
      </w:pPr>
      <w:r>
        <w:rPr>
          <w:rFonts w:ascii="Arial" w:cs="Arial" w:eastAsia="Arial" w:hAnsi="Arial"/>
          <w:sz w:val="20"/>
          <w:szCs w:val="20"/>
          <w:b w:val="1"/>
          <w:bCs w:val="1"/>
          <w:color w:val="auto"/>
        </w:rPr>
        <w:t>their ability to function as intended. If we are unable to advance those programs or other preclinical or research candidates, our future pipeline opportunities may be reduced.</w:t>
      </w:r>
    </w:p>
    <w:p>
      <w:pPr>
        <w:spacing w:after="0" w:line="250"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We may not be successful in our efforts to obtain approval for additional or expanded indications for any product candidates that receive approval for a given indication.</w:t>
      </w:r>
    </w:p>
    <w:p>
      <w:pPr>
        <w:spacing w:after="0" w:line="132"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Our drug development strategy includes clinically testing and seeking regulatory approval for our product candidates in indications in which we believe we can quickly generate proof-of-concept data. For certain product candidates, we may choose to expand clinical testing and seek regulatory approvals in other neurodegenerative indications based on genetic and mechanistic overlap with the initial indication. Conducting clinical trials for additional indications for our product candidates requires substantial technical, financial, and human capital resources and is prone to the risks of failure inherent in drug development. We cannot provide any assurance that we will be successful in our effort to obtain regulatory approval for our product candidates for additional indications even if we obtain approval for an initial indication.</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We have concentrated a substantial portion of our research and development efforts on the treatment of neurodegenerative diseases, a field that has seen limited success in drug development. Further, our product candidates are based on innovative approaches and technologies to address the complex mechanisms underlying neurodegeneration, which makes it difficult to predict the time and cost of product candidate development and to subsequently obtain regulatory approval.</w:t>
      </w:r>
    </w:p>
    <w:p>
      <w:pPr>
        <w:spacing w:after="0" w:line="123"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We are focusing our research and development efforts on addressing neurodegenerative diseases. Collectively, efforts by biopharmaceutical companies in the field of neurodegenerative diseases have seen limited success in drug development. There are currently limited approved therapeutic options available for patients with Alzheimer’s disease, Parkinson’s disease, and other neurodegenerative diseases. Recently approved therapies for the treatment of Alzheimer’s disease target a specific pathology (amyloid plaques). Our future success is highly dependent on the successful development of our product candidates for treating neurodegenerative diseases. Developing product candidates and, if approved, commercializing our products for treatment of neurodegenerative diseases subject us to a number of challenges, including obtaining disease modifying activity and efficacious dosing and obtaining regulatory approval from the FDA and other regulatory authorities who have only a limited set of precedents to rely on.</w:t>
      </w:r>
    </w:p>
    <w:p>
      <w:pPr>
        <w:spacing w:after="0" w:line="108" w:lineRule="exact"/>
        <w:rPr>
          <w:sz w:val="20"/>
          <w:szCs w:val="20"/>
          <w:color w:val="auto"/>
        </w:rPr>
      </w:pPr>
    </w:p>
    <w:p>
      <w:pPr>
        <w:ind w:right="80" w:firstLine="490"/>
        <w:spacing w:after="0" w:line="284" w:lineRule="auto"/>
        <w:rPr>
          <w:sz w:val="20"/>
          <w:szCs w:val="20"/>
          <w:color w:val="auto"/>
        </w:rPr>
      </w:pPr>
      <w:r>
        <w:rPr>
          <w:rFonts w:ascii="Arial" w:cs="Arial" w:eastAsia="Arial" w:hAnsi="Arial"/>
          <w:sz w:val="17"/>
          <w:szCs w:val="17"/>
          <w:b w:val="1"/>
          <w:bCs w:val="1"/>
          <w:color w:val="auto"/>
        </w:rPr>
        <w:t>Our approach to developing treatments for neurodegenerative diseases is based on understanding the complex mechanisms underlying neurodegeneration, including the roles of misfolded proteins, deficient proteins, and dysfunctional immune cells and neurons. Our approach further leverages our understanding of the genetic associations with disease. Through this approach, our product candidates seek to remove toxic proteins, replace critical deficient proteins, and restore immune and nerve cells to normal function. One aspect of this approach is to identify and select targets enriched in microglia and other myeloid immune cells which are genetically associated with neurodegenerative diseases. We identify and develop product candidates, including candidates that utilize our ABC technology, that are designed to cross the blood-brain barrier in sufficient quantity and potency to enable efficacious delivery to the brain and engage the intended target. We seek to identify and develop biomarkers and biomarker assays that can accurately identify signs of a disease or condition, assist us in selecting the right patient population, demonstrate target and pathway engagement, and measure the impact on disease progression of our product candidates. This strategy may not prove to be successful. We cannot be sure that our approach will yield satisfactory therapeutic products that are safe and effective, scalable, or profitable.</w:t>
      </w:r>
    </w:p>
    <w:p>
      <w:pPr>
        <w:spacing w:after="0" w:line="223"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We may encounter substantial delays in our clinical trials or may not be able to conduct or complete our clinical trials on the timelines we expect, if at all.</w:t>
      </w:r>
    </w:p>
    <w:p>
      <w:pPr>
        <w:spacing w:after="0" w:line="132"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Clinical testing is expensive, time consuming, and subject to uncertainty. We cannot guarantee that any clinical trials will be conducted as planned or completed on schedule, if at all. We cannot be sure that submission of an IND or a clinical trial application (CTA) will result in the FDA or EMA, as applicable, allowing clinical trials to begin in a timely manner, if at all. Moreover, even if these trials begin, issues may arise that could suspend or terminate such clinical trials. A failure of one or more clinical trials can occur at any stage of testing, and any of our current or future clinical trials may not be successful. Events that may prevent successful or timely initiation or completion of clinical trials include: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42</w:t>
      </w:r>
    </w:p>
    <w:p>
      <w:pPr>
        <w:sectPr>
          <w:pgSz w:w="12240" w:h="15840" w:orient="portrait"/>
          <w:cols w:equalWidth="0" w:num="1">
            <w:col w:w="9360"/>
          </w:cols>
          <w:pgMar w:left="1440" w:top="1440" w:right="1440" w:bottom="181" w:gutter="0" w:footer="0" w:header="0"/>
          <w:type w:val="continuous"/>
        </w:sectPr>
      </w:pPr>
    </w:p>
    <w:bookmarkStart w:id="44" w:name="page45"/>
    <w:bookmarkEnd w:id="44"/>
    <w:p>
      <w:pPr>
        <w:spacing w:after="0" w:line="1" w:lineRule="exact"/>
        <w:rPr>
          <w:sz w:val="20"/>
          <w:szCs w:val="20"/>
          <w:color w:val="auto"/>
        </w:rPr>
      </w:pPr>
    </w:p>
    <w:p>
      <w:pPr>
        <w:ind w:left="1100" w:right="280"/>
        <w:spacing w:after="0" w:line="254" w:lineRule="auto"/>
        <w:rPr>
          <w:sz w:val="20"/>
          <w:szCs w:val="20"/>
          <w:color w:val="auto"/>
        </w:rPr>
      </w:pPr>
      <w:r>
        <w:rPr>
          <w:rFonts w:ascii="Arial" w:cs="Arial" w:eastAsia="Arial" w:hAnsi="Arial"/>
          <w:sz w:val="19"/>
          <w:szCs w:val="19"/>
          <w:b w:val="1"/>
          <w:bCs w:val="1"/>
          <w:color w:val="auto"/>
        </w:rPr>
        <w:t>inability to generate sufficient preclinical, toxicology, or other in vivo or in vitro data to support the submission of an IND or initiation or continuation of clinical trials;</w:t>
      </w:r>
    </w:p>
    <w:p>
      <w:pPr>
        <w:spacing w:after="0" w:line="130" w:lineRule="exact"/>
        <w:rPr>
          <w:sz w:val="20"/>
          <w:szCs w:val="20"/>
          <w:color w:val="auto"/>
        </w:rPr>
      </w:pPr>
    </w:p>
    <w:p>
      <w:pPr>
        <w:ind w:left="1100" w:right="20"/>
        <w:spacing w:after="0" w:line="234" w:lineRule="auto"/>
        <w:rPr>
          <w:sz w:val="20"/>
          <w:szCs w:val="20"/>
          <w:color w:val="auto"/>
        </w:rPr>
      </w:pPr>
      <w:r>
        <w:rPr>
          <w:rFonts w:ascii="Arial" w:cs="Arial" w:eastAsia="Arial" w:hAnsi="Arial"/>
          <w:sz w:val="20"/>
          <w:szCs w:val="20"/>
          <w:b w:val="1"/>
          <w:bCs w:val="1"/>
          <w:color w:val="auto"/>
        </w:rPr>
        <w:t>delays in confirming target engagement, patient selection, or other relevant biomarkers to be utilized in preclinical and clinical product candidate development;</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delays in reaching a consensus with regulatory agencies on study design;</w:t>
      </w:r>
    </w:p>
    <w:p>
      <w:pPr>
        <w:spacing w:after="0" w:line="145" w:lineRule="exact"/>
        <w:rPr>
          <w:sz w:val="20"/>
          <w:szCs w:val="20"/>
          <w:color w:val="auto"/>
        </w:rPr>
      </w:pPr>
    </w:p>
    <w:p>
      <w:pPr>
        <w:ind w:left="1100" w:right="280"/>
        <w:spacing w:after="0" w:line="236" w:lineRule="auto"/>
        <w:rPr>
          <w:sz w:val="20"/>
          <w:szCs w:val="20"/>
          <w:color w:val="auto"/>
        </w:rPr>
      </w:pPr>
      <w:r>
        <w:rPr>
          <w:rFonts w:ascii="Arial" w:cs="Arial" w:eastAsia="Arial" w:hAnsi="Arial"/>
          <w:sz w:val="20"/>
          <w:szCs w:val="20"/>
          <w:b w:val="1"/>
          <w:bCs w:val="1"/>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144" w:lineRule="exact"/>
        <w:rPr>
          <w:sz w:val="20"/>
          <w:szCs w:val="20"/>
          <w:color w:val="auto"/>
        </w:rPr>
      </w:pPr>
    </w:p>
    <w:p>
      <w:pPr>
        <w:ind w:left="1100" w:right="2240"/>
        <w:spacing w:after="0" w:line="507" w:lineRule="auto"/>
        <w:rPr>
          <w:sz w:val="20"/>
          <w:szCs w:val="20"/>
          <w:color w:val="auto"/>
        </w:rPr>
      </w:pPr>
      <w:r>
        <w:rPr>
          <w:rFonts w:ascii="Arial" w:cs="Arial" w:eastAsia="Arial" w:hAnsi="Arial"/>
          <w:sz w:val="15"/>
          <w:szCs w:val="15"/>
          <w:b w:val="1"/>
          <w:bCs w:val="1"/>
          <w:color w:val="auto"/>
        </w:rPr>
        <w:t>delays in identifying, recruiting, and training suitable clinical investigators; delays in obtaining required IRB/EC approval at each clinical trial site;</w:t>
      </w:r>
    </w:p>
    <w:p>
      <w:pPr>
        <w:ind w:left="1100" w:right="140"/>
        <w:spacing w:after="0" w:line="253" w:lineRule="auto"/>
        <w:rPr>
          <w:sz w:val="20"/>
          <w:szCs w:val="20"/>
          <w:color w:val="auto"/>
        </w:rPr>
      </w:pPr>
      <w:r>
        <w:rPr>
          <w:rFonts w:ascii="Arial" w:cs="Arial" w:eastAsia="Arial" w:hAnsi="Arial"/>
          <w:sz w:val="19"/>
          <w:szCs w:val="19"/>
          <w:b w:val="1"/>
          <w:bCs w:val="1"/>
          <w:color w:val="auto"/>
        </w:rPr>
        <w:t>imposition of delays to clinical trials, including as a result of temporary or permanent clinical hold by regulatory agencies for any number of reasons (see for example our discussions of ARIA and other risks described in this “Risk Factors” section), including:</w:t>
      </w:r>
    </w:p>
    <w:p>
      <w:pPr>
        <w:spacing w:after="0" w:line="134" w:lineRule="exact"/>
        <w:rPr>
          <w:sz w:val="20"/>
          <w:szCs w:val="20"/>
          <w:color w:val="auto"/>
        </w:rPr>
      </w:pPr>
    </w:p>
    <w:p>
      <w:pPr>
        <w:ind w:left="1580" w:right="740"/>
        <w:spacing w:after="0" w:line="233" w:lineRule="auto"/>
        <w:rPr>
          <w:sz w:val="20"/>
          <w:szCs w:val="20"/>
          <w:color w:val="auto"/>
        </w:rPr>
      </w:pPr>
      <w:r>
        <w:rPr>
          <w:rFonts w:ascii="Arial" w:cs="Arial" w:eastAsia="Arial" w:hAnsi="Arial"/>
          <w:sz w:val="20"/>
          <w:szCs w:val="20"/>
          <w:b w:val="1"/>
          <w:bCs w:val="1"/>
          <w:color w:val="auto"/>
        </w:rPr>
        <w:t>after review of an IND or amendment, CTA or amendment, or equivalent application or amendment;</w:t>
      </w:r>
    </w:p>
    <w:p>
      <w:pPr>
        <w:spacing w:after="0" w:line="146" w:lineRule="exact"/>
        <w:rPr>
          <w:sz w:val="20"/>
          <w:szCs w:val="20"/>
          <w:color w:val="auto"/>
        </w:rPr>
      </w:pPr>
    </w:p>
    <w:p>
      <w:pPr>
        <w:ind w:left="1580" w:right="320"/>
        <w:spacing w:after="0" w:line="447" w:lineRule="auto"/>
        <w:rPr>
          <w:sz w:val="20"/>
          <w:szCs w:val="20"/>
          <w:color w:val="auto"/>
        </w:rPr>
      </w:pPr>
      <w:r>
        <w:rPr>
          <w:rFonts w:ascii="Arial" w:cs="Arial" w:eastAsia="Arial" w:hAnsi="Arial"/>
          <w:sz w:val="17"/>
          <w:szCs w:val="17"/>
          <w:b w:val="1"/>
          <w:bCs w:val="1"/>
          <w:color w:val="auto"/>
        </w:rPr>
        <w:t>as a result of a new safety finding that presents unreasonable risk to clinical trial participants; as a result of modifications to clinical trial protocols or related documentation;</w:t>
      </w:r>
    </w:p>
    <w:p>
      <w:pPr>
        <w:ind w:left="1220"/>
        <w:spacing w:after="0"/>
        <w:rPr>
          <w:sz w:val="20"/>
          <w:szCs w:val="20"/>
          <w:color w:val="auto"/>
        </w:rPr>
      </w:pPr>
      <w:r>
        <w:rPr>
          <w:rFonts w:ascii="Arial" w:cs="Arial" w:eastAsia="Arial" w:hAnsi="Arial"/>
          <w:sz w:val="20"/>
          <w:szCs w:val="20"/>
          <w:b w:val="1"/>
          <w:bCs w:val="1"/>
          <w:color w:val="auto"/>
        </w:rPr>
        <w:t>a negative finding from an inspection of our clinical trial operations or study sites; or</w:t>
      </w:r>
    </w:p>
    <w:p>
      <w:pPr>
        <w:spacing w:after="0" w:line="145" w:lineRule="exact"/>
        <w:rPr>
          <w:sz w:val="20"/>
          <w:szCs w:val="20"/>
          <w:color w:val="auto"/>
        </w:rPr>
      </w:pPr>
    </w:p>
    <w:p>
      <w:pPr>
        <w:ind w:left="1580" w:right="780"/>
        <w:spacing w:after="0" w:line="234" w:lineRule="auto"/>
        <w:rPr>
          <w:sz w:val="20"/>
          <w:szCs w:val="20"/>
          <w:color w:val="auto"/>
        </w:rPr>
      </w:pPr>
      <w:r>
        <w:rPr>
          <w:rFonts w:ascii="Arial" w:cs="Arial" w:eastAsia="Arial" w:hAnsi="Arial"/>
          <w:sz w:val="20"/>
          <w:szCs w:val="20"/>
          <w:b w:val="1"/>
          <w:bCs w:val="1"/>
          <w:color w:val="auto"/>
        </w:rPr>
        <w:t>the finding that the investigational protocol or plan is clearly deficient to meet its stated objectives;</w:t>
      </w:r>
    </w:p>
    <w:p>
      <w:pPr>
        <w:spacing w:after="0" w:line="144" w:lineRule="exact"/>
        <w:rPr>
          <w:sz w:val="20"/>
          <w:szCs w:val="20"/>
          <w:color w:val="auto"/>
        </w:rPr>
      </w:pPr>
    </w:p>
    <w:p>
      <w:pPr>
        <w:ind w:left="1100" w:right="140"/>
        <w:spacing w:after="0" w:line="236" w:lineRule="auto"/>
        <w:rPr>
          <w:sz w:val="20"/>
          <w:szCs w:val="20"/>
          <w:color w:val="auto"/>
        </w:rPr>
      </w:pPr>
      <w:r>
        <w:rPr>
          <w:rFonts w:ascii="Arial" w:cs="Arial" w:eastAsia="Arial" w:hAnsi="Arial"/>
          <w:sz w:val="20"/>
          <w:szCs w:val="20"/>
          <w:b w:val="1"/>
          <w:bCs w:val="1"/>
          <w:color w:val="auto"/>
        </w:rPr>
        <w:t>delays in identifying, recruiting, and enrolling suitable patients to participate in our clinical trials, and delays caused by patients withdrawing from clinical trials, or failing to return for post-treatment follow-up;</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difficulty collaborating with patient groups and investigators;</w:t>
      </w:r>
    </w:p>
    <w:p>
      <w:pPr>
        <w:spacing w:after="0" w:line="145" w:lineRule="exact"/>
        <w:rPr>
          <w:sz w:val="20"/>
          <w:szCs w:val="20"/>
          <w:color w:val="auto"/>
        </w:rPr>
      </w:pPr>
    </w:p>
    <w:p>
      <w:pPr>
        <w:ind w:left="1100" w:right="1020"/>
        <w:spacing w:after="0" w:line="234" w:lineRule="auto"/>
        <w:rPr>
          <w:sz w:val="20"/>
          <w:szCs w:val="20"/>
          <w:color w:val="auto"/>
        </w:rPr>
      </w:pPr>
      <w:r>
        <w:rPr>
          <w:rFonts w:ascii="Arial" w:cs="Arial" w:eastAsia="Arial" w:hAnsi="Arial"/>
          <w:sz w:val="20"/>
          <w:szCs w:val="20"/>
          <w:b w:val="1"/>
          <w:bCs w:val="1"/>
          <w:color w:val="auto"/>
        </w:rPr>
        <w:t>failure by our CROs, other third parties, or us to adhere to clinical trial protocols and other requirements;</w:t>
      </w:r>
    </w:p>
    <w:p>
      <w:pPr>
        <w:spacing w:after="0" w:line="144" w:lineRule="exact"/>
        <w:rPr>
          <w:sz w:val="20"/>
          <w:szCs w:val="20"/>
          <w:color w:val="auto"/>
        </w:rPr>
      </w:pPr>
    </w:p>
    <w:p>
      <w:pPr>
        <w:ind w:left="1100" w:right="360"/>
        <w:spacing w:after="0" w:line="236" w:lineRule="auto"/>
        <w:rPr>
          <w:sz w:val="20"/>
          <w:szCs w:val="20"/>
          <w:color w:val="auto"/>
        </w:rPr>
      </w:pPr>
      <w:r>
        <w:rPr>
          <w:rFonts w:ascii="Arial" w:cs="Arial" w:eastAsia="Arial" w:hAnsi="Arial"/>
          <w:sz w:val="20"/>
          <w:szCs w:val="20"/>
          <w:b w:val="1"/>
          <w:bCs w:val="1"/>
          <w:color w:val="auto"/>
        </w:rPr>
        <w:t>failure to perform in accordance with the FDA’s or any other regulatory authority’s current good clinical practices (cGCPs) requirements, or applicable EMA or other regulatory guidelines in other countries;</w:t>
      </w:r>
    </w:p>
    <w:p>
      <w:pPr>
        <w:spacing w:after="0" w:line="147" w:lineRule="exact"/>
        <w:rPr>
          <w:sz w:val="20"/>
          <w:szCs w:val="20"/>
          <w:color w:val="auto"/>
        </w:rPr>
      </w:pPr>
    </w:p>
    <w:p>
      <w:pPr>
        <w:ind w:left="1100" w:right="380"/>
        <w:spacing w:after="0" w:line="234" w:lineRule="auto"/>
        <w:rPr>
          <w:sz w:val="20"/>
          <w:szCs w:val="20"/>
          <w:color w:val="auto"/>
        </w:rPr>
      </w:pPr>
      <w:r>
        <w:rPr>
          <w:rFonts w:ascii="Arial" w:cs="Arial" w:eastAsia="Arial" w:hAnsi="Arial"/>
          <w:sz w:val="20"/>
          <w:szCs w:val="20"/>
          <w:b w:val="1"/>
          <w:bCs w:val="1"/>
          <w:color w:val="auto"/>
        </w:rPr>
        <w:t>occurrence of adverse events associated with the product candidate that are viewed to outweigh its potential benefits;</w:t>
      </w:r>
    </w:p>
    <w:p>
      <w:pPr>
        <w:spacing w:after="0" w:line="146" w:lineRule="exact"/>
        <w:rPr>
          <w:sz w:val="20"/>
          <w:szCs w:val="20"/>
          <w:color w:val="auto"/>
        </w:rPr>
      </w:pPr>
    </w:p>
    <w:p>
      <w:pPr>
        <w:ind w:left="1100" w:right="380"/>
        <w:spacing w:after="0" w:line="233" w:lineRule="auto"/>
        <w:rPr>
          <w:sz w:val="20"/>
          <w:szCs w:val="20"/>
          <w:color w:val="auto"/>
        </w:rPr>
      </w:pPr>
      <w:r>
        <w:rPr>
          <w:rFonts w:ascii="Arial" w:cs="Arial" w:eastAsia="Arial" w:hAnsi="Arial"/>
          <w:sz w:val="20"/>
          <w:szCs w:val="20"/>
          <w:b w:val="1"/>
          <w:bCs w:val="1"/>
          <w:color w:val="auto"/>
        </w:rPr>
        <w:t>changes in regulatory requirements and guidance that require amending or submitting new clinical protocols;</w:t>
      </w:r>
    </w:p>
    <w:p>
      <w:pPr>
        <w:spacing w:after="0" w:line="146" w:lineRule="exact"/>
        <w:rPr>
          <w:sz w:val="20"/>
          <w:szCs w:val="20"/>
          <w:color w:val="auto"/>
        </w:rPr>
      </w:pPr>
    </w:p>
    <w:p>
      <w:pPr>
        <w:ind w:left="1100" w:right="280"/>
        <w:spacing w:after="0" w:line="234" w:lineRule="auto"/>
        <w:rPr>
          <w:sz w:val="20"/>
          <w:szCs w:val="20"/>
          <w:color w:val="auto"/>
        </w:rPr>
      </w:pPr>
      <w:r>
        <w:rPr>
          <w:rFonts w:ascii="Arial" w:cs="Arial" w:eastAsia="Arial" w:hAnsi="Arial"/>
          <w:sz w:val="20"/>
          <w:szCs w:val="20"/>
          <w:b w:val="1"/>
          <w:bCs w:val="1"/>
          <w:color w:val="auto"/>
        </w:rPr>
        <w:t>changes in the standard of care on which a clinical development plan was based, which may require new or additional trials;</w:t>
      </w:r>
    </w:p>
    <w:p>
      <w:pPr>
        <w:spacing w:after="0" w:line="146" w:lineRule="exact"/>
        <w:rPr>
          <w:sz w:val="20"/>
          <w:szCs w:val="20"/>
          <w:color w:val="auto"/>
        </w:rPr>
      </w:pPr>
    </w:p>
    <w:p>
      <w:pPr>
        <w:ind w:left="1100" w:right="340"/>
        <w:spacing w:after="0" w:line="254" w:lineRule="auto"/>
        <w:rPr>
          <w:sz w:val="20"/>
          <w:szCs w:val="20"/>
          <w:color w:val="auto"/>
        </w:rPr>
      </w:pPr>
      <w:r>
        <w:rPr>
          <w:rFonts w:ascii="Arial" w:cs="Arial" w:eastAsia="Arial" w:hAnsi="Arial"/>
          <w:sz w:val="19"/>
          <w:szCs w:val="19"/>
          <w:b w:val="1"/>
          <w:bCs w:val="1"/>
          <w:color w:val="auto"/>
        </w:rPr>
        <w:t>the cost of clinical trials of our product candidates being greater than we anticipate, including costs associated with tariffs or other import or export restrictions;</w:t>
      </w:r>
    </w:p>
    <w:p>
      <w:pPr>
        <w:spacing w:after="0" w:line="132" w:lineRule="exact"/>
        <w:rPr>
          <w:sz w:val="20"/>
          <w:szCs w:val="20"/>
          <w:color w:val="auto"/>
        </w:rPr>
      </w:pPr>
    </w:p>
    <w:p>
      <w:pPr>
        <w:ind w:left="1100" w:right="140"/>
        <w:spacing w:after="0" w:line="233" w:lineRule="auto"/>
        <w:rPr>
          <w:sz w:val="20"/>
          <w:szCs w:val="20"/>
          <w:color w:val="auto"/>
        </w:rPr>
      </w:pPr>
      <w:r>
        <w:rPr>
          <w:rFonts w:ascii="Arial" w:cs="Arial" w:eastAsia="Arial" w:hAnsi="Arial"/>
          <w:sz w:val="20"/>
          <w:szCs w:val="20"/>
          <w:b w:val="1"/>
          <w:bCs w:val="1"/>
          <w:color w:val="auto"/>
        </w:rPr>
        <w:t>delays in correspondence from, reviews by, or other interactions with the FDA or regulatory agencies in other countries;</w:t>
      </w:r>
    </w:p>
    <w:p>
      <w:pPr>
        <w:spacing w:after="0" w:line="146" w:lineRule="exact"/>
        <w:rPr>
          <w:sz w:val="20"/>
          <w:szCs w:val="20"/>
          <w:color w:val="auto"/>
        </w:rPr>
      </w:pPr>
    </w:p>
    <w:p>
      <w:pPr>
        <w:ind w:left="1100" w:right="20"/>
        <w:spacing w:after="0" w:line="236" w:lineRule="auto"/>
        <w:rPr>
          <w:sz w:val="20"/>
          <w:szCs w:val="20"/>
          <w:color w:val="auto"/>
        </w:rPr>
      </w:pPr>
      <w:r>
        <w:rPr>
          <w:rFonts w:ascii="Arial" w:cs="Arial" w:eastAsia="Arial" w:hAnsi="Arial"/>
          <w:sz w:val="20"/>
          <w:szCs w:val="20"/>
          <w:b w:val="1"/>
          <w:bCs w:val="1"/>
          <w:color w:val="auto"/>
        </w:rPr>
        <w:t>clinical trials of our product candidates producing negative or inconclusive results, which may result in our deciding, or regulators requiring us, to conduct additional clinical trials or abandon product development programs;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9360"/>
          </w:cols>
          <w:pgMar w:left="1440" w:top="1440" w:right="1440" w:bottom="181" w:gutter="0" w:footer="0" w:header="0"/>
          <w:type w:val="continuous"/>
        </w:sectPr>
      </w:pPr>
    </w:p>
    <w:bookmarkStart w:id="45" w:name="page46"/>
    <w:bookmarkEnd w:id="45"/>
    <w:p>
      <w:pPr>
        <w:spacing w:after="0" w:line="1"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interim analyses of clinical trials that result in a decision to terminate those trials due to failure of our product candidates to meet certain criteria; and</w:t>
      </w:r>
    </w:p>
    <w:p>
      <w:pPr>
        <w:spacing w:after="0" w:line="144" w:lineRule="exact"/>
        <w:rPr>
          <w:sz w:val="20"/>
          <w:szCs w:val="20"/>
          <w:color w:val="auto"/>
        </w:rPr>
      </w:pPr>
    </w:p>
    <w:p>
      <w:pPr>
        <w:ind w:left="1100" w:right="100"/>
        <w:spacing w:after="0" w:line="386" w:lineRule="auto"/>
        <w:rPr>
          <w:sz w:val="20"/>
          <w:szCs w:val="20"/>
          <w:color w:val="auto"/>
        </w:rPr>
      </w:pPr>
      <w:r>
        <w:rPr>
          <w:rFonts w:ascii="Arial" w:cs="Arial" w:eastAsia="Arial" w:hAnsi="Arial"/>
          <w:sz w:val="15"/>
          <w:szCs w:val="15"/>
          <w:b w:val="1"/>
          <w:bCs w:val="1"/>
          <w:color w:val="auto"/>
        </w:rPr>
        <w:t>delays in manufacturing, testing, releasing, validating, or importing/exporting sufficient stable quantities of our product candidates for use in clinical trials or the inability to do any of the foregoing.</w:t>
      </w:r>
    </w:p>
    <w:p>
      <w:pPr>
        <w:spacing w:after="0" w:line="49" w:lineRule="exact"/>
        <w:rPr>
          <w:sz w:val="20"/>
          <w:szCs w:val="20"/>
          <w:color w:val="auto"/>
        </w:rPr>
      </w:pPr>
    </w:p>
    <w:p>
      <w:pPr>
        <w:ind w:right="100" w:firstLine="490"/>
        <w:spacing w:after="0" w:line="269" w:lineRule="auto"/>
        <w:rPr>
          <w:sz w:val="20"/>
          <w:szCs w:val="20"/>
          <w:color w:val="auto"/>
        </w:rPr>
      </w:pPr>
      <w:r>
        <w:rPr>
          <w:rFonts w:ascii="Arial" w:cs="Arial" w:eastAsia="Arial" w:hAnsi="Arial"/>
          <w:sz w:val="18"/>
          <w:szCs w:val="18"/>
          <w:b w:val="1"/>
          <w:bCs w:val="1"/>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or sooner than anticipated, which could impair our ability to successfully commercialize our product candidates and may harm our business and results of operations.</w:t>
      </w:r>
    </w:p>
    <w:p>
      <w:pPr>
        <w:spacing w:after="0" w:line="106" w:lineRule="exact"/>
        <w:rPr>
          <w:sz w:val="20"/>
          <w:szCs w:val="20"/>
          <w:color w:val="auto"/>
        </w:rPr>
      </w:pPr>
    </w:p>
    <w:p>
      <w:pPr>
        <w:ind w:right="220" w:firstLine="490"/>
        <w:spacing w:after="0" w:line="284" w:lineRule="auto"/>
        <w:rPr>
          <w:sz w:val="20"/>
          <w:szCs w:val="20"/>
          <w:color w:val="auto"/>
        </w:rPr>
      </w:pPr>
      <w:r>
        <w:rPr>
          <w:rFonts w:ascii="Arial" w:cs="Arial" w:eastAsia="Arial" w:hAnsi="Arial"/>
          <w:sz w:val="17"/>
          <w:szCs w:val="17"/>
          <w:b w:val="1"/>
          <w:bCs w:val="1"/>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decreases in regulatory agency funding, staffing, or operations, lack of adequate funding to continue the clinical trial, and impacts of worldwide economic conditions, including trade tariffs, public health outbreaks and geopolitical events. Should the FDA or other government agency issue additional guidance that mandates material changes to our clinical trials, e.g., in response to a pandemic or other public health outbreak, the costs of such clinical trials may increase.</w:t>
      </w:r>
    </w:p>
    <w:p>
      <w:pPr>
        <w:spacing w:after="0" w:line="103" w:lineRule="exact"/>
        <w:rPr>
          <w:sz w:val="20"/>
          <w:szCs w:val="20"/>
          <w:color w:val="auto"/>
        </w:rPr>
      </w:pPr>
    </w:p>
    <w:p>
      <w:pPr>
        <w:ind w:right="80" w:firstLine="490"/>
        <w:spacing w:after="0" w:line="237" w:lineRule="auto"/>
        <w:rPr>
          <w:sz w:val="20"/>
          <w:szCs w:val="20"/>
          <w:color w:val="auto"/>
        </w:rPr>
      </w:pPr>
      <w:r>
        <w:rPr>
          <w:rFonts w:ascii="Arial" w:cs="Arial" w:eastAsia="Arial" w:hAnsi="Arial"/>
          <w:sz w:val="20"/>
          <w:szCs w:val="20"/>
          <w:b w:val="1"/>
          <w:bCs w:val="1"/>
          <w:color w:val="auto"/>
        </w:rPr>
        <w:t>We may in the future advance product candidates into clinical trials and terminate such trials prior to their completion, which could adversely affect our business. Further, FDA’s policy to release in “real time” newly issued Complete Response Letters associated with withdrawn or abandoned applications for approval of drug or biological products, if applicable to any of our product candidates, could materially impact our competitive advantage and intellectual property.</w:t>
      </w:r>
    </w:p>
    <w:p>
      <w:pPr>
        <w:spacing w:after="0" w:line="134" w:lineRule="exact"/>
        <w:rPr>
          <w:sz w:val="20"/>
          <w:szCs w:val="20"/>
          <w:color w:val="auto"/>
        </w:rPr>
      </w:pPr>
    </w:p>
    <w:p>
      <w:pPr>
        <w:ind w:right="80" w:firstLine="490"/>
        <w:spacing w:after="0" w:line="237" w:lineRule="auto"/>
        <w:rPr>
          <w:sz w:val="20"/>
          <w:szCs w:val="20"/>
          <w:color w:val="auto"/>
        </w:rPr>
      </w:pPr>
      <w:r>
        <w:rPr>
          <w:rFonts w:ascii="Arial" w:cs="Arial" w:eastAsia="Arial" w:hAnsi="Arial"/>
          <w:sz w:val="20"/>
          <w:szCs w:val="20"/>
          <w:b w:val="1"/>
          <w:bCs w:val="1"/>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54"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We may encounter difficulties enrolling patients in our clinical trials, and our clinical development activities could thereby be delayed or otherwise adversely affected.</w:t>
      </w:r>
    </w:p>
    <w:p>
      <w:pPr>
        <w:spacing w:after="0" w:line="132" w:lineRule="exact"/>
        <w:rPr>
          <w:sz w:val="20"/>
          <w:szCs w:val="20"/>
          <w:color w:val="auto"/>
        </w:rPr>
      </w:pPr>
    </w:p>
    <w:p>
      <w:pPr>
        <w:ind w:firstLine="490"/>
        <w:spacing w:after="0" w:line="273" w:lineRule="auto"/>
        <w:rPr>
          <w:sz w:val="20"/>
          <w:szCs w:val="20"/>
          <w:color w:val="auto"/>
        </w:rPr>
      </w:pPr>
      <w:r>
        <w:rPr>
          <w:rFonts w:ascii="Arial" w:cs="Arial" w:eastAsia="Arial" w:hAnsi="Arial"/>
          <w:sz w:val="18"/>
          <w:szCs w:val="18"/>
          <w:b w:val="1"/>
          <w:bCs w:val="1"/>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other clinical trials for a variety of reasons, including:</w:t>
      </w:r>
    </w:p>
    <w:p>
      <w:pPr>
        <w:spacing w:after="0" w:line="8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size and nature of the patient population;</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the patient eligibility criteria defined in the protocol, including biomarker-driven identification and/or</w:t>
      </w:r>
    </w:p>
    <w:p>
      <w:pPr>
        <w:spacing w:after="0" w:line="46" w:lineRule="exact"/>
        <w:rPr>
          <w:sz w:val="20"/>
          <w:szCs w:val="20"/>
          <w:color w:val="auto"/>
        </w:rPr>
      </w:pPr>
    </w:p>
    <w:p>
      <w:pPr>
        <w:ind w:left="1100" w:right="80"/>
        <w:spacing w:after="0" w:line="274" w:lineRule="auto"/>
        <w:rPr>
          <w:sz w:val="20"/>
          <w:szCs w:val="20"/>
          <w:color w:val="auto"/>
        </w:rPr>
      </w:pPr>
      <w:r>
        <w:rPr>
          <w:rFonts w:ascii="Arial" w:cs="Arial" w:eastAsia="Arial" w:hAnsi="Arial"/>
          <w:sz w:val="18"/>
          <w:szCs w:val="18"/>
          <w:b w:val="1"/>
          <w:bCs w:val="1"/>
          <w:color w:val="auto"/>
        </w:rPr>
        <w:t>certain highly 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91" w:lineRule="exact"/>
        <w:rPr>
          <w:sz w:val="20"/>
          <w:szCs w:val="20"/>
          <w:color w:val="auto"/>
        </w:rPr>
      </w:pPr>
    </w:p>
    <w:p>
      <w:pPr>
        <w:ind w:left="1100" w:right="1480"/>
        <w:spacing w:after="0" w:line="369" w:lineRule="auto"/>
        <w:rPr>
          <w:sz w:val="20"/>
          <w:szCs w:val="20"/>
          <w:color w:val="auto"/>
        </w:rPr>
      </w:pPr>
      <w:r>
        <w:rPr>
          <w:rFonts w:ascii="Arial" w:cs="Arial" w:eastAsia="Arial" w:hAnsi="Arial"/>
          <w:sz w:val="20"/>
          <w:szCs w:val="20"/>
          <w:b w:val="1"/>
          <w:bCs w:val="1"/>
          <w:color w:val="auto"/>
        </w:rPr>
        <w:t>the size of the study population required for analysis of the trial’s primary endpoints; the proximity of patients to a trial site;</w:t>
      </w:r>
    </w:p>
    <w:p>
      <w:pPr>
        <w:spacing w:after="0" w:line="1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design of the trial;</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our ability to recruit clinical trial investigators with the appropriate competencies and experience;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44</w:t>
      </w:r>
    </w:p>
    <w:p>
      <w:pPr>
        <w:sectPr>
          <w:pgSz w:w="12240" w:h="15840" w:orient="portrait"/>
          <w:cols w:equalWidth="0" w:num="1">
            <w:col w:w="9360"/>
          </w:cols>
          <w:pgMar w:left="1440" w:top="1440" w:right="1440" w:bottom="181" w:gutter="0" w:footer="0" w:header="0"/>
          <w:type w:val="continuous"/>
        </w:sectPr>
      </w:pPr>
    </w:p>
    <w:bookmarkStart w:id="46" w:name="page47"/>
    <w:bookmarkEnd w:id="46"/>
    <w:p>
      <w:pPr>
        <w:spacing w:after="0" w:line="1" w:lineRule="exact"/>
        <w:rPr>
          <w:sz w:val="20"/>
          <w:szCs w:val="20"/>
          <w:color w:val="auto"/>
        </w:rPr>
      </w:pPr>
    </w:p>
    <w:p>
      <w:pPr>
        <w:ind w:left="1100" w:right="180"/>
        <w:spacing w:after="0" w:line="281" w:lineRule="auto"/>
        <w:rPr>
          <w:sz w:val="20"/>
          <w:szCs w:val="20"/>
          <w:color w:val="auto"/>
        </w:rPr>
      </w:pPr>
      <w:r>
        <w:rPr>
          <w:rFonts w:ascii="Arial" w:cs="Arial" w:eastAsia="Arial" w:hAnsi="Arial"/>
          <w:sz w:val="18"/>
          <w:szCs w:val="18"/>
          <w:b w:val="1"/>
          <w:bCs w:val="1"/>
          <w:color w:val="auto"/>
        </w:rPr>
        <w:t>delays in enrolling patients in our clinical trials caused by worldwide economic conditions, including pandemics or other public health outbreaks and other geopolitical events;</w:t>
      </w:r>
    </w:p>
    <w:p>
      <w:pPr>
        <w:spacing w:after="0" w:line="108" w:lineRule="exact"/>
        <w:rPr>
          <w:sz w:val="20"/>
          <w:szCs w:val="20"/>
          <w:color w:val="auto"/>
        </w:rPr>
      </w:pPr>
    </w:p>
    <w:p>
      <w:pPr>
        <w:ind w:left="1100" w:right="520"/>
        <w:spacing w:after="0" w:line="234" w:lineRule="auto"/>
        <w:rPr>
          <w:sz w:val="20"/>
          <w:szCs w:val="20"/>
          <w:color w:val="auto"/>
        </w:rPr>
      </w:pPr>
      <w:r>
        <w:rPr>
          <w:rFonts w:ascii="Arial" w:cs="Arial" w:eastAsia="Arial" w:hAnsi="Arial"/>
          <w:sz w:val="20"/>
          <w:szCs w:val="20"/>
          <w:b w:val="1"/>
          <w:bCs w:val="1"/>
          <w:color w:val="auto"/>
        </w:rPr>
        <w:t>competing clinical trials for similar therapies or targeting patient populations meeting our patient eligibility criteria;</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availability of approved products that target the patient populations that we are seeking to enroll;</w:t>
      </w:r>
    </w:p>
    <w:p>
      <w:pPr>
        <w:spacing w:after="0" w:line="157" w:lineRule="exact"/>
        <w:rPr>
          <w:sz w:val="20"/>
          <w:szCs w:val="20"/>
          <w:color w:val="auto"/>
        </w:rPr>
      </w:pPr>
    </w:p>
    <w:p>
      <w:pPr>
        <w:ind w:left="1100" w:right="720"/>
        <w:spacing w:after="0" w:line="386" w:lineRule="auto"/>
        <w:rPr>
          <w:sz w:val="20"/>
          <w:szCs w:val="20"/>
          <w:color w:val="auto"/>
        </w:rPr>
      </w:pPr>
      <w:r>
        <w:rPr>
          <w:rFonts w:ascii="Arial" w:cs="Arial" w:eastAsia="Arial" w:hAnsi="Arial"/>
          <w:sz w:val="15"/>
          <w:szCs w:val="15"/>
          <w:b w:val="1"/>
          <w:bCs w:val="1"/>
          <w:color w:val="auto"/>
        </w:rPr>
        <w:t>clinicians’ and patients’ perceptions of the potential advantages and side effects of the product candidate being studied in relation to other available therapies and product candidates;</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our ability to obtain and maintain patient consents; and</w:t>
      </w:r>
    </w:p>
    <w:p>
      <w:pPr>
        <w:spacing w:after="0" w:line="142"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the risk that patients enrolled in clinical trials will not complete such trials or that we may not be able to collect data from such patients for any reason.</w:t>
      </w:r>
    </w:p>
    <w:p>
      <w:pPr>
        <w:spacing w:after="0" w:line="155" w:lineRule="exact"/>
        <w:rPr>
          <w:sz w:val="20"/>
          <w:szCs w:val="20"/>
          <w:color w:val="auto"/>
        </w:rPr>
      </w:pPr>
    </w:p>
    <w:p>
      <w:pPr>
        <w:ind w:right="180" w:firstLine="490"/>
        <w:spacing w:after="0" w:line="252" w:lineRule="auto"/>
        <w:rPr>
          <w:sz w:val="20"/>
          <w:szCs w:val="20"/>
          <w:color w:val="auto"/>
        </w:rPr>
      </w:pPr>
      <w:r>
        <w:rPr>
          <w:rFonts w:ascii="Arial" w:cs="Arial" w:eastAsia="Arial" w:hAnsi="Arial"/>
          <w:sz w:val="19"/>
          <w:szCs w:val="19"/>
          <w:b w:val="1"/>
          <w:bCs w:val="1"/>
          <w:color w:val="auto"/>
        </w:rPr>
        <w:t>We or our partners may encounter difficulties or delays in enrollment of our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our or our partners’ ability to enroll participants in clinical trials for Alzheimer’s disease may be hampered if potential participants choose to instead avail themselves of approved therapies.</w:t>
      </w:r>
    </w:p>
    <w:p>
      <w:pPr>
        <w:spacing w:after="0" w:line="243" w:lineRule="exact"/>
        <w:rPr>
          <w:sz w:val="20"/>
          <w:szCs w:val="20"/>
          <w:color w:val="auto"/>
        </w:rPr>
      </w:pPr>
    </w:p>
    <w:p>
      <w:pPr>
        <w:ind w:right="500"/>
        <w:spacing w:after="0" w:line="253" w:lineRule="auto"/>
        <w:rPr>
          <w:sz w:val="20"/>
          <w:szCs w:val="20"/>
          <w:color w:val="auto"/>
        </w:rPr>
      </w:pPr>
      <w:r>
        <w:rPr>
          <w:rFonts w:ascii="Arial" w:cs="Arial" w:eastAsia="Arial" w:hAnsi="Arial"/>
          <w:sz w:val="19"/>
          <w:szCs w:val="19"/>
          <w:b w:val="1"/>
          <w:bCs w:val="1"/>
          <w:color w:val="auto"/>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spacing w:after="0" w:line="120" w:lineRule="exact"/>
        <w:rPr>
          <w:sz w:val="20"/>
          <w:szCs w:val="20"/>
          <w:color w:val="auto"/>
        </w:rPr>
      </w:pPr>
    </w:p>
    <w:p>
      <w:pPr>
        <w:ind w:firstLine="490"/>
        <w:spacing w:after="0" w:line="288" w:lineRule="auto"/>
        <w:rPr>
          <w:sz w:val="20"/>
          <w:szCs w:val="20"/>
          <w:color w:val="auto"/>
        </w:rPr>
      </w:pPr>
      <w:r>
        <w:rPr>
          <w:rFonts w:ascii="Arial" w:cs="Arial" w:eastAsia="Arial" w:hAnsi="Arial"/>
          <w:sz w:val="17"/>
          <w:szCs w:val="17"/>
          <w:b w:val="1"/>
          <w:bCs w:val="1"/>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sufficiently safe, pure, and potent for use in their target indications. Each product candidate must demonstrate an adequate risk versus benefit profile in its intended patient population and for its intended use.</w:t>
      </w:r>
    </w:p>
    <w:p>
      <w:pPr>
        <w:spacing w:after="0" w:line="93" w:lineRule="exact"/>
        <w:rPr>
          <w:sz w:val="20"/>
          <w:szCs w:val="20"/>
          <w:color w:val="auto"/>
        </w:rPr>
      </w:pPr>
    </w:p>
    <w:p>
      <w:pPr>
        <w:ind w:right="100" w:firstLine="490"/>
        <w:spacing w:after="0" w:line="327" w:lineRule="auto"/>
        <w:rPr>
          <w:sz w:val="20"/>
          <w:szCs w:val="20"/>
          <w:color w:val="auto"/>
        </w:rPr>
      </w:pPr>
      <w:r>
        <w:rPr>
          <w:rFonts w:ascii="Arial" w:cs="Arial" w:eastAsia="Arial" w:hAnsi="Arial"/>
          <w:sz w:val="15"/>
          <w:szCs w:val="15"/>
          <w:b w:val="1"/>
          <w:bCs w:val="1"/>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early-stage clinical trials of our product candidates may not be predictive of the results of later-stage clinical trials. The results of clinical trials in healthy volunteers or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 elements, and the rate of dropout among clinical trial participants. Open-label or long-term extension studies may also extend the timing and cost of a clinical program substantially.</w:t>
      </w:r>
    </w:p>
    <w:p>
      <w:pPr>
        <w:spacing w:after="0" w:line="69" w:lineRule="exact"/>
        <w:rPr>
          <w:sz w:val="20"/>
          <w:szCs w:val="20"/>
          <w:color w:val="auto"/>
        </w:rPr>
      </w:pPr>
    </w:p>
    <w:p>
      <w:pPr>
        <w:ind w:right="60" w:firstLine="490"/>
        <w:spacing w:after="0" w:line="328" w:lineRule="auto"/>
        <w:rPr>
          <w:sz w:val="20"/>
          <w:szCs w:val="20"/>
          <w:color w:val="auto"/>
        </w:rPr>
      </w:pPr>
      <w:r>
        <w:rPr>
          <w:rFonts w:ascii="Arial" w:cs="Arial" w:eastAsia="Arial" w:hAnsi="Arial"/>
          <w:sz w:val="15"/>
          <w:szCs w:val="15"/>
          <w:b w:val="1"/>
          <w:bCs w:val="1"/>
          <w:color w:val="auto"/>
        </w:rPr>
        <w:t>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 For example, in October 2025, because latozinemab did not meet the clinical co-primary endpoint in the INFRONT-3 Phase 3 clinical trial, we decided to stop the open label portion of that trial and the continuation study for latozinemab. In November 2024, we decided to stop the long term extension study of our product candidate AL002 after results from the INVOKE-2 Phase 2 clinical trial showed that AL002 failed to meet the primary endpoint.</w:t>
      </w:r>
    </w:p>
    <w:p>
      <w:pPr>
        <w:spacing w:after="0" w:line="298" w:lineRule="exact"/>
        <w:rPr>
          <w:sz w:val="20"/>
          <w:szCs w:val="20"/>
          <w:color w:val="auto"/>
        </w:rPr>
      </w:pPr>
    </w:p>
    <w:p>
      <w:pPr>
        <w:ind w:right="100" w:firstLine="490"/>
        <w:spacing w:after="0" w:line="292" w:lineRule="auto"/>
        <w:rPr>
          <w:sz w:val="20"/>
          <w:szCs w:val="20"/>
          <w:color w:val="auto"/>
        </w:rPr>
      </w:pPr>
      <w:r>
        <w:rPr>
          <w:rFonts w:ascii="Arial" w:cs="Arial" w:eastAsia="Arial" w:hAnsi="Arial"/>
          <w:sz w:val="17"/>
          <w:szCs w:val="17"/>
          <w:b w:val="1"/>
          <w:bCs w:val="1"/>
          <w:color w:val="auto"/>
        </w:rPr>
        <w:t>In addition, in our INVOKE-2 Phase 2 clinical trial in Alzheimer’s disease, treatment-emergent MRI findings resembling ARIA were observed. ARIA are MRI findings that may include vasogenic edema, sulcal effusions, microhemorrhages and/or superficial siderosis. To mitigate the associated risks, we stopped enrolling patients that were most at risk and implemented additional monitoring procedures, and the trial continued to completion.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9360"/>
          </w:cols>
          <w:pgMar w:left="1440" w:top="1440" w:right="1440" w:bottom="181" w:gutter="0" w:footer="0" w:header="0"/>
          <w:type w:val="continuous"/>
        </w:sectPr>
      </w:pPr>
    </w:p>
    <w:bookmarkStart w:id="47" w:name="page48"/>
    <w:bookmarkEnd w:id="47"/>
    <w:p>
      <w:pPr>
        <w:spacing w:after="0" w:line="10"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auto"/>
        </w:rPr>
        <w:t>We have limited experience in designing clinical trials and may be unable to design and execute a clinical trial that generates data sufficient to support continued clinical development or marketing approval of any of our product candidates. We cannot be certain that any of our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08"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In addition, even if any of our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candidates, which may also limit its commercial potential. Further, even if regulatory approval is secured for any of our product candidates, we cannot be assured that a federal court will not modify, invalidate, or revoke such approval.</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We face significant competition in an environment of rapid technological and scientific change. Some competitors have achieved, and there is a possibility that other competitors will achieve, regulatory approval before us. Our competitors’ therapies may be safer, more advanced, or more effective than ours, which may negatively impact our ability to successfully market or commercialize any product candidates we may develop and ultimately harm our financial condition.</w:t>
      </w:r>
    </w:p>
    <w:p>
      <w:pPr>
        <w:spacing w:after="0" w:line="118" w:lineRule="exact"/>
        <w:rPr>
          <w:sz w:val="20"/>
          <w:szCs w:val="20"/>
          <w:color w:val="auto"/>
        </w:rPr>
      </w:pPr>
    </w:p>
    <w:p>
      <w:pPr>
        <w:ind w:firstLine="490"/>
        <w:spacing w:after="0" w:line="333" w:lineRule="auto"/>
        <w:rPr>
          <w:sz w:val="20"/>
          <w:szCs w:val="20"/>
          <w:color w:val="auto"/>
        </w:rPr>
      </w:pPr>
      <w:r>
        <w:rPr>
          <w:rFonts w:ascii="Arial" w:cs="Arial" w:eastAsia="Arial" w:hAnsi="Arial"/>
          <w:sz w:val="15"/>
          <w:szCs w:val="15"/>
          <w:b w:val="1"/>
          <w:bCs w:val="1"/>
          <w:color w:val="auto"/>
        </w:rPr>
        <w:t>The development and commercialization of new drug products is highly competitive. Moreover, the neurodegenerative field is characterized by strong and increasing competition, with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94" w:lineRule="exact"/>
        <w:rPr>
          <w:sz w:val="20"/>
          <w:szCs w:val="20"/>
          <w:color w:val="auto"/>
        </w:rPr>
      </w:pPr>
    </w:p>
    <w:p>
      <w:pPr>
        <w:ind w:firstLine="490"/>
        <w:spacing w:after="0" w:line="326" w:lineRule="auto"/>
        <w:rPr>
          <w:sz w:val="20"/>
          <w:szCs w:val="20"/>
          <w:color w:val="auto"/>
        </w:rPr>
      </w:pPr>
      <w:r>
        <w:rPr>
          <w:rFonts w:ascii="Arial" w:cs="Arial" w:eastAsia="Arial" w:hAnsi="Arial"/>
          <w:sz w:val="15"/>
          <w:szCs w:val="15"/>
          <w:b w:val="1"/>
          <w:bCs w:val="1"/>
          <w:color w:val="auto"/>
        </w:rPr>
        <w:t>There are a number of large pharmaceutical and biotechnology companies that are currently pursuing the development of products for the treatment of neurodegenerative diseases, including Alzheimer’s disease and Parkinsons disease. Many of these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For example, in July 2024, the FDA approved donanemab, which was developed by Eli Lilly and Company, for the treatment of Alzheimer’s disease. Donanemab targets amyloid plaques by binding to insoluble N-truncated pyroglutamate amyloid beta. In January 2023, the FDA granted accelerated approval, and in July 2023, the FDA granted full approval to lecanemab, an anti-amyloid beta protofibril antibody for the treatment of Alzheimer’s disease developed by Eisai Co., Ltd. (Eisai) and Biogen Inc. (Biogen). Lecanemab has been approved as a treatment for slowing progression of mild cognitive impairment and mild dementia due to Alzheimer’s disease in Japan, and in April 2025, lecanemab received final marketing authorization in Europe for treating mild cognitive impairment or mild dementia due to Alzheimer’s disease in patients who have only one or no copy of the ApoE4 allele.</w:t>
      </w:r>
    </w:p>
    <w:p>
      <w:pPr>
        <w:spacing w:after="0" w:line="299" w:lineRule="exact"/>
        <w:rPr>
          <w:sz w:val="20"/>
          <w:szCs w:val="20"/>
          <w:color w:val="auto"/>
        </w:rPr>
      </w:pPr>
    </w:p>
    <w:p>
      <w:pPr>
        <w:ind w:right="120" w:firstLine="490"/>
        <w:spacing w:after="0" w:line="287" w:lineRule="auto"/>
        <w:rPr>
          <w:sz w:val="20"/>
          <w:szCs w:val="20"/>
          <w:color w:val="auto"/>
        </w:rPr>
      </w:pPr>
      <w:r>
        <w:rPr>
          <w:rFonts w:ascii="Arial" w:cs="Arial" w:eastAsia="Arial" w:hAnsi="Arial"/>
          <w:sz w:val="17"/>
          <w:szCs w:val="17"/>
          <w:b w:val="1"/>
          <w:bCs w:val="1"/>
          <w:color w:val="auto"/>
        </w:rPr>
        <w:t>There are competing pharmaceutical and biotechnology companies, such as Denali Therapeutics, Inc. (“Denali”), F. Hoffman La Roche Ltd. (“Roche”), Aliada Therapeutics, Inc. (acquired by AbbVie), Eli Lilly, BioArctic, JCR Pharmaceuticals, Arrowhead, and Ossianix, who have developed and continue to develop technologies for the transport of products across the blood-brain barrier using transferrin receptor (TfR)-based transfer mechanisms. Other companies may successfully develop technologies for blood-brain barrier transport that are based on mechanisms other than TfR and that effectively compete with TfR-based mechanisms. Our ABC platform, which uses a TfR-based transfer mechanism, faces competition from such third party technologies.</w:t>
      </w:r>
    </w:p>
    <w:p>
      <w:pPr>
        <w:spacing w:after="0" w:line="94" w:lineRule="exact"/>
        <w:rPr>
          <w:sz w:val="20"/>
          <w:szCs w:val="20"/>
          <w:color w:val="auto"/>
        </w:rPr>
      </w:pPr>
    </w:p>
    <w:p>
      <w:pPr>
        <w:ind w:right="100" w:firstLine="490"/>
        <w:spacing w:after="0" w:line="289" w:lineRule="auto"/>
        <w:rPr>
          <w:sz w:val="20"/>
          <w:szCs w:val="20"/>
          <w:color w:val="auto"/>
        </w:rPr>
      </w:pPr>
      <w:r>
        <w:rPr>
          <w:rFonts w:ascii="Arial" w:cs="Arial" w:eastAsia="Arial" w:hAnsi="Arial"/>
          <w:sz w:val="17"/>
          <w:szCs w:val="17"/>
          <w:b w:val="1"/>
          <w:bCs w:val="1"/>
          <w:color w:val="auto"/>
        </w:rPr>
        <w:t>Additionally, those competing blood-brain barrier transport technologies are being applied to antibodies and product candidates that act on the same disease targets as we are pursuing. For example, Denali and Roche are advancing antibody candidates, both of which target A-beta and incorporate blood-brain barrier transport mechanisms that act through TfR, and Arrowhead is advancing a tau-siRNA candidate with a TfR binding antibody fragment. Other companies, including Bial, Vanqua Bio, Inc., Gain Therapeutics, Inc., Prevail, Spur Therapeutics,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46</w:t>
      </w:r>
    </w:p>
    <w:p>
      <w:pPr>
        <w:sectPr>
          <w:pgSz w:w="12240" w:h="15840" w:orient="portrait"/>
          <w:cols w:equalWidth="0" w:num="1">
            <w:col w:w="9360"/>
          </w:cols>
          <w:pgMar w:left="1440" w:top="1440" w:right="1440" w:bottom="181" w:gutter="0" w:footer="0" w:header="0"/>
          <w:type w:val="continuous"/>
        </w:sectPr>
      </w:pPr>
    </w:p>
    <w:bookmarkStart w:id="48" w:name="page49"/>
    <w:bookmarkEnd w:id="48"/>
    <w:p>
      <w:pPr>
        <w:spacing w:after="0" w:line="1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color w:val="auto"/>
        </w:rPr>
        <w:t>Voyager Therapeutics, Inc., Denali, and Roche have clinical or pre-clinical programs targeting GCase through allosteric activation, gene therapy, or enzyme replacement, with the latter approach incorporating TfR-based blood-brain barrier transfer mechanisms. Those and other competitors are pursuing product candidates that act on some of the same targets or through comparable mechanisms of action as we are pursuing.</w:t>
      </w:r>
    </w:p>
    <w:p>
      <w:pPr>
        <w:spacing w:after="0" w:line="91" w:lineRule="exact"/>
        <w:rPr>
          <w:sz w:val="20"/>
          <w:szCs w:val="20"/>
          <w:color w:val="auto"/>
        </w:rPr>
      </w:pPr>
    </w:p>
    <w:p>
      <w:pPr>
        <w:ind w:right="80" w:firstLine="490"/>
        <w:spacing w:after="0" w:line="342" w:lineRule="auto"/>
        <w:rPr>
          <w:sz w:val="20"/>
          <w:szCs w:val="20"/>
          <w:color w:val="auto"/>
        </w:rPr>
      </w:pPr>
      <w:r>
        <w:rPr>
          <w:rFonts w:ascii="Arial" w:cs="Arial" w:eastAsia="Arial" w:hAnsi="Arial"/>
          <w:sz w:val="15"/>
          <w:szCs w:val="15"/>
          <w:b w:val="1"/>
          <w:bCs w:val="1"/>
          <w:color w:val="auto"/>
        </w:rPr>
        <w:t>Several companies are employing nucleic acid-based strategies, such as anti-sense oligonucleotides and siRNA, directed to neurodegenerative disease targets in conjunction with TfR-based blood-brain barrier technologies. Certain of those companies, including Eli Lilly, Arrowhead, Novartis, Denali, Roche and Manifold Bio, are applying this approach to some of the same targets that we are pursuing, including tau and alpha-synuclein.</w:t>
      </w:r>
    </w:p>
    <w:p>
      <w:pPr>
        <w:spacing w:after="0" w:line="56" w:lineRule="exact"/>
        <w:rPr>
          <w:sz w:val="20"/>
          <w:szCs w:val="20"/>
          <w:color w:val="auto"/>
        </w:rPr>
      </w:pPr>
    </w:p>
    <w:p>
      <w:pPr>
        <w:ind w:right="40" w:firstLine="490"/>
        <w:spacing w:after="0" w:line="237" w:lineRule="auto"/>
        <w:rPr>
          <w:sz w:val="20"/>
          <w:szCs w:val="20"/>
          <w:color w:val="auto"/>
        </w:rPr>
      </w:pPr>
      <w:r>
        <w:rPr>
          <w:rFonts w:ascii="Arial" w:cs="Arial" w:eastAsia="Arial" w:hAnsi="Arial"/>
          <w:sz w:val="20"/>
          <w:szCs w:val="20"/>
          <w:b w:val="1"/>
          <w:bCs w:val="1"/>
          <w:color w:val="auto"/>
        </w:rPr>
        <w:t>Current or potential competitors may develop products with a market advantage due to their mode of delivery, such as oral small molecule or subcutaneous formulation. For example, Eisai received FDA approval for a subcutaneous formulation of lecanemab in August 2025, and Bial, Vanqua Bio, and Gain Therapeutics are developing small molecule allosteric activators of GCase.</w:t>
      </w:r>
    </w:p>
    <w:p>
      <w:pPr>
        <w:spacing w:after="0" w:line="133" w:lineRule="exact"/>
        <w:rPr>
          <w:sz w:val="20"/>
          <w:szCs w:val="20"/>
          <w:color w:val="auto"/>
        </w:rPr>
      </w:pPr>
    </w:p>
    <w:p>
      <w:pPr>
        <w:ind w:right="60" w:firstLine="490"/>
        <w:spacing w:after="0" w:line="324" w:lineRule="auto"/>
        <w:rPr>
          <w:sz w:val="20"/>
          <w:szCs w:val="20"/>
          <w:color w:val="auto"/>
        </w:rPr>
      </w:pPr>
      <w:r>
        <w:rPr>
          <w:rFonts w:ascii="Arial" w:cs="Arial" w:eastAsia="Arial" w:hAnsi="Arial"/>
          <w:sz w:val="15"/>
          <w:szCs w:val="15"/>
          <w:b w:val="1"/>
          <w:bCs w:val="1"/>
          <w:color w:val="auto"/>
        </w:rPr>
        <w:t>Furthermore,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including through fast track designation, priority review, accelerated approval or breakthrough therapy designation, and may obtain orphan drug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304"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auto"/>
        </w:rPr>
        <w:t>In addition, we could face litigation or other proceedings with respect to the scope, ownership, validity, and/or enforceability of our patents relating to our competitors’ products. Furthermore,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243"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if approved for patients, could be delayed or stopped, or we may be unable to maintain a commercially viable cost structure.</w:t>
      </w:r>
    </w:p>
    <w:p>
      <w:pPr>
        <w:spacing w:after="0" w:line="88" w:lineRule="exact"/>
        <w:rPr>
          <w:sz w:val="20"/>
          <w:szCs w:val="20"/>
          <w:color w:val="auto"/>
        </w:rPr>
      </w:pPr>
    </w:p>
    <w:p>
      <w:pPr>
        <w:ind w:right="120" w:firstLine="490"/>
        <w:spacing w:after="0" w:line="286" w:lineRule="auto"/>
        <w:rPr>
          <w:sz w:val="20"/>
          <w:szCs w:val="20"/>
          <w:color w:val="auto"/>
        </w:rPr>
      </w:pPr>
      <w:r>
        <w:rPr>
          <w:rFonts w:ascii="Arial" w:cs="Arial" w:eastAsia="Arial" w:hAnsi="Arial"/>
          <w:sz w:val="17"/>
          <w:szCs w:val="17"/>
          <w:b w:val="1"/>
          <w:bCs w:val="1"/>
          <w:color w:val="auto"/>
        </w:rPr>
        <w:t>The processes involved in manufacturing our product candidates are complex, expensive, highly-regulated, and subject to multiple risks. Manufacturing certain product candidates, such as non-antibody protein product candidates or product candidates incorporating ABC and other active components, may be especially challenging and may require complex and integrated supply chains and CDMO networks. Further, as product candidates are developed through preclinical studies to late-stage clinical trials towards approval and commercialization, it is common that various aspects of the development program, such as manufacturing methods, are altered along the way in an effort to scale processes and optimize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95" w:lineRule="exact"/>
        <w:rPr>
          <w:sz w:val="20"/>
          <w:szCs w:val="20"/>
          <w:color w:val="auto"/>
        </w:rPr>
      </w:pPr>
    </w:p>
    <w:p>
      <w:pPr>
        <w:ind w:right="120" w:firstLine="490"/>
        <w:spacing w:after="0" w:line="336" w:lineRule="auto"/>
        <w:rPr>
          <w:sz w:val="20"/>
          <w:szCs w:val="20"/>
          <w:color w:val="auto"/>
        </w:rPr>
      </w:pPr>
      <w:r>
        <w:rPr>
          <w:rFonts w:ascii="Arial" w:cs="Arial" w:eastAsia="Arial" w:hAnsi="Arial"/>
          <w:sz w:val="15"/>
          <w:szCs w:val="15"/>
          <w:b w:val="1"/>
          <w:bCs w:val="1"/>
          <w:color w:val="auto"/>
        </w:rPr>
        <w:t>In order to conduct clinical trials of our product candidates, or supply commercial products, if approved, we will need to manufacture them in large quantities. Our CDMOs may be unable to successfully produce or increase the manufacturing scale or capacity for any of our product candidates in a timely or cost-effective manner, or at all. In addition, quality issues may arise during scale-up activities or in connection with production of commercial supply. If any of the foregoing occurs, the development, testing, and clinical trials of that product candidate may be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9360"/>
          </w:cols>
          <w:pgMar w:left="1440" w:top="1440" w:right="1440" w:bottom="181" w:gutter="0" w:footer="0" w:header="0"/>
          <w:type w:val="continuous"/>
        </w:sectPr>
      </w:pPr>
    </w:p>
    <w:bookmarkStart w:id="49" w:name="page50"/>
    <w:bookmarkEnd w:id="49"/>
    <w:p>
      <w:pPr>
        <w:spacing w:after="0" w:line="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color w:val="auto"/>
        </w:rPr>
        <w:t>delayed or become infeasible, and/or regulatory approval or commercial launch of any resulting product may be delayed or not obtained in any or all jurisdictions in which such approval or launch is intended, which could significantly harm our business. The same risks would apply to our own manufacturing facilities, should we in the future decide to build our own manufacturing capacity, which would carry significant risks in terms of being able to plan, design, and execute on a complex project to build manufacturing facilities in a timely and cost-efficient manner. Likewise, the same risks would apply to a collaboration partner manufacturing our product candidates or commercial products, if approved, using their CDMOs or their own facilities, and that partner may be unable to maintain a commercially viable cost structure.</w:t>
      </w:r>
    </w:p>
    <w:p>
      <w:pPr>
        <w:spacing w:after="0" w:line="95" w:lineRule="exact"/>
        <w:rPr>
          <w:sz w:val="20"/>
          <w:szCs w:val="20"/>
          <w:color w:val="auto"/>
        </w:rPr>
      </w:pPr>
    </w:p>
    <w:p>
      <w:pPr>
        <w:ind w:right="40" w:firstLine="490"/>
        <w:spacing w:after="0" w:line="284" w:lineRule="auto"/>
        <w:rPr>
          <w:sz w:val="20"/>
          <w:szCs w:val="20"/>
          <w:color w:val="auto"/>
        </w:rPr>
      </w:pPr>
      <w:r>
        <w:rPr>
          <w:rFonts w:ascii="Arial" w:cs="Arial" w:eastAsia="Arial" w:hAnsi="Arial"/>
          <w:sz w:val="17"/>
          <w:szCs w:val="17"/>
          <w:b w:val="1"/>
          <w:bCs w:val="1"/>
          <w:color w:val="auto"/>
        </w:rPr>
        <w:t>In addition, the manufacturing process for any products that we may develop is subject to FDA, EMA, and other foreign regulatory authority approval processes, and continuous oversight, and we will need to contract with manufacturers who can meet all applicable FDA, EMA, and other foreign regulatory authority requirements, including complying with current cGMPs on an ongoing basis. Further, the manufacturers that we or our collaboration partners work with will be subject to any future legislation by Congress or other government action that may curtail the ability of foreign CDMOs to provide services to U.S. biotechnology companies. In addition, tariffs may be imposed on products that are manufactured by foreign CDMOs and imported into the U.S. to incentivize manufacturing activity in the U.S. versus abroad.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growth prospects</w:t>
      </w:r>
      <w:r>
        <w:rPr>
          <w:rFonts w:ascii="Arial" w:cs="Arial" w:eastAsia="Arial" w:hAnsi="Arial"/>
          <w:sz w:val="20"/>
          <w:szCs w:val="20"/>
          <w:b w:val="1"/>
          <w:bCs w:val="1"/>
          <w:color w:val="auto"/>
        </w:rPr>
        <w:t>.</w:t>
      </w:r>
    </w:p>
    <w:p>
      <w:pPr>
        <w:spacing w:after="0" w:line="224" w:lineRule="exact"/>
        <w:rPr>
          <w:sz w:val="20"/>
          <w:szCs w:val="20"/>
          <w:color w:val="auto"/>
        </w:rPr>
      </w:pPr>
    </w:p>
    <w:p>
      <w:pPr>
        <w:jc w:val="both"/>
        <w:ind w:right="180"/>
        <w:spacing w:after="0" w:line="252" w:lineRule="auto"/>
        <w:rPr>
          <w:sz w:val="20"/>
          <w:szCs w:val="20"/>
          <w:color w:val="auto"/>
        </w:rPr>
      </w:pPr>
      <w:r>
        <w:rPr>
          <w:rFonts w:ascii="Arial" w:cs="Arial" w:eastAsia="Arial" w:hAnsi="Arial"/>
          <w:sz w:val="19"/>
          <w:szCs w:val="19"/>
          <w:b w:val="1"/>
          <w:b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21" w:lineRule="exact"/>
        <w:rPr>
          <w:sz w:val="20"/>
          <w:szCs w:val="20"/>
          <w:color w:val="auto"/>
        </w:rPr>
      </w:pPr>
    </w:p>
    <w:p>
      <w:pPr>
        <w:ind w:right="160" w:firstLine="490"/>
        <w:spacing w:after="0" w:line="269" w:lineRule="auto"/>
        <w:rPr>
          <w:sz w:val="20"/>
          <w:szCs w:val="20"/>
          <w:color w:val="auto"/>
        </w:rPr>
      </w:pPr>
      <w:r>
        <w:rPr>
          <w:rFonts w:ascii="Arial" w:cs="Arial" w:eastAsia="Arial" w:hAnsi="Arial"/>
          <w:sz w:val="18"/>
          <w:szCs w:val="18"/>
          <w:b w:val="1"/>
          <w:bCs w:val="1"/>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commercial activities with our collaborators for, some of our product candidates if and when they are approved.</w:t>
      </w:r>
    </w:p>
    <w:p>
      <w:pPr>
        <w:spacing w:after="0" w:line="108" w:lineRule="exact"/>
        <w:rPr>
          <w:sz w:val="20"/>
          <w:szCs w:val="20"/>
          <w:color w:val="auto"/>
        </w:rPr>
      </w:pPr>
    </w:p>
    <w:p>
      <w:pPr>
        <w:ind w:right="40" w:firstLine="490"/>
        <w:spacing w:after="0" w:line="269" w:lineRule="auto"/>
        <w:rPr>
          <w:sz w:val="20"/>
          <w:szCs w:val="20"/>
          <w:color w:val="auto"/>
        </w:rPr>
      </w:pPr>
      <w:r>
        <w:rPr>
          <w:rFonts w:ascii="Arial" w:cs="Arial" w:eastAsia="Arial" w:hAnsi="Arial"/>
          <w:sz w:val="18"/>
          <w:szCs w:val="18"/>
          <w:b w:val="1"/>
          <w:bCs w:val="1"/>
          <w:color w:val="auto"/>
        </w:rPr>
        <w:t>There are risks involved with both establishing our own commercial capabilities and entering into arrangements with third parties to perform these services. For example, recruiting and training a sales force or reimbursement specialists are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Factors that may inhibit our efforts to commercialize any approved product on our own include:</w:t>
      </w:r>
    </w:p>
    <w:p>
      <w:pPr>
        <w:spacing w:after="0" w:line="124" w:lineRule="exact"/>
        <w:rPr>
          <w:sz w:val="20"/>
          <w:szCs w:val="20"/>
          <w:color w:val="auto"/>
        </w:rPr>
      </w:pPr>
    </w:p>
    <w:p>
      <w:pPr>
        <w:ind w:left="1100" w:right="500"/>
        <w:spacing w:after="0" w:line="234" w:lineRule="auto"/>
        <w:rPr>
          <w:sz w:val="20"/>
          <w:szCs w:val="20"/>
          <w:color w:val="auto"/>
        </w:rPr>
      </w:pPr>
      <w:r>
        <w:rPr>
          <w:rFonts w:ascii="Arial" w:cs="Arial" w:eastAsia="Arial" w:hAnsi="Arial"/>
          <w:sz w:val="20"/>
          <w:szCs w:val="20"/>
          <w:b w:val="1"/>
          <w:bCs w:val="1"/>
          <w:color w:val="auto"/>
        </w:rPr>
        <w:t>our inability to recruit and retain adequate numbers of effective sales, marketing, reimbursement, customer service, medical affairs, and other personnel;</w:t>
      </w:r>
    </w:p>
    <w:p>
      <w:pPr>
        <w:spacing w:after="0" w:line="146" w:lineRule="exact"/>
        <w:rPr>
          <w:sz w:val="20"/>
          <w:szCs w:val="20"/>
          <w:color w:val="auto"/>
        </w:rPr>
      </w:pPr>
    </w:p>
    <w:p>
      <w:pPr>
        <w:ind w:left="1100" w:right="720"/>
        <w:spacing w:after="0" w:line="233" w:lineRule="auto"/>
        <w:rPr>
          <w:sz w:val="20"/>
          <w:szCs w:val="20"/>
          <w:color w:val="auto"/>
        </w:rPr>
      </w:pPr>
      <w:r>
        <w:rPr>
          <w:rFonts w:ascii="Arial" w:cs="Arial" w:eastAsia="Arial" w:hAnsi="Arial"/>
          <w:sz w:val="20"/>
          <w:szCs w:val="20"/>
          <w:b w:val="1"/>
          <w:bCs w:val="1"/>
          <w:color w:val="auto"/>
        </w:rPr>
        <w:t>the inability of sales personnel to obtain access to physicians or persuade adequate numbers of physicians to prescribe any future approved products;</w:t>
      </w:r>
    </w:p>
    <w:p>
      <w:pPr>
        <w:spacing w:after="0" w:line="146"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the inability to negotiate arrangements for formulary access, reimbursement, and other acceptance by payors;</w:t>
      </w:r>
    </w:p>
    <w:p>
      <w:pPr>
        <w:spacing w:after="0" w:line="146" w:lineRule="exact"/>
        <w:rPr>
          <w:sz w:val="20"/>
          <w:szCs w:val="20"/>
          <w:color w:val="auto"/>
        </w:rPr>
      </w:pPr>
    </w:p>
    <w:p>
      <w:pPr>
        <w:ind w:left="1100" w:right="200"/>
        <w:spacing w:after="0" w:line="254" w:lineRule="auto"/>
        <w:rPr>
          <w:sz w:val="20"/>
          <w:szCs w:val="20"/>
          <w:color w:val="auto"/>
        </w:rPr>
      </w:pPr>
      <w:r>
        <w:rPr>
          <w:rFonts w:ascii="Arial" w:cs="Arial" w:eastAsia="Arial" w:hAnsi="Arial"/>
          <w:sz w:val="19"/>
          <w:szCs w:val="19"/>
          <w:b w:val="1"/>
          <w:bCs w:val="1"/>
          <w:color w:val="auto"/>
        </w:rPr>
        <w:t>the inability to price our products at a sufficient price point to ensure an adequate and attractive level of profitability, and our ability to recognize revenue from such prices;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48</w:t>
      </w:r>
    </w:p>
    <w:p>
      <w:pPr>
        <w:sectPr>
          <w:pgSz w:w="12240" w:h="15840" w:orient="portrait"/>
          <w:cols w:equalWidth="0" w:num="1">
            <w:col w:w="9360"/>
          </w:cols>
          <w:pgMar w:left="1440" w:top="1440" w:right="1440" w:bottom="181" w:gutter="0" w:footer="0" w:header="0"/>
          <w:type w:val="continuous"/>
        </w:sectPr>
      </w:pPr>
    </w:p>
    <w:bookmarkStart w:id="50" w:name="page51"/>
    <w:bookmarkEnd w:id="50"/>
    <w:p>
      <w:pPr>
        <w:spacing w:after="0" w:line="1" w:lineRule="exact"/>
        <w:rPr>
          <w:sz w:val="20"/>
          <w:szCs w:val="20"/>
          <w:color w:val="auto"/>
        </w:rPr>
      </w:pPr>
    </w:p>
    <w:p>
      <w:pPr>
        <w:ind w:left="1100" w:right="40"/>
        <w:spacing w:after="0" w:line="234" w:lineRule="auto"/>
        <w:rPr>
          <w:sz w:val="20"/>
          <w:szCs w:val="20"/>
          <w:color w:val="auto"/>
        </w:rPr>
      </w:pPr>
      <w:r>
        <w:rPr>
          <w:rFonts w:ascii="Arial" w:cs="Arial" w:eastAsia="Arial" w:hAnsi="Arial"/>
          <w:sz w:val="20"/>
          <w:szCs w:val="20"/>
          <w:b w:val="1"/>
          <w:bCs w:val="1"/>
          <w:color w:val="auto"/>
        </w:rPr>
        <w:t>restricted or closed distribution channels that make it difficult to distribute our products to segments of the patient population;</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the lack of complementary products to be offered by sales personnel, which may put us at a</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competitive disadvantage relative to companies with more extensive product lines; and</w:t>
      </w:r>
    </w:p>
    <w:p>
      <w:pPr>
        <w:spacing w:after="0" w:line="123" w:lineRule="exact"/>
        <w:rPr>
          <w:sz w:val="20"/>
          <w:szCs w:val="20"/>
          <w:color w:val="auto"/>
        </w:rPr>
      </w:pPr>
    </w:p>
    <w:p>
      <w:pPr>
        <w:ind w:left="1100" w:right="1060"/>
        <w:spacing w:after="0" w:line="234" w:lineRule="auto"/>
        <w:rPr>
          <w:sz w:val="20"/>
          <w:szCs w:val="20"/>
          <w:color w:val="auto"/>
        </w:rPr>
      </w:pPr>
      <w:r>
        <w:rPr>
          <w:rFonts w:ascii="Arial" w:cs="Arial" w:eastAsia="Arial" w:hAnsi="Arial"/>
          <w:sz w:val="20"/>
          <w:szCs w:val="20"/>
          <w:b w:val="1"/>
          <w:bCs w:val="1"/>
          <w:color w:val="auto"/>
        </w:rPr>
        <w:t>unforeseen costs and expenses associated with creating an independent commercialization organization.</w:t>
      </w:r>
    </w:p>
    <w:p>
      <w:pPr>
        <w:spacing w:after="0" w:line="155" w:lineRule="exact"/>
        <w:rPr>
          <w:sz w:val="20"/>
          <w:szCs w:val="20"/>
          <w:color w:val="auto"/>
        </w:rPr>
      </w:pPr>
    </w:p>
    <w:p>
      <w:pPr>
        <w:ind w:right="180" w:firstLine="490"/>
        <w:spacing w:after="0" w:line="268" w:lineRule="auto"/>
        <w:rPr>
          <w:sz w:val="20"/>
          <w:szCs w:val="20"/>
          <w:color w:val="auto"/>
        </w:rPr>
      </w:pPr>
      <w:r>
        <w:rPr>
          <w:rFonts w:ascii="Arial" w:cs="Arial" w:eastAsia="Arial" w:hAnsi="Arial"/>
          <w:sz w:val="18"/>
          <w:szCs w:val="18"/>
          <w:b w:val="1"/>
          <w:bCs w:val="1"/>
          <w:color w:val="auto"/>
        </w:rPr>
        <w:t>If we enter into arrangements with third parties to perform sales, marketing, commercial support, and distribution services, our product or royalty revenue or the profitability of such revenue may be lower than if we were to market and sell any product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133" w:lineRule="exact"/>
        <w:rPr>
          <w:sz w:val="20"/>
          <w:szCs w:val="20"/>
          <w:color w:val="auto"/>
        </w:rPr>
      </w:pPr>
    </w:p>
    <w:p>
      <w:pPr>
        <w:ind w:right="200" w:firstLine="490"/>
        <w:spacing w:after="0" w:line="336" w:lineRule="auto"/>
        <w:rPr>
          <w:sz w:val="20"/>
          <w:szCs w:val="20"/>
          <w:color w:val="auto"/>
        </w:rPr>
      </w:pPr>
      <w:r>
        <w:rPr>
          <w:rFonts w:ascii="Arial" w:cs="Arial" w:eastAsia="Arial" w:hAnsi="Arial"/>
          <w:sz w:val="15"/>
          <w:szCs w:val="15"/>
          <w:b w:val="1"/>
          <w:bCs w:val="1"/>
          <w:color w:val="auto"/>
        </w:rPr>
        <w:t>The commercial success of any of our products will depend upon its degree of market acceptance by physicians, patients, third-party payors, and others in the medical community. Even if any product candidate we develop receives marketing approval, it may nonetheless fail to gain sufficient market acceptance by physicians, patients, healthcare payors, and others in the medical community. The degree of market acceptance of any product candidate we may develop, if approved for commercial sale, will depend on a number of factors, including:</w:t>
      </w:r>
    </w:p>
    <w:p>
      <w:pPr>
        <w:spacing w:after="0" w:line="54" w:lineRule="exact"/>
        <w:rPr>
          <w:sz w:val="20"/>
          <w:szCs w:val="20"/>
          <w:color w:val="auto"/>
        </w:rPr>
      </w:pPr>
    </w:p>
    <w:p>
      <w:pPr>
        <w:ind w:left="1100" w:right="500"/>
        <w:spacing w:after="0" w:line="422" w:lineRule="auto"/>
        <w:rPr>
          <w:sz w:val="20"/>
          <w:szCs w:val="20"/>
          <w:color w:val="auto"/>
        </w:rPr>
      </w:pPr>
      <w:r>
        <w:rPr>
          <w:rFonts w:ascii="Arial" w:cs="Arial" w:eastAsia="Arial" w:hAnsi="Arial"/>
          <w:sz w:val="18"/>
          <w:szCs w:val="18"/>
          <w:b w:val="1"/>
          <w:bCs w:val="1"/>
          <w:color w:val="auto"/>
        </w:rPr>
        <w:t>the efficacy and safety as demonstrated in clinical trials and published in peer-reviewed journals; the potential and perceived advantages compared to alternative treatments;</w:t>
      </w:r>
    </w:p>
    <w:p>
      <w:pPr>
        <w:spacing w:after="0" w:line="1" w:lineRule="exact"/>
        <w:rPr>
          <w:sz w:val="20"/>
          <w:szCs w:val="20"/>
          <w:color w:val="auto"/>
        </w:rPr>
      </w:pPr>
    </w:p>
    <w:p>
      <w:pPr>
        <w:ind w:left="1100" w:right="3340"/>
        <w:spacing w:after="0" w:line="421" w:lineRule="auto"/>
        <w:rPr>
          <w:sz w:val="20"/>
          <w:szCs w:val="20"/>
          <w:color w:val="auto"/>
        </w:rPr>
      </w:pPr>
      <w:r>
        <w:rPr>
          <w:rFonts w:ascii="Arial" w:cs="Arial" w:eastAsia="Arial" w:hAnsi="Arial"/>
          <w:sz w:val="18"/>
          <w:szCs w:val="18"/>
          <w:b w:val="1"/>
          <w:bCs w:val="1"/>
          <w:color w:val="auto"/>
        </w:rPr>
        <w:t>the ability to offer our products for sale at competitive prices; sufficient third-party coverage or reimbursement;</w:t>
      </w:r>
    </w:p>
    <w:p>
      <w:pPr>
        <w:spacing w:after="0" w:line="1" w:lineRule="exact"/>
        <w:rPr>
          <w:sz w:val="20"/>
          <w:szCs w:val="20"/>
          <w:color w:val="auto"/>
        </w:rPr>
      </w:pPr>
    </w:p>
    <w:p>
      <w:pPr>
        <w:ind w:left="1100" w:right="1720"/>
        <w:spacing w:after="0" w:line="507" w:lineRule="auto"/>
        <w:rPr>
          <w:sz w:val="20"/>
          <w:szCs w:val="20"/>
          <w:color w:val="auto"/>
        </w:rPr>
      </w:pPr>
      <w:r>
        <w:rPr>
          <w:rFonts w:ascii="Arial" w:cs="Arial" w:eastAsia="Arial" w:hAnsi="Arial"/>
          <w:sz w:val="15"/>
          <w:szCs w:val="15"/>
          <w:b w:val="1"/>
          <w:bCs w:val="1"/>
          <w:color w:val="auto"/>
        </w:rPr>
        <w:t>the ability to offer appropriate patient access programs, such as co-pay assistance; the extent to which physicians recommend our products to their patients;</w:t>
      </w:r>
    </w:p>
    <w:p>
      <w:pPr>
        <w:ind w:left="740"/>
        <w:spacing w:after="0"/>
        <w:rPr>
          <w:sz w:val="20"/>
          <w:szCs w:val="20"/>
          <w:color w:val="auto"/>
        </w:rPr>
      </w:pPr>
      <w:r>
        <w:rPr>
          <w:rFonts w:ascii="Arial" w:cs="Arial" w:eastAsia="Arial" w:hAnsi="Arial"/>
          <w:sz w:val="20"/>
          <w:szCs w:val="20"/>
          <w:b w:val="1"/>
          <w:bCs w:val="1"/>
          <w:color w:val="auto"/>
        </w:rPr>
        <w:t>convenience and ease of dosing and administration compared to alternative treatments;</w:t>
      </w:r>
    </w:p>
    <w:p>
      <w:pPr>
        <w:spacing w:after="0" w:line="145" w:lineRule="exact"/>
        <w:rPr>
          <w:sz w:val="20"/>
          <w:szCs w:val="20"/>
          <w:color w:val="auto"/>
        </w:rPr>
      </w:pPr>
    </w:p>
    <w:p>
      <w:pPr>
        <w:ind w:left="1100" w:right="620"/>
        <w:spacing w:after="0" w:line="234" w:lineRule="auto"/>
        <w:rPr>
          <w:sz w:val="20"/>
          <w:szCs w:val="20"/>
          <w:color w:val="auto"/>
        </w:rPr>
      </w:pPr>
      <w:r>
        <w:rPr>
          <w:rFonts w:ascii="Arial" w:cs="Arial" w:eastAsia="Arial" w:hAnsi="Arial"/>
          <w:sz w:val="20"/>
          <w:szCs w:val="20"/>
          <w:b w:val="1"/>
          <w:bCs w:val="1"/>
          <w:color w:val="auto"/>
        </w:rPr>
        <w:t>the clinical indications for which the product candidate is approved by the FDA, EMA, or other regulatory agencies;</w:t>
      </w:r>
    </w:p>
    <w:p>
      <w:pPr>
        <w:spacing w:after="0" w:line="146" w:lineRule="exact"/>
        <w:rPr>
          <w:sz w:val="20"/>
          <w:szCs w:val="20"/>
          <w:color w:val="auto"/>
        </w:rPr>
      </w:pPr>
    </w:p>
    <w:p>
      <w:pPr>
        <w:ind w:left="1100" w:right="660"/>
        <w:spacing w:after="0" w:line="235" w:lineRule="auto"/>
        <w:rPr>
          <w:sz w:val="20"/>
          <w:szCs w:val="20"/>
          <w:color w:val="auto"/>
        </w:rPr>
      </w:pPr>
      <w:r>
        <w:rPr>
          <w:rFonts w:ascii="Arial" w:cs="Arial" w:eastAsia="Arial" w:hAnsi="Arial"/>
          <w:sz w:val="20"/>
          <w:szCs w:val="20"/>
          <w:b w:val="1"/>
          <w:bCs w:val="1"/>
          <w:color w:val="auto"/>
        </w:rPr>
        <w:t>product labeling or product insert requirements of the FDA, EMA, or other comparable foreign regulatory authorities, including any limitations, contraindications, or warnings contained in a product’s approved labeling;</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restrictions on how the product is distributed;</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timing of market introduction of competitive products;</w:t>
      </w:r>
    </w:p>
    <w:p>
      <w:pPr>
        <w:spacing w:after="0" w:line="145" w:lineRule="exact"/>
        <w:rPr>
          <w:sz w:val="20"/>
          <w:szCs w:val="20"/>
          <w:color w:val="auto"/>
        </w:rPr>
      </w:pPr>
    </w:p>
    <w:p>
      <w:pPr>
        <w:ind w:left="1100" w:right="2440"/>
        <w:spacing w:after="0" w:line="421" w:lineRule="auto"/>
        <w:rPr>
          <w:sz w:val="20"/>
          <w:szCs w:val="20"/>
          <w:color w:val="auto"/>
        </w:rPr>
      </w:pPr>
      <w:r>
        <w:rPr>
          <w:rFonts w:ascii="Arial" w:cs="Arial" w:eastAsia="Arial" w:hAnsi="Arial"/>
          <w:sz w:val="18"/>
          <w:szCs w:val="18"/>
          <w:b w:val="1"/>
          <w:bCs w:val="1"/>
          <w:color w:val="auto"/>
        </w:rPr>
        <w:t>publicity concerning our products or competing products and treatments; the strength of marketing and distribution support; and</w:t>
      </w:r>
    </w:p>
    <w:p>
      <w:pPr>
        <w:ind w:left="740"/>
        <w:spacing w:after="0"/>
        <w:rPr>
          <w:sz w:val="20"/>
          <w:szCs w:val="20"/>
          <w:color w:val="auto"/>
        </w:rPr>
      </w:pPr>
      <w:r>
        <w:rPr>
          <w:rFonts w:ascii="Arial" w:cs="Arial" w:eastAsia="Arial" w:hAnsi="Arial"/>
          <w:sz w:val="20"/>
          <w:szCs w:val="20"/>
          <w:b w:val="1"/>
          <w:bCs w:val="1"/>
          <w:color w:val="auto"/>
        </w:rPr>
        <w:t>the prevalence and severity of any side effects.</w:t>
      </w:r>
    </w:p>
    <w:p>
      <w:pPr>
        <w:spacing w:after="0" w:line="154" w:lineRule="exact"/>
        <w:rPr>
          <w:sz w:val="20"/>
          <w:szCs w:val="20"/>
          <w:color w:val="auto"/>
        </w:rPr>
      </w:pPr>
    </w:p>
    <w:p>
      <w:pPr>
        <w:ind w:right="320" w:firstLine="490"/>
        <w:spacing w:after="0" w:line="234" w:lineRule="auto"/>
        <w:rPr>
          <w:sz w:val="20"/>
          <w:szCs w:val="20"/>
          <w:color w:val="auto"/>
        </w:rPr>
      </w:pPr>
      <w:r>
        <w:rPr>
          <w:rFonts w:ascii="Arial" w:cs="Arial" w:eastAsia="Arial" w:hAnsi="Arial"/>
          <w:sz w:val="20"/>
          <w:szCs w:val="20"/>
          <w:b w:val="1"/>
          <w:bCs w:val="1"/>
          <w:color w:val="auto"/>
        </w:rPr>
        <w:t>If any product candidates we develop do not achieve an adequate level of acceptance, we may not generate significant revenue, and we may not become profitable.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9360"/>
          </w:cols>
          <w:pgMar w:left="1440" w:top="1440" w:right="1440" w:bottom="181" w:gutter="0" w:footer="0" w:header="0"/>
          <w:type w:val="continuous"/>
        </w:sectPr>
      </w:pPr>
    </w:p>
    <w:bookmarkStart w:id="51" w:name="page52"/>
    <w:bookmarkEnd w:id="51"/>
    <w:p>
      <w:pPr>
        <w:spacing w:after="0" w:line="10" w:lineRule="exact"/>
        <w:rPr>
          <w:sz w:val="20"/>
          <w:szCs w:val="20"/>
          <w:color w:val="auto"/>
        </w:rPr>
      </w:pPr>
    </w:p>
    <w:p>
      <w:pPr>
        <w:ind w:right="700"/>
        <w:spacing w:after="0" w:line="235" w:lineRule="auto"/>
        <w:rPr>
          <w:sz w:val="20"/>
          <w:szCs w:val="20"/>
          <w:color w:val="auto"/>
        </w:rPr>
      </w:pPr>
      <w:r>
        <w:rPr>
          <w:rFonts w:ascii="Arial" w:cs="Arial" w:eastAsia="Arial" w:hAnsi="Arial"/>
          <w:sz w:val="20"/>
          <w:szCs w:val="20"/>
          <w:b w:val="1"/>
          <w:bCs w:val="1"/>
          <w:color w:val="auto"/>
        </w:rPr>
        <w:t>Any products we or a collaboration partner commercialize may become subject to unfavorable pricing regulations, third-party reimbursement practices, or healthcare reform initiatives, which would harm our business.</w:t>
      </w:r>
    </w:p>
    <w:p>
      <w:pPr>
        <w:spacing w:after="0" w:line="133" w:lineRule="exact"/>
        <w:rPr>
          <w:sz w:val="20"/>
          <w:szCs w:val="20"/>
          <w:color w:val="auto"/>
        </w:rPr>
      </w:pPr>
    </w:p>
    <w:p>
      <w:pPr>
        <w:ind w:right="20" w:firstLine="490"/>
        <w:spacing w:after="0" w:line="267" w:lineRule="auto"/>
        <w:rPr>
          <w:sz w:val="20"/>
          <w:szCs w:val="20"/>
          <w:color w:val="auto"/>
        </w:rPr>
      </w:pPr>
      <w:r>
        <w:rPr>
          <w:rFonts w:ascii="Arial" w:cs="Arial" w:eastAsia="Arial" w:hAnsi="Arial"/>
          <w:sz w:val="18"/>
          <w:szCs w:val="18"/>
          <w:b w:val="1"/>
          <w:bCs w:val="1"/>
          <w:color w:val="auto"/>
        </w:rPr>
        <w:t>The regulations that govern marketing approvals, pricing, and reimbursement for new drugs vary widely from country to country. In the United States, recently enacted or potential future legislation or other government action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continued governmental control even after initial approval is granted. As a result, a product candidate might obtain marketing approval in a particular country, but then be subject to price regulations that delay or render commercially inviable commercial launch of the product, possibly for lengthy time periods, and negatively impact the revenue otherwise expected from the sale of the product in that country, either by us or by a collaboration partner. Adverse pricing limitations may hinder our ability to recoup our investment in one or more product candidates, even if any product candidates we may develop obtain marketing approval.</w:t>
      </w:r>
    </w:p>
    <w:p>
      <w:pPr>
        <w:spacing w:after="0" w:line="117" w:lineRule="exact"/>
        <w:rPr>
          <w:sz w:val="20"/>
          <w:szCs w:val="20"/>
          <w:color w:val="auto"/>
        </w:rPr>
      </w:pPr>
    </w:p>
    <w:p>
      <w:pPr>
        <w:ind w:right="100" w:firstLine="490"/>
        <w:spacing w:after="0" w:line="284" w:lineRule="auto"/>
        <w:rPr>
          <w:sz w:val="20"/>
          <w:szCs w:val="20"/>
          <w:color w:val="auto"/>
        </w:rPr>
      </w:pPr>
      <w:r>
        <w:rPr>
          <w:rFonts w:ascii="Arial" w:cs="Arial" w:eastAsia="Arial" w:hAnsi="Arial"/>
          <w:sz w:val="17"/>
          <w:szCs w:val="17"/>
          <w:b w:val="1"/>
          <w:bCs w:val="1"/>
          <w:color w:val="auto"/>
        </w:rPr>
        <w:t>The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spacing w:after="0" w:line="103"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98" w:lineRule="exact"/>
        <w:rPr>
          <w:sz w:val="20"/>
          <w:szCs w:val="20"/>
          <w:color w:val="auto"/>
        </w:rPr>
      </w:pPr>
    </w:p>
    <w:p>
      <w:pPr>
        <w:ind w:right="80" w:firstLine="490"/>
        <w:spacing w:after="0" w:line="325" w:lineRule="auto"/>
        <w:rPr>
          <w:sz w:val="20"/>
          <w:szCs w:val="20"/>
          <w:color w:val="auto"/>
        </w:rPr>
      </w:pPr>
      <w:r>
        <w:rPr>
          <w:rFonts w:ascii="Arial" w:cs="Arial" w:eastAsia="Arial" w:hAnsi="Arial"/>
          <w:sz w:val="15"/>
          <w:szCs w:val="15"/>
          <w:b w:val="1"/>
          <w:bCs w:val="1"/>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50</w:t>
      </w:r>
    </w:p>
    <w:p>
      <w:pPr>
        <w:sectPr>
          <w:pgSz w:w="12240" w:h="15840" w:orient="portrait"/>
          <w:cols w:equalWidth="0" w:num="1">
            <w:col w:w="9360"/>
          </w:cols>
          <w:pgMar w:left="1440" w:top="1440" w:right="1440" w:bottom="181" w:gutter="0" w:footer="0" w:header="0"/>
          <w:type w:val="continuous"/>
        </w:sectPr>
      </w:pPr>
    </w:p>
    <w:bookmarkStart w:id="52" w:name="page53"/>
    <w:bookmarkEnd w:id="52"/>
    <w:p>
      <w:pPr>
        <w:spacing w:after="0" w:line="10" w:lineRule="exact"/>
        <w:rPr>
          <w:sz w:val="20"/>
          <w:szCs w:val="20"/>
          <w:color w:val="auto"/>
        </w:rPr>
      </w:pPr>
    </w:p>
    <w:p>
      <w:pPr>
        <w:ind w:right="20" w:firstLine="490"/>
        <w:spacing w:after="0" w:line="271" w:lineRule="auto"/>
        <w:rPr>
          <w:sz w:val="20"/>
          <w:szCs w:val="20"/>
          <w:color w:val="auto"/>
        </w:rPr>
      </w:pPr>
      <w:r>
        <w:rPr>
          <w:rFonts w:ascii="Arial" w:cs="Arial" w:eastAsia="Arial" w:hAnsi="Arial"/>
          <w:sz w:val="18"/>
          <w:szCs w:val="18"/>
          <w:b w:val="1"/>
          <w:bCs w:val="1"/>
          <w:color w:val="auto"/>
        </w:rPr>
        <w:t>Current and future CMS coverage restrictions on classes of drugs that encompass our product candidates, including our candidates for treating Alzheimer’s disease, could have a material adverse impact on our ability to commercialize our product candidates, if approved, generate revenue and attain profitability. It is unclear how future CMS coverage decisions and policies will impact our business.</w:t>
      </w:r>
    </w:p>
    <w:p>
      <w:pPr>
        <w:spacing w:after="0" w:line="104" w:lineRule="exact"/>
        <w:rPr>
          <w:sz w:val="20"/>
          <w:szCs w:val="20"/>
          <w:color w:val="auto"/>
        </w:rPr>
      </w:pPr>
    </w:p>
    <w:p>
      <w:pPr>
        <w:ind w:right="140" w:firstLine="490"/>
        <w:spacing w:after="0" w:line="285" w:lineRule="auto"/>
        <w:rPr>
          <w:sz w:val="20"/>
          <w:szCs w:val="20"/>
          <w:color w:val="auto"/>
        </w:rPr>
      </w:pPr>
      <w:r>
        <w:rPr>
          <w:rFonts w:ascii="Arial" w:cs="Arial" w:eastAsia="Arial" w:hAnsi="Arial"/>
          <w:sz w:val="17"/>
          <w:szCs w:val="17"/>
          <w:b w:val="1"/>
          <w:bCs w:val="1"/>
          <w:color w:val="auto"/>
        </w:rPr>
        <w:t>Further, the current administration has issued an executive order focused on decreasing prescription drug prices, which directs the Secretary of Health and Human Services (HHS) to establish a mechanism through which American patients can buy drugs directly from manufacturers who sell at a most-favored-nation price. The order further directs the U.S. Trade Representative and Secretary of Commerce to take action to ensure foreign countries are not engaged in practices that purposefully and unfairly undercut market prices and drive price hikes in the United States. If HHS sets most-favored-nation pricing targets for prescription drugs or increases generic and biosimilar drug entry sooner than expected, then those actions could have a material adverse effect on our ability to set adequate pricing, recoup our investment in R&amp;D, and commercialize our product candidates, if approved. We cannot predict the full impact of this executive order, its implementation, or other measures that may be implemented by the current administration related to drug pricing.</w:t>
      </w:r>
    </w:p>
    <w:p>
      <w:pPr>
        <w:spacing w:after="0" w:line="218" w:lineRule="exact"/>
        <w:rPr>
          <w:sz w:val="20"/>
          <w:szCs w:val="20"/>
          <w:color w:val="auto"/>
        </w:rPr>
      </w:pPr>
    </w:p>
    <w:p>
      <w:pPr>
        <w:ind w:right="620"/>
        <w:spacing w:after="0" w:line="234" w:lineRule="auto"/>
        <w:rPr>
          <w:sz w:val="20"/>
          <w:szCs w:val="20"/>
          <w:color w:val="auto"/>
        </w:rPr>
      </w:pPr>
      <w:r>
        <w:rPr>
          <w:rFonts w:ascii="Arial" w:cs="Arial" w:eastAsia="Arial" w:hAnsi="Arial"/>
          <w:sz w:val="20"/>
          <w:szCs w:val="20"/>
          <w:b w:val="1"/>
          <w:bCs w:val="1"/>
          <w:color w:val="auto"/>
        </w:rPr>
        <w:t>Our product candidates for which we intend to seek approval may face biosimilar competition sooner than anticipated.</w:t>
      </w:r>
    </w:p>
    <w:p>
      <w:pPr>
        <w:spacing w:after="0" w:line="132"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Even if we are successful in achieving regulatory approval to commercialize a product candidate ahead of our competitors, our product candidates may face competition from biosimilar products. In the United States, our product candidates are regulated by the FDA as biologic products and we intend to seek approval for these product candidates pursuant to the BLA pathway.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94"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entitled to the 12-year period of exclusivity, potentially creating the opportunity for competition sooner than anticipated. Moreover, the extent to which a biosimilar product, once approved, will be substituted for any one of our reference products in a way that is analogous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98" w:lineRule="exact"/>
        <w:rPr>
          <w:sz w:val="20"/>
          <w:szCs w:val="20"/>
          <w:color w:val="auto"/>
        </w:rPr>
      </w:pPr>
    </w:p>
    <w:p>
      <w:pPr>
        <w:ind w:right="140" w:firstLine="490"/>
        <w:spacing w:after="0" w:line="286" w:lineRule="auto"/>
        <w:rPr>
          <w:sz w:val="20"/>
          <w:szCs w:val="20"/>
          <w:color w:val="auto"/>
        </w:rPr>
      </w:pPr>
      <w:r>
        <w:rPr>
          <w:rFonts w:ascii="Arial" w:cs="Arial" w:eastAsia="Arial" w:hAnsi="Arial"/>
          <w:sz w:val="17"/>
          <w:szCs w:val="17"/>
          <w:b w:val="1"/>
          <w:bCs w:val="1"/>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get it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97" w:lineRule="exact"/>
        <w:rPr>
          <w:sz w:val="20"/>
          <w:szCs w:val="20"/>
          <w:color w:val="auto"/>
        </w:rPr>
      </w:pPr>
    </w:p>
    <w:p>
      <w:pPr>
        <w:jc w:val="both"/>
        <w:ind w:right="300" w:firstLine="490"/>
        <w:spacing w:after="0" w:line="292" w:lineRule="auto"/>
        <w:rPr>
          <w:sz w:val="20"/>
          <w:szCs w:val="20"/>
          <w:color w:val="auto"/>
        </w:rPr>
      </w:pPr>
      <w:r>
        <w:rPr>
          <w:rFonts w:ascii="Arial" w:cs="Arial" w:eastAsia="Arial" w:hAnsi="Arial"/>
          <w:sz w:val="17"/>
          <w:szCs w:val="17"/>
          <w:b w:val="1"/>
          <w:bCs w:val="1"/>
          <w:color w:val="auto"/>
        </w:rPr>
        <w:t>If competitors are able to obtain marketing approval for biosimilars referencing our product candidates, if approved, such product candidates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9360"/>
          </w:cols>
          <w:pgMar w:left="1440" w:top="1440" w:right="1440" w:bottom="181" w:gutter="0" w:footer="0" w:header="0"/>
          <w:type w:val="continuous"/>
        </w:sectPr>
      </w:pPr>
    </w:p>
    <w:bookmarkStart w:id="53" w:name="page54"/>
    <w:bookmarkEnd w:id="53"/>
    <w:p>
      <w:pPr>
        <w:spacing w:after="0" w:line="10"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b w:val="1"/>
          <w:bCs w:val="1"/>
          <w:color w:val="auto"/>
        </w:rPr>
        <w:t>Any legal proceedings or claims involving or against us could be costly and time-consuming to defend and could harm our reputation regardless of the outcome.</w:t>
      </w:r>
    </w:p>
    <w:p>
      <w:pPr>
        <w:spacing w:after="0" w:line="130" w:lineRule="exact"/>
        <w:rPr>
          <w:sz w:val="20"/>
          <w:szCs w:val="20"/>
          <w:color w:val="auto"/>
        </w:rPr>
      </w:pPr>
    </w:p>
    <w:p>
      <w:pPr>
        <w:ind w:right="40" w:firstLine="490"/>
        <w:spacing w:after="0" w:line="328" w:lineRule="auto"/>
        <w:rPr>
          <w:sz w:val="20"/>
          <w:szCs w:val="20"/>
          <w:color w:val="auto"/>
        </w:rPr>
      </w:pPr>
      <w:r>
        <w:rPr>
          <w:rFonts w:ascii="Arial" w:cs="Arial" w:eastAsia="Arial" w:hAnsi="Arial"/>
          <w:sz w:val="15"/>
          <w:szCs w:val="15"/>
          <w:b w:val="1"/>
          <w:bCs w:val="1"/>
          <w:color w:val="auto"/>
        </w:rPr>
        <w:t>We may become subject to legal proceedings and claims that arise in the ordinary course of business, including intellectual property, data privacy, product liability, employment, class action or derivative, whistleblower and other litigation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spacing w:after="0" w:line="190"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b w:val="1"/>
          <w:bCs w:val="1"/>
          <w:color w:val="auto"/>
        </w:rPr>
        <w:t>If product liability lawsuits are brought against us, we may incur substantial liabilities and may be required to limit commercialization of our product candidates.</w:t>
      </w:r>
    </w:p>
    <w:p>
      <w:pPr>
        <w:spacing w:after="0" w:line="132"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or in countries outside the United States under the applicable legal regimes. If we cannot successfully defend ourselves against product liability claims, we may incur substantial liabilities or be required to limit testing and commercialization of our product candidates. Even successful defense or negotiations of a settlement would require significant financial and management resources. Regardless of the merits or eventual outcome, liability claims may result in:</w:t>
      </w:r>
    </w:p>
    <w:p>
      <w:pPr>
        <w:spacing w:after="0" w:line="90" w:lineRule="exact"/>
        <w:rPr>
          <w:sz w:val="20"/>
          <w:szCs w:val="20"/>
          <w:color w:val="auto"/>
        </w:rPr>
      </w:pPr>
    </w:p>
    <w:p>
      <w:pPr>
        <w:ind w:left="1100" w:right="4260"/>
        <w:spacing w:after="0" w:line="369" w:lineRule="auto"/>
        <w:rPr>
          <w:sz w:val="20"/>
          <w:szCs w:val="20"/>
          <w:color w:val="auto"/>
        </w:rPr>
      </w:pPr>
      <w:r>
        <w:rPr>
          <w:rFonts w:ascii="Arial" w:cs="Arial" w:eastAsia="Arial" w:hAnsi="Arial"/>
          <w:sz w:val="20"/>
          <w:szCs w:val="20"/>
          <w:b w:val="1"/>
          <w:bCs w:val="1"/>
          <w:color w:val="auto"/>
        </w:rPr>
        <w:t>decreased or interrupted demand for our products; injury to our reputation;</w:t>
      </w:r>
    </w:p>
    <w:p>
      <w:pPr>
        <w:spacing w:after="0" w:line="22" w:lineRule="exact"/>
        <w:rPr>
          <w:sz w:val="20"/>
          <w:szCs w:val="20"/>
          <w:color w:val="auto"/>
        </w:rPr>
      </w:pPr>
    </w:p>
    <w:p>
      <w:pPr>
        <w:ind w:left="1100" w:right="2020"/>
        <w:spacing w:after="0" w:line="367" w:lineRule="auto"/>
        <w:rPr>
          <w:sz w:val="20"/>
          <w:szCs w:val="20"/>
          <w:color w:val="auto"/>
        </w:rPr>
      </w:pPr>
      <w:r>
        <w:rPr>
          <w:rFonts w:ascii="Arial" w:cs="Arial" w:eastAsia="Arial" w:hAnsi="Arial"/>
          <w:sz w:val="20"/>
          <w:szCs w:val="20"/>
          <w:b w:val="1"/>
          <w:bCs w:val="1"/>
          <w:color w:val="auto"/>
        </w:rPr>
        <w:t>withdrawal of clinical trial participants and inability to continue clinical trials; initiation of investigations by regulators;</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costs to defend the related litigation;</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 diversion of management’s time and our resources;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substantial monetary awards to trial participants or patients;</w:t>
      </w:r>
    </w:p>
    <w:p>
      <w:pPr>
        <w:spacing w:after="0" w:line="145" w:lineRule="exact"/>
        <w:rPr>
          <w:sz w:val="20"/>
          <w:szCs w:val="20"/>
          <w:color w:val="auto"/>
        </w:rPr>
      </w:pPr>
    </w:p>
    <w:p>
      <w:pPr>
        <w:ind w:left="1100" w:right="1900"/>
        <w:spacing w:after="0" w:line="369" w:lineRule="auto"/>
        <w:rPr>
          <w:sz w:val="20"/>
          <w:szCs w:val="20"/>
          <w:color w:val="auto"/>
        </w:rPr>
      </w:pPr>
      <w:r>
        <w:rPr>
          <w:rFonts w:ascii="Arial" w:cs="Arial" w:eastAsia="Arial" w:hAnsi="Arial"/>
          <w:sz w:val="20"/>
          <w:szCs w:val="20"/>
          <w:b w:val="1"/>
          <w:bCs w:val="1"/>
          <w:color w:val="auto"/>
        </w:rPr>
        <w:t>product recalls, withdrawals or labeling, marketing, or promotional restrictions; loss of revenue;</w:t>
      </w:r>
    </w:p>
    <w:p>
      <w:pPr>
        <w:spacing w:after="0" w:line="20" w:lineRule="exact"/>
        <w:rPr>
          <w:sz w:val="20"/>
          <w:szCs w:val="20"/>
          <w:color w:val="auto"/>
        </w:rPr>
      </w:pPr>
    </w:p>
    <w:p>
      <w:pPr>
        <w:ind w:left="1100" w:right="2820"/>
        <w:spacing w:after="0" w:line="452" w:lineRule="auto"/>
        <w:rPr>
          <w:sz w:val="20"/>
          <w:szCs w:val="20"/>
          <w:color w:val="auto"/>
        </w:rPr>
      </w:pPr>
      <w:r>
        <w:rPr>
          <w:rFonts w:ascii="Arial" w:cs="Arial" w:eastAsia="Arial" w:hAnsi="Arial"/>
          <w:sz w:val="17"/>
          <w:szCs w:val="17"/>
          <w:b w:val="1"/>
          <w:bCs w:val="1"/>
          <w:color w:val="auto"/>
        </w:rPr>
        <w:t>exhaustion of any available insurance and our capital resources; and the inability to commercialize any product candidate.</w:t>
      </w:r>
    </w:p>
    <w:p>
      <w:pPr>
        <w:spacing w:after="0" w:line="2"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b w:val="1"/>
          <w:bCs w:val="1"/>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52</w:t>
      </w:r>
    </w:p>
    <w:p>
      <w:pPr>
        <w:sectPr>
          <w:pgSz w:w="12240" w:h="15840" w:orient="portrait"/>
          <w:cols w:equalWidth="0" w:num="1">
            <w:col w:w="9360"/>
          </w:cols>
          <w:pgMar w:left="1440" w:top="1440" w:right="1440" w:bottom="181"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Risks Related to Regulatory Approval and Other Legal Compliance Matters</w:t>
      </w:r>
    </w:p>
    <w:p>
      <w:pPr>
        <w:spacing w:after="0" w:line="131"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86" w:lineRule="exact"/>
        <w:rPr>
          <w:sz w:val="20"/>
          <w:szCs w:val="20"/>
          <w:color w:val="auto"/>
        </w:rPr>
      </w:pPr>
    </w:p>
    <w:p>
      <w:pPr>
        <w:ind w:right="40" w:firstLine="490"/>
        <w:spacing w:after="0" w:line="328" w:lineRule="auto"/>
        <w:rPr>
          <w:sz w:val="20"/>
          <w:szCs w:val="20"/>
          <w:color w:val="auto"/>
        </w:rPr>
      </w:pPr>
      <w:r>
        <w:rPr>
          <w:rFonts w:ascii="Arial" w:cs="Arial" w:eastAsia="Arial" w:hAnsi="Arial"/>
          <w:sz w:val="15"/>
          <w:szCs w:val="15"/>
          <w:b w:val="1"/>
          <w:bCs w:val="1"/>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an application for or obtained regulatory approval for any product candidate, and it is possible that none of our existing product candidates or any product candidates we may seek to develop in the future will ever obtain regulatory approval.</w:t>
      </w:r>
    </w:p>
    <w:p>
      <w:pPr>
        <w:spacing w:after="0" w:line="298"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Further, development of our product candidates and/or regulatory approval may be delayed for reasons beyond our control. For example, the U.S. federal government has experienced and may in the future experience major reductions in the federal workforce, shutdowns or budget sequestrations, which has resulted and could result in significant reductions to the FDA’s budget, employees, and/or operations, which may lead to slower response times and longer review periods, potentially affecting our ability to progress development of our product candidates or obtain regulatory approval for our product candidates. FDA and other regulatory authorities may also experience delays or limited resources due to the effects of worldwide economic conditions, including tariffs and global trade disruptions, pandemics or other public health outbreaks, other geopolitical events, conflicts or other reasons. To the extent FDA and other regulatory authorities experience any delays or limited resources in reviewing our regulatory applications or requests for meetings and/or guidance, and inspection of manufacturing facilities prior to regulatory approval, we may experience significant delays in our anticipated timelines for our clinical studies and/or for seeking regulatory approvals, which could adversely affect our business.</w:t>
      </w:r>
    </w:p>
    <w:p>
      <w:pPr>
        <w:spacing w:after="0" w:line="94" w:lineRule="exact"/>
        <w:rPr>
          <w:sz w:val="20"/>
          <w:szCs w:val="20"/>
          <w:color w:val="auto"/>
        </w:rPr>
      </w:pPr>
    </w:p>
    <w:p>
      <w:pPr>
        <w:ind w:right="320" w:firstLine="490"/>
        <w:spacing w:after="0" w:line="234" w:lineRule="auto"/>
        <w:rPr>
          <w:sz w:val="20"/>
          <w:szCs w:val="20"/>
          <w:color w:val="auto"/>
        </w:rPr>
      </w:pPr>
      <w:r>
        <w:rPr>
          <w:rFonts w:ascii="Arial" w:cs="Arial" w:eastAsia="Arial" w:hAnsi="Arial"/>
          <w:sz w:val="20"/>
          <w:szCs w:val="20"/>
          <w:b w:val="1"/>
          <w:bCs w:val="1"/>
          <w:color w:val="auto"/>
        </w:rPr>
        <w:t>Applications for our product candidates could fail to receive regulatory approval in an initial or subsequent indication for many reasons, including but not limited to the following:</w:t>
      </w:r>
    </w:p>
    <w:p>
      <w:pPr>
        <w:spacing w:after="0" w:line="124" w:lineRule="exact"/>
        <w:rPr>
          <w:sz w:val="20"/>
          <w:szCs w:val="20"/>
          <w:color w:val="auto"/>
        </w:rPr>
      </w:pPr>
    </w:p>
    <w:p>
      <w:pPr>
        <w:ind w:left="1100" w:right="960"/>
        <w:spacing w:after="0" w:line="281" w:lineRule="auto"/>
        <w:rPr>
          <w:sz w:val="20"/>
          <w:szCs w:val="20"/>
          <w:color w:val="auto"/>
        </w:rPr>
      </w:pPr>
      <w:r>
        <w:rPr>
          <w:rFonts w:ascii="Arial" w:cs="Arial" w:eastAsia="Arial" w:hAnsi="Arial"/>
          <w:sz w:val="18"/>
          <w:szCs w:val="18"/>
          <w:b w:val="1"/>
          <w:bCs w:val="1"/>
          <w:color w:val="auto"/>
        </w:rPr>
        <w:t>the FDA, EMA, or comparable foreign regulatory authorities may disagree with the design, implementation, or the interpretation of the results of our clinical trials;</w:t>
      </w:r>
    </w:p>
    <w:p>
      <w:pPr>
        <w:spacing w:after="0" w:line="110" w:lineRule="exact"/>
        <w:rPr>
          <w:sz w:val="20"/>
          <w:szCs w:val="20"/>
          <w:color w:val="auto"/>
        </w:rPr>
      </w:pPr>
    </w:p>
    <w:p>
      <w:pPr>
        <w:ind w:left="1100" w:right="40"/>
        <w:spacing w:after="0" w:line="252" w:lineRule="auto"/>
        <w:rPr>
          <w:sz w:val="20"/>
          <w:szCs w:val="20"/>
          <w:color w:val="auto"/>
        </w:rPr>
      </w:pPr>
      <w:r>
        <w:rPr>
          <w:rFonts w:ascii="Arial" w:cs="Arial" w:eastAsia="Arial" w:hAnsi="Arial"/>
          <w:sz w:val="19"/>
          <w:szCs w:val="19"/>
          <w:b w:val="1"/>
          <w:bCs w:val="1"/>
          <w:color w:val="auto"/>
        </w:rPr>
        <w:t>the FDA, EMA, or comparable foreign regulatory authorities may determine that our product candidates are not safe and effective, only moderately or insufficiently effective or have undesirable or unintended side effects, toxicities, or other characteristics that preclude our obtaining marketing approval or prevent or limit commercial use;</w:t>
      </w:r>
    </w:p>
    <w:p>
      <w:pPr>
        <w:spacing w:after="0" w:line="135" w:lineRule="exact"/>
        <w:rPr>
          <w:sz w:val="20"/>
          <w:szCs w:val="20"/>
          <w:color w:val="auto"/>
        </w:rPr>
      </w:pPr>
    </w:p>
    <w:p>
      <w:pPr>
        <w:ind w:left="1100" w:right="80"/>
        <w:spacing w:after="0" w:line="281" w:lineRule="auto"/>
        <w:rPr>
          <w:sz w:val="20"/>
          <w:szCs w:val="20"/>
          <w:color w:val="auto"/>
        </w:rPr>
      </w:pPr>
      <w:r>
        <w:rPr>
          <w:rFonts w:ascii="Arial" w:cs="Arial" w:eastAsia="Arial" w:hAnsi="Arial"/>
          <w:sz w:val="18"/>
          <w:szCs w:val="18"/>
          <w:b w:val="1"/>
          <w:bCs w:val="1"/>
          <w:color w:val="auto"/>
        </w:rPr>
        <w:t>the population studied in the clinical program may not be sufficiently broad or representative to assure efficacy and safety in the full population for which we seek approval;</w:t>
      </w:r>
    </w:p>
    <w:p>
      <w:pPr>
        <w:spacing w:after="0" w:line="110" w:lineRule="exact"/>
        <w:rPr>
          <w:sz w:val="20"/>
          <w:szCs w:val="20"/>
          <w:color w:val="auto"/>
        </w:rPr>
      </w:pPr>
    </w:p>
    <w:p>
      <w:pPr>
        <w:ind w:left="1100" w:right="200"/>
        <w:spacing w:after="0" w:line="234" w:lineRule="auto"/>
        <w:rPr>
          <w:sz w:val="20"/>
          <w:szCs w:val="20"/>
          <w:color w:val="auto"/>
        </w:rPr>
      </w:pPr>
      <w:r>
        <w:rPr>
          <w:rFonts w:ascii="Arial" w:cs="Arial" w:eastAsia="Arial" w:hAnsi="Arial"/>
          <w:sz w:val="20"/>
          <w:szCs w:val="20"/>
          <w:b w:val="1"/>
          <w:bCs w:val="1"/>
          <w:color w:val="auto"/>
        </w:rPr>
        <w:t>the FDA, EMA, or comparable foreign regulatory authorities may disagree with our interpretation of data from preclinical studies or clinical trials;</w:t>
      </w:r>
    </w:p>
    <w:p>
      <w:pPr>
        <w:spacing w:after="0" w:line="144" w:lineRule="exact"/>
        <w:rPr>
          <w:sz w:val="20"/>
          <w:szCs w:val="20"/>
          <w:color w:val="auto"/>
        </w:rPr>
      </w:pPr>
    </w:p>
    <w:p>
      <w:pPr>
        <w:ind w:left="1100" w:right="40"/>
        <w:spacing w:after="0" w:line="236" w:lineRule="auto"/>
        <w:rPr>
          <w:sz w:val="20"/>
          <w:szCs w:val="20"/>
          <w:color w:val="auto"/>
        </w:rPr>
      </w:pPr>
      <w:r>
        <w:rPr>
          <w:rFonts w:ascii="Arial" w:cs="Arial" w:eastAsia="Arial" w:hAnsi="Arial"/>
          <w:sz w:val="20"/>
          <w:szCs w:val="20"/>
          <w:b w:val="1"/>
          <w:bCs w:val="1"/>
          <w:color w:val="auto"/>
        </w:rPr>
        <w:t>the data collected from clinical trials of our product candidates may not be sufficient to support the submission of an NDA, BLA, or other submission or to obtain regulatory approval in the United States or elsewhere;</w:t>
      </w:r>
    </w:p>
    <w:p>
      <w:pPr>
        <w:spacing w:after="0" w:line="147" w:lineRule="exact"/>
        <w:rPr>
          <w:sz w:val="20"/>
          <w:szCs w:val="20"/>
          <w:color w:val="auto"/>
        </w:rPr>
      </w:pPr>
    </w:p>
    <w:p>
      <w:pPr>
        <w:ind w:left="1100" w:right="100"/>
        <w:spacing w:after="0" w:line="236" w:lineRule="auto"/>
        <w:rPr>
          <w:sz w:val="20"/>
          <w:szCs w:val="20"/>
          <w:color w:val="auto"/>
        </w:rPr>
      </w:pPr>
      <w:r>
        <w:rPr>
          <w:rFonts w:ascii="Arial" w:cs="Arial" w:eastAsia="Arial" w:hAnsi="Arial"/>
          <w:sz w:val="20"/>
          <w:szCs w:val="20"/>
          <w:b w:val="1"/>
          <w:bCs w:val="1"/>
          <w:color w:val="auto"/>
        </w:rPr>
        <w:t>we may be unable to demonstrate to the FDA, EMA, or comparable foreign regulatory authorities that a product candidate’s risk-benefit ratio, on its own or when compared to the standard of care, is acceptable;</w:t>
      </w:r>
    </w:p>
    <w:p>
      <w:pPr>
        <w:spacing w:after="0" w:line="144" w:lineRule="exact"/>
        <w:rPr>
          <w:sz w:val="20"/>
          <w:szCs w:val="20"/>
          <w:color w:val="auto"/>
        </w:rPr>
      </w:pPr>
    </w:p>
    <w:p>
      <w:pPr>
        <w:ind w:left="1100" w:right="100"/>
        <w:spacing w:after="0" w:line="236" w:lineRule="auto"/>
        <w:rPr>
          <w:sz w:val="20"/>
          <w:szCs w:val="20"/>
          <w:color w:val="auto"/>
        </w:rPr>
      </w:pPr>
      <w:r>
        <w:rPr>
          <w:rFonts w:ascii="Arial" w:cs="Arial" w:eastAsia="Arial" w:hAnsi="Arial"/>
          <w:sz w:val="20"/>
          <w:szCs w:val="20"/>
          <w:b w:val="1"/>
          <w:bCs w:val="1"/>
          <w:color w:val="auto"/>
        </w:rPr>
        <w:t>the FDA, EMA, or comparable foreign regulatory authorities may fail to approve the manufacturing processes, test procedures, and specifications, or facilities of third-party manufacturers with which we contract for clinical and commercial supplies; and</w:t>
      </w:r>
    </w:p>
    <w:p>
      <w:pPr>
        <w:spacing w:after="0" w:line="147" w:lineRule="exact"/>
        <w:rPr>
          <w:sz w:val="20"/>
          <w:szCs w:val="20"/>
          <w:color w:val="auto"/>
        </w:rPr>
      </w:pPr>
    </w:p>
    <w:p>
      <w:pPr>
        <w:ind w:left="1100" w:right="140"/>
        <w:spacing w:after="0" w:line="385" w:lineRule="auto"/>
        <w:rPr>
          <w:sz w:val="20"/>
          <w:szCs w:val="20"/>
          <w:color w:val="auto"/>
        </w:rPr>
      </w:pPr>
      <w:r>
        <w:rPr>
          <w:rFonts w:ascii="Arial" w:cs="Arial" w:eastAsia="Arial" w:hAnsi="Arial"/>
          <w:sz w:val="15"/>
          <w:szCs w:val="15"/>
          <w:b w:val="1"/>
          <w:bCs w:val="1"/>
          <w:color w:val="auto"/>
        </w:rPr>
        <w:t>the approval policies or regulations of the FDA, EMA, or comparable foreign regulatory authorities may significantly change in a manner rendering our clinical data insufficient for approval or resulting</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9360"/>
          </w:cols>
          <w:pgMar w:left="1440" w:top="1439" w:right="1440" w:bottom="181" w:gutter="0" w:footer="0" w:header="0"/>
          <w:type w:val="continuous"/>
        </w:sectPr>
      </w:pPr>
    </w:p>
    <w:bookmarkStart w:id="55" w:name="page56"/>
    <w:bookmarkEnd w:id="55"/>
    <w:p>
      <w:pPr>
        <w:spacing w:after="0" w:line="10" w:lineRule="exact"/>
        <w:rPr>
          <w:sz w:val="20"/>
          <w:szCs w:val="20"/>
          <w:color w:val="auto"/>
        </w:rPr>
      </w:pPr>
    </w:p>
    <w:p>
      <w:pPr>
        <w:ind w:left="1100" w:right="40"/>
        <w:spacing w:after="0" w:line="273" w:lineRule="auto"/>
        <w:rPr>
          <w:sz w:val="20"/>
          <w:szCs w:val="20"/>
          <w:color w:val="auto"/>
        </w:rPr>
      </w:pPr>
      <w:r>
        <w:rPr>
          <w:rFonts w:ascii="Arial" w:cs="Arial" w:eastAsia="Arial" w:hAnsi="Arial"/>
          <w:sz w:val="18"/>
          <w:szCs w:val="18"/>
          <w:b w:val="1"/>
          <w:bCs w:val="1"/>
          <w:color w:val="auto"/>
        </w:rPr>
        <w:t>in delays in our regulatory approval, as seen, for example, in connection with the FDA’s approval of Biogen’s Aduhelm in Alzheimer’s disease amid questions regarding the underlying data, as well as the government investigation of the FDA’s approval process for Aduhelm.</w:t>
      </w:r>
    </w:p>
    <w:p>
      <w:pPr>
        <w:spacing w:after="0" w:line="103" w:lineRule="exact"/>
        <w:rPr>
          <w:sz w:val="20"/>
          <w:szCs w:val="20"/>
          <w:color w:val="auto"/>
        </w:rPr>
      </w:pPr>
    </w:p>
    <w:p>
      <w:pPr>
        <w:ind w:right="120" w:firstLine="490"/>
        <w:spacing w:after="0" w:line="236" w:lineRule="auto"/>
        <w:rPr>
          <w:sz w:val="20"/>
          <w:szCs w:val="20"/>
          <w:color w:val="auto"/>
        </w:rPr>
      </w:pPr>
      <w:r>
        <w:rPr>
          <w:rFonts w:ascii="Arial" w:cs="Arial" w:eastAsia="Arial" w:hAnsi="Arial"/>
          <w:sz w:val="20"/>
          <w:szCs w:val="20"/>
          <w:b w:val="1"/>
          <w:bCs w:val="1"/>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growth prospects.</w:t>
      </w:r>
    </w:p>
    <w:p>
      <w:pPr>
        <w:spacing w:after="0" w:line="133"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In addition, the FDA and other regulatory authorities may change their policies, issue additional regulations or revise existing regulations, any of which could delay our ability to obtain approvals, increase the costs of compliance or restrict our ability to maintain any regulatory approvals we may have obtained. In June 2024, the Supreme Court overturned their 1984 decision that gave rise to the Chevron doctrine. That doctrine gave deference to regulatory agencies such as FDA, rather than the courts, to interpret relevant statutes where the law is ambiguous. As a result of the Supreme Court’s rejection of the Chevron doctrine, more companies and other stakeholders may bring lawsuits against the FDA to challenge longstanding FDA decisions and policies, which could undermine the FDA’s authority, lead to uncertainties in the industry, and disrupt the FDA’s normal operations, potentially resulting in the delay of the FDA’s review of our regulatory submissions. We cannot predict the full impact of this decision on us or the pharmaceutical and biotechnology industries in general.</w:t>
      </w:r>
    </w:p>
    <w:p>
      <w:pPr>
        <w:spacing w:after="0" w:line="98" w:lineRule="exact"/>
        <w:rPr>
          <w:sz w:val="20"/>
          <w:szCs w:val="20"/>
          <w:color w:val="auto"/>
        </w:rPr>
      </w:pPr>
    </w:p>
    <w:p>
      <w:pPr>
        <w:ind w:right="40" w:firstLine="490"/>
        <w:spacing w:after="0" w:line="323" w:lineRule="auto"/>
        <w:rPr>
          <w:sz w:val="20"/>
          <w:szCs w:val="20"/>
          <w:color w:val="auto"/>
        </w:rPr>
      </w:pPr>
      <w:r>
        <w:rPr>
          <w:rFonts w:ascii="Arial" w:cs="Arial" w:eastAsia="Arial" w:hAnsi="Arial"/>
          <w:sz w:val="15"/>
          <w:szCs w:val="15"/>
          <w:b w:val="1"/>
          <w:bCs w:val="1"/>
          <w:color w:val="auto"/>
        </w:rPr>
        <w:t>Additionally, reorganization of the U.S. Department of Health and Human Services (HHS) under its current leadership, changes in the current administration’s focus and policies, departure of senior leadership at the FDA and other agencies under HHS, and reductions in staffing at HHS may impact operations at the FDA as well as other federal agencies. Government shutdown, staff departures at the FDA, lapses in government appropriations, and changes in the staffing and resourcing levels at the FDA may impact the FDA’s ability to meet current review, approval, and inspection schedules, as well as our ongoing correspondence with the FDA, including correspondence regarding progression to the next phases of development. Likewise, restructuring, downsizing, and decreased funding of federal agencies including the FDA may result in our not realizing all the benefits of Breakthrough Designation and Fast Track designation, particularly benefits related to priority review, frequent communications with the FDA, and intensive guidance from the FDA, to the extent such benefits are applicable to any of our product candidates. Any of the above impacts could in turn delay our anticipated timelines, which can increase the cost of clinical development of our product candidates. Other policy changes may lead to fewer agency guidance documents, which could result in changes to FDA programs or possible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administration and the new FDA commissioner or other executive orders. To the extent the agency's reduction in force and other agency changes lead to disruptions in the FDA’s operations, our interactions, correspondence, and regulatory review processes with the FDA may be delayed.</w:t>
      </w:r>
    </w:p>
    <w:p>
      <w:pPr>
        <w:spacing w:after="0" w:line="200" w:lineRule="exact"/>
        <w:rPr>
          <w:sz w:val="20"/>
          <w:szCs w:val="20"/>
          <w:color w:val="auto"/>
        </w:rPr>
      </w:pPr>
    </w:p>
    <w:p>
      <w:pPr>
        <w:spacing w:after="0" w:line="232" w:lineRule="exact"/>
        <w:rPr>
          <w:sz w:val="20"/>
          <w:szCs w:val="20"/>
          <w:color w:val="auto"/>
        </w:rPr>
      </w:pPr>
    </w:p>
    <w:p>
      <w:pPr>
        <w:jc w:val="both"/>
        <w:ind w:right="120"/>
        <w:spacing w:after="0" w:line="236" w:lineRule="auto"/>
        <w:rPr>
          <w:sz w:val="20"/>
          <w:szCs w:val="20"/>
          <w:color w:val="auto"/>
        </w:rPr>
      </w:pPr>
      <w:r>
        <w:rPr>
          <w:rFonts w:ascii="Arial" w:cs="Arial" w:eastAsia="Arial" w:hAnsi="Arial"/>
          <w:sz w:val="20"/>
          <w:szCs w:val="20"/>
          <w:b w:val="1"/>
          <w:b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30" w:lineRule="exact"/>
        <w:rPr>
          <w:sz w:val="20"/>
          <w:szCs w:val="20"/>
          <w:color w:val="auto"/>
        </w:rPr>
      </w:pPr>
    </w:p>
    <w:p>
      <w:pPr>
        <w:ind w:right="20" w:firstLine="490"/>
        <w:spacing w:after="0" w:line="297" w:lineRule="auto"/>
        <w:rPr>
          <w:sz w:val="20"/>
          <w:szCs w:val="20"/>
          <w:color w:val="auto"/>
        </w:rPr>
      </w:pPr>
      <w:r>
        <w:rPr>
          <w:rFonts w:ascii="Arial" w:cs="Arial" w:eastAsia="Arial" w:hAnsi="Arial"/>
          <w:sz w:val="17"/>
          <w:szCs w:val="17"/>
          <w:b w:val="1"/>
          <w:bCs w:val="1"/>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85"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Drug-related side effects could affect patient recruitment, the ability of enrolled patients to complete the study, and/or result in potential product liability claims. We are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54</w:t>
      </w:r>
    </w:p>
    <w:p>
      <w:pPr>
        <w:sectPr>
          <w:pgSz w:w="12240" w:h="15840" w:orient="portrait"/>
          <w:cols w:equalWidth="0" w:num="1">
            <w:col w:w="9360"/>
          </w:cols>
          <w:pgMar w:left="1440" w:top="1440" w:right="1440" w:bottom="181" w:gutter="0" w:footer="0" w:header="0"/>
          <w:type w:val="continuous"/>
        </w:sectPr>
      </w:pPr>
    </w:p>
    <w:bookmarkStart w:id="56" w:name="page57"/>
    <w:bookmarkEnd w:id="56"/>
    <w:p>
      <w:pPr>
        <w:spacing w:after="0" w:line="10" w:lineRule="exact"/>
        <w:rPr>
          <w:sz w:val="20"/>
          <w:szCs w:val="20"/>
          <w:color w:val="auto"/>
        </w:rPr>
      </w:pPr>
    </w:p>
    <w:p>
      <w:pPr>
        <w:ind w:firstLine="490"/>
        <w:spacing w:after="0" w:line="270" w:lineRule="auto"/>
        <w:rPr>
          <w:sz w:val="20"/>
          <w:szCs w:val="20"/>
          <w:color w:val="auto"/>
        </w:rPr>
      </w:pPr>
      <w:r>
        <w:rPr>
          <w:rFonts w:ascii="Arial" w:cs="Arial" w:eastAsia="Arial" w:hAnsi="Arial"/>
          <w:sz w:val="18"/>
          <w:szCs w:val="18"/>
          <w:b w:val="1"/>
          <w:bCs w:val="1"/>
          <w:color w:val="auto"/>
        </w:rPr>
        <w:t>For example, treatment-emergent MRI findings resembling ARIA were observed in our INVOKE-2 Phase 2 clinical trial. ARIA are MRI findings that may include vasogenic edema, sulcal effusions, microhemorrhages and/or superficial siderosis. In INVOKE-2, most cases resembling ARIA were asymptomatic and non-serious. We mitigated ARIA-related risks by discontinuing enrollment of patients who were most at risk based on their genotype, and we implemented additional monitoring procedures.</w:t>
      </w:r>
    </w:p>
    <w:p>
      <w:pPr>
        <w:spacing w:after="0" w:line="105" w:lineRule="exact"/>
        <w:rPr>
          <w:sz w:val="20"/>
          <w:szCs w:val="20"/>
          <w:color w:val="auto"/>
        </w:rPr>
      </w:pPr>
    </w:p>
    <w:p>
      <w:pPr>
        <w:ind w:right="380" w:firstLine="490"/>
        <w:spacing w:after="0" w:line="253" w:lineRule="auto"/>
        <w:rPr>
          <w:sz w:val="20"/>
          <w:szCs w:val="20"/>
          <w:color w:val="auto"/>
        </w:rPr>
      </w:pPr>
      <w:r>
        <w:rPr>
          <w:rFonts w:ascii="Arial" w:cs="Arial" w:eastAsia="Arial" w:hAnsi="Arial"/>
          <w:sz w:val="19"/>
          <w:szCs w:val="19"/>
          <w:b w:val="1"/>
          <w:bCs w:val="1"/>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10" w:lineRule="exact"/>
        <w:rPr>
          <w:sz w:val="20"/>
          <w:szCs w:val="20"/>
          <w:color w:val="auto"/>
        </w:rPr>
      </w:pPr>
    </w:p>
    <w:p>
      <w:pPr>
        <w:ind w:left="1100" w:right="360"/>
        <w:spacing w:after="0" w:line="400" w:lineRule="auto"/>
        <w:rPr>
          <w:sz w:val="20"/>
          <w:szCs w:val="20"/>
          <w:color w:val="auto"/>
        </w:rPr>
      </w:pPr>
      <w:r>
        <w:rPr>
          <w:rFonts w:ascii="Arial" w:cs="Arial" w:eastAsia="Arial" w:hAnsi="Arial"/>
          <w:sz w:val="19"/>
          <w:szCs w:val="19"/>
          <w:b w:val="1"/>
          <w:bCs w:val="1"/>
          <w:color w:val="auto"/>
        </w:rPr>
        <w:t>regulatory authorities may withdraw approvals of such product and cause us to recall our products; regulatory authorities may require additional warnings on the label;</w:t>
      </w:r>
    </w:p>
    <w:p>
      <w:pPr>
        <w:spacing w:after="0" w:line="1" w:lineRule="exact"/>
        <w:rPr>
          <w:sz w:val="20"/>
          <w:szCs w:val="20"/>
          <w:color w:val="auto"/>
        </w:rPr>
      </w:pPr>
    </w:p>
    <w:p>
      <w:pPr>
        <w:ind w:left="1100" w:right="60"/>
        <w:spacing w:after="0" w:line="254" w:lineRule="auto"/>
        <w:rPr>
          <w:sz w:val="20"/>
          <w:szCs w:val="20"/>
          <w:color w:val="auto"/>
        </w:rPr>
      </w:pPr>
      <w:r>
        <w:rPr>
          <w:rFonts w:ascii="Arial" w:cs="Arial" w:eastAsia="Arial" w:hAnsi="Arial"/>
          <w:sz w:val="19"/>
          <w:szCs w:val="19"/>
          <w:b w:val="1"/>
          <w:bCs w:val="1"/>
          <w:color w:val="auto"/>
        </w:rPr>
        <w:t>we may be required to change the way the product is administered, monitor patients over the course of treatment, or conduct additional clinical trials or post-approval studies;</w:t>
      </w:r>
    </w:p>
    <w:p>
      <w:pPr>
        <w:spacing w:after="0" w:line="132" w:lineRule="exact"/>
        <w:rPr>
          <w:sz w:val="20"/>
          <w:szCs w:val="20"/>
          <w:color w:val="auto"/>
        </w:rPr>
      </w:pPr>
    </w:p>
    <w:p>
      <w:pPr>
        <w:ind w:left="1100" w:right="180"/>
        <w:spacing w:after="0" w:line="270" w:lineRule="auto"/>
        <w:rPr>
          <w:sz w:val="20"/>
          <w:szCs w:val="20"/>
          <w:color w:val="auto"/>
        </w:rPr>
      </w:pPr>
      <w:r>
        <w:rPr>
          <w:rFonts w:ascii="Arial" w:cs="Arial" w:eastAsia="Arial" w:hAnsi="Arial"/>
          <w:sz w:val="18"/>
          <w:szCs w:val="18"/>
          <w:b w:val="1"/>
          <w:bCs w:val="1"/>
          <w:color w:val="auto"/>
        </w:rPr>
        <w:t>we may be required to create a Risk Evaluation and Mitigation Strategy plan, which could include a medication guide outlining the risks of such side effects for distribution to patients, a communication plan for healthcare providers, pre-prescription screening or ongoing monitoring for adverse events (such as ARIA-like events), and/or other elements, such as boxed warning on the packaging (for example, as required for lecanemab), to assure safe use;</w:t>
      </w:r>
    </w:p>
    <w:p>
      <w:pPr>
        <w:spacing w:after="0" w:line="119" w:lineRule="exact"/>
        <w:rPr>
          <w:sz w:val="20"/>
          <w:szCs w:val="20"/>
          <w:color w:val="auto"/>
        </w:rPr>
      </w:pPr>
    </w:p>
    <w:p>
      <w:pPr>
        <w:ind w:left="1100" w:right="3040"/>
        <w:spacing w:after="0" w:line="369" w:lineRule="auto"/>
        <w:rPr>
          <w:sz w:val="20"/>
          <w:szCs w:val="20"/>
          <w:color w:val="auto"/>
        </w:rPr>
      </w:pPr>
      <w:r>
        <w:rPr>
          <w:rFonts w:ascii="Arial" w:cs="Arial" w:eastAsia="Arial" w:hAnsi="Arial"/>
          <w:sz w:val="20"/>
          <w:szCs w:val="20"/>
          <w:b w:val="1"/>
          <w:bCs w:val="1"/>
          <w:color w:val="auto"/>
        </w:rPr>
        <w:t>we could be sued and held liable for harm caused to patients; and our reputation may suffer.</w:t>
      </w:r>
    </w:p>
    <w:p>
      <w:pPr>
        <w:spacing w:after="0" w:line="31" w:lineRule="exact"/>
        <w:rPr>
          <w:sz w:val="20"/>
          <w:szCs w:val="20"/>
          <w:color w:val="auto"/>
        </w:rPr>
      </w:pPr>
    </w:p>
    <w:p>
      <w:pPr>
        <w:ind w:right="100" w:firstLine="490"/>
        <w:spacing w:after="0" w:line="235" w:lineRule="auto"/>
        <w:rPr>
          <w:sz w:val="20"/>
          <w:szCs w:val="20"/>
          <w:color w:val="auto"/>
        </w:rPr>
      </w:pPr>
      <w:r>
        <w:rPr>
          <w:rFonts w:ascii="Arial" w:cs="Arial" w:eastAsia="Arial" w:hAnsi="Arial"/>
          <w:sz w:val="20"/>
          <w:szCs w:val="20"/>
          <w:b w:val="1"/>
          <w:bCs w:val="1"/>
          <w:color w:val="auto"/>
        </w:rPr>
        <w:t>Any of these events could prevent us from achieving or maintaining market acceptance of the particular product candidate, if approved, and could significantly harm our business, financial condition, results of operations, and growth prospects.</w:t>
      </w:r>
    </w:p>
    <w:p>
      <w:pPr>
        <w:spacing w:after="0" w:line="253"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b w:val="1"/>
          <w:bCs w:val="1"/>
          <w:color w:val="auto"/>
        </w:rPr>
        <w:t>Data on our current and future product candidates resulting from clinical trials conducted outside the United States may not be accepted by the FDA, EMA, and applicable foreign regulatory authorities.</w:t>
      </w:r>
    </w:p>
    <w:p>
      <w:pPr>
        <w:spacing w:after="0" w:line="96" w:lineRule="exact"/>
        <w:rPr>
          <w:sz w:val="20"/>
          <w:szCs w:val="20"/>
          <w:color w:val="auto"/>
        </w:rPr>
      </w:pPr>
    </w:p>
    <w:p>
      <w:pPr>
        <w:ind w:right="80" w:firstLine="490"/>
        <w:spacing w:after="0" w:line="281" w:lineRule="auto"/>
        <w:rPr>
          <w:sz w:val="20"/>
          <w:szCs w:val="20"/>
          <w:color w:val="auto"/>
        </w:rPr>
      </w:pPr>
      <w:r>
        <w:rPr>
          <w:rFonts w:ascii="Arial" w:cs="Arial" w:eastAsia="Arial" w:hAnsi="Arial"/>
          <w:sz w:val="17"/>
          <w:szCs w:val="17"/>
          <w:b w:val="1"/>
          <w:bCs w:val="1"/>
          <w:color w:val="auto"/>
        </w:rPr>
        <w:t>The nivisnebart PROGRESS-AD study is being conducted in countries outside the United States, including in Europe, Latin America, and Asia. The acceptance of study data from clinical trials conducted outside the</w:t>
      </w:r>
    </w:p>
    <w:p>
      <w:pPr>
        <w:spacing w:after="0" w:line="1"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as regulatory authorities in different jurisdictions may impose different requirements for approval, including requirements with respect to trial design or trial diversity.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 Our reliance on genetic screening and use of biomarkers to align patient risk profiles with targeted intervention may eventually require us to develop and use companion diagnostics, which could likewise require generation of data that would be acceptable to FDA, EMA, or any applicable foreign regulatory authority.</w:t>
      </w:r>
    </w:p>
    <w:p>
      <w:pPr>
        <w:spacing w:after="0" w:line="200" w:lineRule="exact"/>
        <w:rPr>
          <w:sz w:val="20"/>
          <w:szCs w:val="20"/>
          <w:color w:val="auto"/>
        </w:rPr>
      </w:pPr>
    </w:p>
    <w:p>
      <w:pPr>
        <w:spacing w:after="0" w:line="226"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99" w:lineRule="exact"/>
        <w:rPr>
          <w:sz w:val="20"/>
          <w:szCs w:val="20"/>
          <w:color w:val="auto"/>
        </w:rPr>
      </w:pPr>
    </w:p>
    <w:p>
      <w:pPr>
        <w:ind w:right="380" w:firstLine="490"/>
        <w:spacing w:after="0" w:line="353" w:lineRule="auto"/>
        <w:rPr>
          <w:sz w:val="20"/>
          <w:szCs w:val="20"/>
          <w:color w:val="auto"/>
        </w:rPr>
      </w:pPr>
      <w:r>
        <w:rPr>
          <w:rFonts w:ascii="Arial" w:cs="Arial" w:eastAsia="Arial" w:hAnsi="Arial"/>
          <w:sz w:val="15"/>
          <w:szCs w:val="15"/>
          <w:b w:val="1"/>
          <w:bCs w:val="1"/>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9360"/>
          </w:cols>
          <w:pgMar w:left="1440" w:top="1440" w:right="1440" w:bottom="181" w:gutter="0" w:footer="0" w:header="0"/>
          <w:type w:val="continuous"/>
        </w:sectPr>
      </w:pPr>
    </w:p>
    <w:bookmarkStart w:id="57" w:name="page58"/>
    <w:bookmarkEnd w:id="57"/>
    <w:p>
      <w:pPr>
        <w:spacing w:after="0" w:line="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color w:val="auto"/>
        </w:rPr>
        <w:t>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regulatory approval.</w:t>
      </w:r>
    </w:p>
    <w:p>
      <w:pPr>
        <w:spacing w:after="0" w:line="95" w:lineRule="exact"/>
        <w:rPr>
          <w:sz w:val="20"/>
          <w:szCs w:val="20"/>
          <w:color w:val="auto"/>
        </w:rPr>
      </w:pPr>
    </w:p>
    <w:p>
      <w:pPr>
        <w:ind w:right="60" w:firstLine="490"/>
        <w:spacing w:after="0" w:line="270" w:lineRule="auto"/>
        <w:rPr>
          <w:sz w:val="20"/>
          <w:szCs w:val="20"/>
          <w:color w:val="auto"/>
        </w:rPr>
      </w:pPr>
      <w:r>
        <w:rPr>
          <w:rFonts w:ascii="Arial" w:cs="Arial" w:eastAsia="Arial" w:hAnsi="Arial"/>
          <w:sz w:val="18"/>
          <w:szCs w:val="18"/>
          <w:b w:val="1"/>
          <w:bCs w:val="1"/>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fails to comply with the regulatory requirements in international markets or fails to receive applicable marketing approvals, our target market will be reduced, and our ability to realize the full market potential of our product candidates will be harmed.</w:t>
      </w:r>
    </w:p>
    <w:p>
      <w:pPr>
        <w:spacing w:after="0" w:line="228"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b w:val="1"/>
          <w:bCs w:val="1"/>
          <w:color w:val="auto"/>
        </w:rPr>
        <w:t>Even if we obtain regulatory approval for a product candidate, our products will remain subject to extensive post-marketing requirements and regulatory scrutiny.</w:t>
      </w:r>
    </w:p>
    <w:p>
      <w:pPr>
        <w:spacing w:after="0" w:line="132" w:lineRule="exact"/>
        <w:rPr>
          <w:sz w:val="20"/>
          <w:szCs w:val="20"/>
          <w:color w:val="auto"/>
        </w:rPr>
      </w:pPr>
    </w:p>
    <w:p>
      <w:pPr>
        <w:ind w:right="60" w:firstLine="490"/>
        <w:spacing w:after="0" w:line="292" w:lineRule="auto"/>
        <w:rPr>
          <w:sz w:val="20"/>
          <w:szCs w:val="20"/>
          <w:color w:val="auto"/>
        </w:rPr>
      </w:pPr>
      <w:r>
        <w:rPr>
          <w:rFonts w:ascii="Arial" w:cs="Arial" w:eastAsia="Arial" w:hAnsi="Arial"/>
          <w:sz w:val="17"/>
          <w:szCs w:val="17"/>
          <w:b w:val="1"/>
          <w:bCs w:val="1"/>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90" w:lineRule="exact"/>
        <w:rPr>
          <w:sz w:val="20"/>
          <w:szCs w:val="20"/>
          <w:color w:val="auto"/>
        </w:rPr>
      </w:pPr>
    </w:p>
    <w:p>
      <w:pPr>
        <w:ind w:right="60" w:firstLine="490"/>
        <w:spacing w:after="0" w:line="252" w:lineRule="auto"/>
        <w:rPr>
          <w:sz w:val="20"/>
          <w:szCs w:val="20"/>
          <w:color w:val="auto"/>
        </w:rPr>
      </w:pPr>
      <w:r>
        <w:rPr>
          <w:rFonts w:ascii="Arial" w:cs="Arial" w:eastAsia="Arial" w:hAnsi="Arial"/>
          <w:sz w:val="19"/>
          <w:szCs w:val="19"/>
          <w:b w:val="1"/>
          <w:bCs w:val="1"/>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(MAA). Accordingly, we and others with whom we work must continue to expend time, money, and effort in all areas of regulatory compliance, including manufacturing, production, and quality control.</w:t>
      </w:r>
    </w:p>
    <w:p>
      <w:pPr>
        <w:spacing w:after="0" w:line="122" w:lineRule="exact"/>
        <w:rPr>
          <w:sz w:val="20"/>
          <w:szCs w:val="20"/>
          <w:color w:val="auto"/>
        </w:rPr>
      </w:pPr>
    </w:p>
    <w:p>
      <w:pPr>
        <w:ind w:firstLine="490"/>
        <w:spacing w:after="0" w:line="324" w:lineRule="auto"/>
        <w:rPr>
          <w:sz w:val="20"/>
          <w:szCs w:val="20"/>
          <w:color w:val="auto"/>
        </w:rPr>
      </w:pPr>
      <w:r>
        <w:rPr>
          <w:rFonts w:ascii="Arial" w:cs="Arial" w:eastAsia="Arial" w:hAnsi="Arial"/>
          <w:sz w:val="15"/>
          <w:szCs w:val="15"/>
          <w:b w:val="1"/>
          <w:bCs w:val="1"/>
          <w:color w:val="auto"/>
        </w:rPr>
        <w:t>Any regulatory approvals that we receive for our product candidates will be subject to limitations on the approved indicated uses for which the product may be marketed and promoted or to the conditions of approval (including any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or other government action addressing drug safety issues could result in delays in product development or commercialization, or increased costs to ensure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200" w:lineRule="exact"/>
        <w:rPr>
          <w:sz w:val="20"/>
          <w:szCs w:val="20"/>
          <w:color w:val="auto"/>
        </w:rPr>
      </w:pPr>
    </w:p>
    <w:p>
      <w:pPr>
        <w:spacing w:after="0" w:line="332" w:lineRule="exact"/>
        <w:rPr>
          <w:sz w:val="20"/>
          <w:szCs w:val="20"/>
          <w:color w:val="auto"/>
        </w:rPr>
      </w:pPr>
    </w:p>
    <w:p>
      <w:pPr>
        <w:ind w:right="240" w:firstLine="490"/>
        <w:spacing w:after="0" w:line="336" w:lineRule="auto"/>
        <w:rPr>
          <w:sz w:val="20"/>
          <w:szCs w:val="20"/>
          <w:color w:val="auto"/>
        </w:rPr>
      </w:pPr>
      <w:r>
        <w:rPr>
          <w:rFonts w:ascii="Arial" w:cs="Arial" w:eastAsia="Arial" w:hAnsi="Arial"/>
          <w:sz w:val="15"/>
          <w:szCs w:val="15"/>
          <w:b w:val="1"/>
          <w:bCs w:val="1"/>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54" w:lineRule="exact"/>
        <w:rPr>
          <w:sz w:val="20"/>
          <w:szCs w:val="20"/>
          <w:color w:val="auto"/>
        </w:rPr>
      </w:pPr>
    </w:p>
    <w:p>
      <w:pPr>
        <w:ind w:left="1100" w:right="400"/>
        <w:spacing w:after="0" w:line="234" w:lineRule="auto"/>
        <w:rPr>
          <w:sz w:val="20"/>
          <w:szCs w:val="20"/>
          <w:color w:val="auto"/>
        </w:rPr>
      </w:pPr>
      <w:r>
        <w:rPr>
          <w:rFonts w:ascii="Arial" w:cs="Arial" w:eastAsia="Arial" w:hAnsi="Arial"/>
          <w:sz w:val="20"/>
          <w:szCs w:val="20"/>
          <w:b w:val="1"/>
          <w:bCs w:val="1"/>
          <w:color w:val="auto"/>
        </w:rPr>
        <w:t>issue warning letters that would result in adverse publicity and potentially cause disruptions to our business;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w:t>
      </w:r>
    </w:p>
    <w:p>
      <w:pPr>
        <w:sectPr>
          <w:pgSz w:w="12240" w:h="15840" w:orient="portrait"/>
          <w:cols w:equalWidth="0" w:num="1">
            <w:col w:w="9360"/>
          </w:cols>
          <w:pgMar w:left="1440" w:top="1440" w:right="1440" w:bottom="181" w:gutter="0" w:footer="0" w:header="0"/>
          <w:type w:val="continuous"/>
        </w:sectPr>
      </w:pPr>
    </w:p>
    <w:bookmarkStart w:id="58" w:name="page59"/>
    <w:bookmarkEnd w:id="58"/>
    <w:p>
      <w:pPr>
        <w:ind w:left="740"/>
        <w:spacing w:after="0"/>
        <w:rPr>
          <w:sz w:val="20"/>
          <w:szCs w:val="20"/>
          <w:color w:val="auto"/>
        </w:rPr>
      </w:pPr>
      <w:r>
        <w:rPr>
          <w:rFonts w:ascii="Arial" w:cs="Arial" w:eastAsia="Arial" w:hAnsi="Arial"/>
          <w:sz w:val="20"/>
          <w:szCs w:val="20"/>
          <w:b w:val="1"/>
          <w:bCs w:val="1"/>
          <w:color w:val="auto"/>
        </w:rPr>
        <w:t>impose civil or criminal penalties;</w:t>
      </w:r>
    </w:p>
    <w:p>
      <w:pPr>
        <w:spacing w:after="0" w:line="145" w:lineRule="exact"/>
        <w:rPr>
          <w:sz w:val="20"/>
          <w:szCs w:val="20"/>
          <w:color w:val="auto"/>
        </w:rPr>
      </w:pPr>
    </w:p>
    <w:p>
      <w:pPr>
        <w:jc w:val="both"/>
        <w:ind w:left="1100" w:right="4840"/>
        <w:spacing w:after="0" w:line="505" w:lineRule="auto"/>
        <w:rPr>
          <w:sz w:val="20"/>
          <w:szCs w:val="20"/>
          <w:color w:val="auto"/>
        </w:rPr>
      </w:pPr>
      <w:r>
        <w:rPr>
          <w:rFonts w:ascii="Arial" w:cs="Arial" w:eastAsia="Arial" w:hAnsi="Arial"/>
          <w:sz w:val="15"/>
          <w:szCs w:val="15"/>
          <w:b w:val="1"/>
          <w:bCs w:val="1"/>
          <w:color w:val="auto"/>
        </w:rPr>
        <w:t>suspend or withdraw regulatory approvals; suspend any of our ongoing clinical trials;</w:t>
      </w:r>
    </w:p>
    <w:p>
      <w:pPr>
        <w:spacing w:after="0" w:line="1" w:lineRule="exact"/>
        <w:rPr>
          <w:sz w:val="20"/>
          <w:szCs w:val="20"/>
          <w:color w:val="auto"/>
        </w:rPr>
      </w:pPr>
    </w:p>
    <w:p>
      <w:pPr>
        <w:ind w:left="1100" w:right="520"/>
        <w:spacing w:after="0" w:line="375" w:lineRule="auto"/>
        <w:rPr>
          <w:sz w:val="20"/>
          <w:szCs w:val="20"/>
          <w:color w:val="auto"/>
        </w:rPr>
      </w:pPr>
      <w:r>
        <w:rPr>
          <w:rFonts w:ascii="Arial" w:cs="Arial" w:eastAsia="Arial" w:hAnsi="Arial"/>
          <w:sz w:val="20"/>
          <w:szCs w:val="20"/>
          <w:b w:val="1"/>
          <w:bCs w:val="1"/>
          <w:color w:val="auto"/>
        </w:rPr>
        <w:t>refuse to approve pending applications or supplements to approved applications submitted by us; impose restrictions on our operations, including closing our contract manufacturers’ facilities; seize or detain products; or</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require a product recall.</w:t>
      </w:r>
    </w:p>
    <w:p>
      <w:pPr>
        <w:spacing w:after="0" w:line="154" w:lineRule="exact"/>
        <w:rPr>
          <w:sz w:val="20"/>
          <w:szCs w:val="20"/>
          <w:color w:val="auto"/>
        </w:rPr>
      </w:pPr>
    </w:p>
    <w:p>
      <w:pPr>
        <w:ind w:right="260" w:firstLine="490"/>
        <w:spacing w:after="0" w:line="270" w:lineRule="auto"/>
        <w:rPr>
          <w:sz w:val="20"/>
          <w:szCs w:val="20"/>
          <w:color w:val="auto"/>
        </w:rPr>
      </w:pPr>
      <w:r>
        <w:rPr>
          <w:rFonts w:ascii="Arial" w:cs="Arial" w:eastAsia="Arial" w:hAnsi="Arial"/>
          <w:sz w:val="18"/>
          <w:szCs w:val="18"/>
          <w:b w:val="1"/>
          <w:bCs w:val="1"/>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25"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b w:val="1"/>
          <w:bCs w:val="1"/>
          <w:color w:val="auto"/>
        </w:rPr>
        <w:t>We may seek orphan drug designation for our product candidates, but we may be unable to obtain such designations or to maintain the benefits associated with orphan drug status, including market exclusivity, which may cause our revenue, if any, to be reduced.</w:t>
      </w:r>
    </w:p>
    <w:p>
      <w:pPr>
        <w:spacing w:after="0" w:line="133" w:lineRule="exact"/>
        <w:rPr>
          <w:sz w:val="20"/>
          <w:szCs w:val="20"/>
          <w:color w:val="auto"/>
        </w:rPr>
      </w:pPr>
    </w:p>
    <w:p>
      <w:pPr>
        <w:ind w:right="20" w:firstLine="490"/>
        <w:spacing w:after="0" w:line="326" w:lineRule="auto"/>
        <w:rPr>
          <w:sz w:val="20"/>
          <w:szCs w:val="20"/>
          <w:color w:val="auto"/>
        </w:rPr>
      </w:pPr>
      <w:r>
        <w:rPr>
          <w:rFonts w:ascii="Arial" w:cs="Arial" w:eastAsia="Arial" w:hAnsi="Arial"/>
          <w:sz w:val="15"/>
          <w:szCs w:val="15"/>
          <w:b w:val="1"/>
          <w:bCs w:val="1"/>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of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While certain of our prior candidates had orphan drug designation for treatment of FTD, we may be unable to reap the benefits associated with orphan drug status. In addition, we may be unable to obtain orphan drug designation for any additional product candidates, if we seek such designation.</w:t>
      </w:r>
    </w:p>
    <w:p>
      <w:pPr>
        <w:spacing w:after="0" w:line="303" w:lineRule="exact"/>
        <w:rPr>
          <w:sz w:val="20"/>
          <w:szCs w:val="20"/>
          <w:color w:val="auto"/>
        </w:rPr>
      </w:pPr>
    </w:p>
    <w:p>
      <w:pPr>
        <w:ind w:right="80" w:firstLine="490"/>
        <w:spacing w:after="0" w:line="327" w:lineRule="auto"/>
        <w:rPr>
          <w:sz w:val="20"/>
          <w:szCs w:val="20"/>
          <w:color w:val="auto"/>
        </w:rPr>
      </w:pPr>
      <w:r>
        <w:rPr>
          <w:rFonts w:ascii="Arial" w:cs="Arial" w:eastAsia="Arial" w:hAnsi="Arial"/>
          <w:sz w:val="15"/>
          <w:szCs w:val="15"/>
          <w:b w:val="1"/>
          <w:bCs w:val="1"/>
          <w:color w:val="auto"/>
        </w:rPr>
        <w:t>If a product that has orphan drug designation subsequently receives the first FDA approval for a particular active ingredient for the disease for which it has such designation, the product is entitled to orphan drug exclusivity. This means that the FDA may not approve any other NDA or BLA application to market the same drug or biologic for the same indication for seven years, except in limited circumstances such as if the same drug or biologic shows clinical superiority to the product with orphan exclusivity, if the FDA revokes the orphan drug designation, or if the FDA finds that the holder of the orphan exclusivity has not assured the availability of sufficient quantities of the orphan product to meet the needs of patients with the disease or condition for which the drug was designated. Even if the FDA approves orphan drug status for one of our product candidates for treatment of FTD, the FDA can still approve other drugs that have a different active ingredient for use in treating FTD. Furthermore, orphan drug exclusivity does not prevent the FDA from approving another marketing application for the same drug product for a different indication before the expiration of the orphan exclusivity period.</w:t>
      </w:r>
    </w:p>
    <w:p>
      <w:pPr>
        <w:spacing w:after="0" w:line="300"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In litigation in 2021, an appellate court disagreed with the FDA’s longstanding position that orphan drug exclusivity only applies to the approved use or indication within an eligible disease, and not to all uses or indications within the entire designated disease or condition. This court decision created uncertainty in the application of orphan drug exclusivity. In January 2023, the FDA published a notice in the Federal Register to clarify that while the agency complies with the applicable court ruling, the FDA intends to continue tying the scope of orphan-drug exclusivity to the uses or indications for which a drug is approved, which permits other sponsors to obtain approval of a drug for new uses or indications within the same orphan designated disease or condition that has not yet been approved. It is unclear how future litigation, such as a result of executive orders that impose a freeze on hiring, federal funding, and external communications, and return-to-office policy, legislation, agency decisions, and administrative actions will impact the scope of orphan drug exclusivity.</w:t>
      </w:r>
    </w:p>
    <w:p>
      <w:pPr>
        <w:sectPr>
          <w:pgSz w:w="12240" w:h="15840" w:orient="portrait"/>
          <w:cols w:equalWidth="0" w:num="1">
            <w:col w:w="9360"/>
          </w:cols>
          <w:pgMar w:left="1440" w:top="143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9360"/>
          </w:cols>
          <w:pgMar w:left="1440" w:top="1430" w:right="1440" w:bottom="181" w:gutter="0" w:footer="0" w:header="0"/>
          <w:type w:val="continuous"/>
        </w:sectPr>
      </w:pPr>
    </w:p>
    <w:bookmarkStart w:id="59" w:name="page60"/>
    <w:bookmarkEnd w:id="59"/>
    <w:p>
      <w:pPr>
        <w:spacing w:after="0" w:line="10"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Healthcare legislative and executive measures aimed at reducing healthcare costs may have a material adverse effect on our business and results of operations.</w:t>
      </w:r>
    </w:p>
    <w:p>
      <w:pPr>
        <w:spacing w:after="0" w:line="130" w:lineRule="exact"/>
        <w:rPr>
          <w:sz w:val="20"/>
          <w:szCs w:val="20"/>
          <w:color w:val="auto"/>
        </w:rPr>
      </w:pPr>
    </w:p>
    <w:p>
      <w:pPr>
        <w:ind w:right="60" w:firstLine="490"/>
        <w:spacing w:after="0" w:line="253" w:lineRule="auto"/>
        <w:rPr>
          <w:sz w:val="20"/>
          <w:szCs w:val="20"/>
          <w:color w:val="auto"/>
        </w:rPr>
      </w:pPr>
      <w:r>
        <w:rPr>
          <w:rFonts w:ascii="Arial" w:cs="Arial" w:eastAsia="Arial" w:hAnsi="Arial"/>
          <w:sz w:val="19"/>
          <w:szCs w:val="19"/>
          <w:b w:val="1"/>
          <w:bCs w:val="1"/>
          <w:color w:val="auto"/>
        </w:rPr>
        <w:t>Third-party payors, whether domestic or foreign, or governmental or commercial, are developing increasingly sophisticated methods of controlling healthcare costs. In both the United States and certain foreign jurisdictions, there have been a number of legislative, executive, and regulatory changes to the healthcare system that could impact our ability to sell our products profitably.</w:t>
      </w:r>
    </w:p>
    <w:p>
      <w:pPr>
        <w:spacing w:after="0" w:line="120"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auto"/>
        </w:rPr>
        <w:t>In particular, in 2010, the Patient Protection and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administrative or legislative action will impact our business, financial condition, and results of operations. Complying with any new legislation or other changes in healthcare regulation could be time-intensive and expensive, resulting in a material adverse effect on our business.</w:t>
      </w:r>
    </w:p>
    <w:p>
      <w:pPr>
        <w:spacing w:after="0" w:line="100" w:lineRule="exact"/>
        <w:rPr>
          <w:sz w:val="20"/>
          <w:szCs w:val="20"/>
          <w:color w:val="auto"/>
        </w:rPr>
      </w:pPr>
    </w:p>
    <w:p>
      <w:pPr>
        <w:ind w:right="20" w:firstLine="490"/>
        <w:spacing w:after="0" w:line="324" w:lineRule="auto"/>
        <w:rPr>
          <w:sz w:val="20"/>
          <w:szCs w:val="20"/>
          <w:color w:val="auto"/>
        </w:rPr>
      </w:pPr>
      <w:r>
        <w:rPr>
          <w:rFonts w:ascii="Arial" w:cs="Arial" w:eastAsia="Arial" w:hAnsi="Arial"/>
          <w:sz w:val="15"/>
          <w:szCs w:val="15"/>
          <w:b w:val="1"/>
          <w:bCs w:val="1"/>
          <w:color w:val="auto"/>
        </w:rPr>
        <w:t>Under the American Rescue Plan Act of 2021, the statutory cap on Medicaid Drug Rebate Program rebates that manufacturers pay to state Medicaid programs were eliminated. Elimination of this cap may require pharmaceutical manufacturers to pay more in rebates than they receive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In March 2023, CMS published its first guidance on how negotiations will be conducted, starting in 2026 for high expenditure drugs as determined and selected by Health and Human Services. In June 2023, CMS issued a revised guidance for the Medicare Drug Price Negotiation Program under the Inflation Reduction Act. In August 2024, CMS released the first set of negotiated prices for ten drugs under the Medicare Drug Price Negotiation Program for 2026. Various industry stakeholders, including pharmaceutical companies have initiated lawsuits against the federal government asserting that the price negotiation provisions of the Inflation Reduction Act are unconstitutional. With the Supreme Court’s June 2024 decision that overturning the Chevron doctrine, the Inflation Reduction Act as well as other administration decisions of HHS, including those of CMS, may be subject to increased litigation and judicial scrutiny.</w:t>
      </w:r>
    </w:p>
    <w:p>
      <w:pPr>
        <w:spacing w:after="0" w:line="200" w:lineRule="exact"/>
        <w:rPr>
          <w:sz w:val="20"/>
          <w:szCs w:val="20"/>
          <w:color w:val="auto"/>
        </w:rPr>
      </w:pPr>
    </w:p>
    <w:p>
      <w:pPr>
        <w:spacing w:after="0" w:line="334"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auto"/>
        </w:rPr>
        <w:t>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(MFN) price and directing the U.S. Trade Representative and Secretary of Commerce to take action to ensure foreign countries are not engaged in practices that purposefully and unfairly undercut market prices and drive price hikes in the United States. The OBBBA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58</w:t>
      </w:r>
    </w:p>
    <w:p>
      <w:pPr>
        <w:sectPr>
          <w:pgSz w:w="12240" w:h="15840" w:orient="portrait"/>
          <w:cols w:equalWidth="0" w:num="1">
            <w:col w:w="9360"/>
          </w:cols>
          <w:pgMar w:left="1440" w:top="1440" w:right="1440" w:bottom="181" w:gutter="0" w:footer="0" w:header="0"/>
          <w:type w:val="continuous"/>
        </w:sectPr>
      </w:pPr>
    </w:p>
    <w:bookmarkStart w:id="60" w:name="page61"/>
    <w:bookmarkEnd w:id="60"/>
    <w:p>
      <w:pPr>
        <w:spacing w:after="0" w:line="10" w:lineRule="exact"/>
        <w:rPr>
          <w:sz w:val="20"/>
          <w:szCs w:val="20"/>
          <w:color w:val="auto"/>
        </w:rPr>
      </w:pPr>
    </w:p>
    <w:p>
      <w:pPr>
        <w:ind w:right="20" w:firstLine="490"/>
        <w:spacing w:after="0" w:line="327" w:lineRule="auto"/>
        <w:rPr>
          <w:sz w:val="20"/>
          <w:szCs w:val="20"/>
          <w:color w:val="auto"/>
        </w:rPr>
      </w:pPr>
      <w:r>
        <w:rPr>
          <w:rFonts w:ascii="Arial" w:cs="Arial" w:eastAsia="Arial" w:hAnsi="Arial"/>
          <w:sz w:val="15"/>
          <w:szCs w:val="15"/>
          <w:b w:val="1"/>
          <w:bCs w:val="1"/>
          <w:color w:val="auto"/>
        </w:rPr>
        <w:t>Such MFN pricing agreements and other government measures that use most-favored-nation pricing targets for prescription drugs, including the use of international pricing references to set drug prices in the United States, or increased and earlier generic and biosimilar drug entry, can have a material adverse effect on our industry, including the ability to set adequate pricing for new drugs to recover research and development costs, and the ability to attract potential investors and potential buyers in the future. We cannot predict the full impact of these and other measures that may be implemented by the current administration related to drug pricing. The impact of ongoing judicial challenges against provisions of the Inflation Reduction Act as well as future legislative, executive, and administrative actions under the current presidential administration, including changes in leadership at HHS, CMS, and FDA, and new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300"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auto"/>
        </w:rPr>
        <w:t>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candidates. Such initiatives and legislation may affect the prices we may obtain or demand for any of our product candidates for which we may obtain regulatory approval.</w:t>
      </w:r>
    </w:p>
    <w:p>
      <w:pPr>
        <w:spacing w:after="0" w:line="112" w:lineRule="exact"/>
        <w:rPr>
          <w:sz w:val="20"/>
          <w:szCs w:val="20"/>
          <w:color w:val="auto"/>
        </w:rPr>
      </w:pPr>
    </w:p>
    <w:p>
      <w:pPr>
        <w:ind w:right="60" w:firstLine="490"/>
        <w:spacing w:after="0" w:line="284" w:lineRule="auto"/>
        <w:rPr>
          <w:sz w:val="20"/>
          <w:szCs w:val="20"/>
          <w:color w:val="auto"/>
        </w:rPr>
      </w:pPr>
      <w:r>
        <w:rPr>
          <w:rFonts w:ascii="Arial" w:cs="Arial" w:eastAsia="Arial" w:hAnsi="Arial"/>
          <w:sz w:val="17"/>
          <w:szCs w:val="17"/>
          <w:b w:val="1"/>
          <w:bCs w:val="1"/>
          <w:color w:val="auto"/>
        </w:rPr>
        <w:t>In April 2022, CMS released a national policy for coverage of aducanumab and any future monoclonal antibodies directed against amyloid approved by the FDA with an indication for use in treating Alzheimer’s disease. CMS reiterated this policy in January 2023 in connection with the accelerated approval of lecanemab. According to the two-part National Coverage Determination (NCD), Medicare will cover monoclonal antibodies that target amyloid (or plaque) for the treatment of Alzheimer’s disease that receive traditional approval from the FDA under coverage with evidence development. Following full approval of lecanemab in July 2023, CMS reiterated that it would broadly cover the medication while continuing to gather data. Additionally, for drugs that the FDA has not determined to have shown a clinical benefit or that received an accelerated approval, Medicare will provide coverage in FDA or National Institutes of Health approved clinical trials. In February 2023, CMS again reiterated these policies in rejecting a petition from the Alzheimer’s Association to provide wider coverage for lecanemab. In June 2023, CMS announced that Medicare will cover new Alzheimer’s drugs with traditional FDA approval when a physician and clinical team participate in CMS’ registry to collect evidence on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w:t>
      </w:r>
    </w:p>
    <w:p>
      <w:pPr>
        <w:spacing w:after="0" w:line="98" w:lineRule="exact"/>
        <w:rPr>
          <w:sz w:val="20"/>
          <w:szCs w:val="20"/>
          <w:color w:val="auto"/>
        </w:rPr>
      </w:pPr>
    </w:p>
    <w:p>
      <w:pPr>
        <w:ind w:right="200" w:firstLine="490"/>
        <w:spacing w:after="0" w:line="285" w:lineRule="auto"/>
        <w:rPr>
          <w:sz w:val="20"/>
          <w:szCs w:val="20"/>
          <w:color w:val="auto"/>
        </w:rPr>
      </w:pPr>
      <w:r>
        <w:rPr>
          <w:rFonts w:ascii="Arial" w:cs="Arial" w:eastAsia="Arial" w:hAnsi="Arial"/>
          <w:sz w:val="17"/>
          <w:szCs w:val="17"/>
          <w:b w:val="1"/>
          <w:bCs w:val="1"/>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requirements and expose us to greater liability under such state laws once we begin commercialization after obtaining regulatory approval for any of our products. Further, the FDA has recently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spacing w:after="0" w:line="98" w:lineRule="exact"/>
        <w:rPr>
          <w:sz w:val="20"/>
          <w:szCs w:val="20"/>
          <w:color w:val="auto"/>
        </w:rPr>
      </w:pPr>
    </w:p>
    <w:p>
      <w:pPr>
        <w:ind w:right="100" w:firstLine="490"/>
        <w:spacing w:after="0" w:line="292" w:lineRule="auto"/>
        <w:rPr>
          <w:sz w:val="20"/>
          <w:szCs w:val="20"/>
          <w:color w:val="auto"/>
        </w:rPr>
      </w:pPr>
      <w:r>
        <w:rPr>
          <w:rFonts w:ascii="Arial" w:cs="Arial" w:eastAsia="Arial" w:hAnsi="Arial"/>
          <w:sz w:val="17"/>
          <w:szCs w:val="17"/>
          <w:b w:val="1"/>
          <w:bCs w:val="1"/>
          <w:color w:val="auto"/>
        </w:rPr>
        <w:t>We are unable to predict the future course of federal or state healthcare legislation or actions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90" w:lineRule="exact"/>
        <w:rPr>
          <w:sz w:val="20"/>
          <w:szCs w:val="20"/>
          <w:color w:val="auto"/>
        </w:rPr>
      </w:pPr>
    </w:p>
    <w:p>
      <w:pPr>
        <w:ind w:right="20" w:firstLine="490"/>
        <w:spacing w:after="0" w:line="382" w:lineRule="auto"/>
        <w:rPr>
          <w:sz w:val="20"/>
          <w:szCs w:val="20"/>
          <w:color w:val="auto"/>
        </w:rPr>
      </w:pPr>
      <w:r>
        <w:rPr>
          <w:rFonts w:ascii="Arial" w:cs="Arial" w:eastAsia="Arial" w:hAnsi="Arial"/>
          <w:sz w:val="15"/>
          <w:szCs w:val="15"/>
          <w:b w:val="1"/>
          <w:bCs w:val="1"/>
          <w:color w:val="auto"/>
        </w:rPr>
        <w:t>The continuing efforts of the government, insurance companies, managed care organizations, and other payors of healthcare services to contain or reduce costs of healthcare and/or impose price controls may adversely affect:</w:t>
      </w:r>
    </w:p>
    <w:p>
      <w:pPr>
        <w:spacing w:after="0" w:line="1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demand for our product if we obtain regulatory approval;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9360"/>
          </w:cols>
          <w:pgMar w:left="1440" w:top="1440" w:right="1440" w:bottom="181" w:gutter="0" w:footer="0" w:header="0"/>
          <w:type w:val="continuous"/>
        </w:sectPr>
      </w:pPr>
    </w:p>
    <w:bookmarkStart w:id="61" w:name="page62"/>
    <w:bookmarkEnd w:id="61"/>
    <w:p>
      <w:pPr>
        <w:spacing w:after="0" w:line="1" w:lineRule="exact"/>
        <w:rPr>
          <w:sz w:val="20"/>
          <w:szCs w:val="20"/>
          <w:color w:val="auto"/>
        </w:rPr>
      </w:pPr>
    </w:p>
    <w:p>
      <w:pPr>
        <w:ind w:left="1100" w:right="2360"/>
        <w:spacing w:after="0" w:line="505" w:lineRule="auto"/>
        <w:rPr>
          <w:sz w:val="20"/>
          <w:szCs w:val="20"/>
          <w:color w:val="auto"/>
        </w:rPr>
      </w:pPr>
      <w:r>
        <w:rPr>
          <w:rFonts w:ascii="Arial" w:cs="Arial" w:eastAsia="Arial" w:hAnsi="Arial"/>
          <w:sz w:val="15"/>
          <w:szCs w:val="15"/>
          <w:b w:val="1"/>
          <w:bCs w:val="1"/>
          <w:color w:val="auto"/>
        </w:rPr>
        <w:t>our ability to receive or set a price that we believe is fair for our products; our ability to generate revenue and achieve or maintain profitability;</w:t>
      </w:r>
    </w:p>
    <w:p>
      <w:pPr>
        <w:spacing w:after="0" w:line="1" w:lineRule="exact"/>
        <w:rPr>
          <w:sz w:val="20"/>
          <w:szCs w:val="20"/>
          <w:color w:val="auto"/>
        </w:rPr>
      </w:pPr>
    </w:p>
    <w:p>
      <w:pPr>
        <w:ind w:left="1100" w:right="4320"/>
        <w:spacing w:after="0" w:line="369" w:lineRule="auto"/>
        <w:rPr>
          <w:sz w:val="20"/>
          <w:szCs w:val="20"/>
          <w:color w:val="auto"/>
        </w:rPr>
      </w:pPr>
      <w:r>
        <w:rPr>
          <w:rFonts w:ascii="Arial" w:cs="Arial" w:eastAsia="Arial" w:hAnsi="Arial"/>
          <w:sz w:val="20"/>
          <w:szCs w:val="20"/>
          <w:b w:val="1"/>
          <w:bCs w:val="1"/>
          <w:color w:val="auto"/>
        </w:rPr>
        <w:t>the level of taxes that we are required to pay; and the availability of capital.</w:t>
      </w:r>
    </w:p>
    <w:p>
      <w:pPr>
        <w:spacing w:after="0" w:line="31" w:lineRule="exact"/>
        <w:rPr>
          <w:sz w:val="20"/>
          <w:szCs w:val="20"/>
          <w:color w:val="auto"/>
        </w:rPr>
      </w:pPr>
    </w:p>
    <w:p>
      <w:pPr>
        <w:ind w:firstLine="490"/>
        <w:spacing w:after="0" w:line="283" w:lineRule="auto"/>
        <w:rPr>
          <w:sz w:val="20"/>
          <w:szCs w:val="20"/>
          <w:color w:val="auto"/>
        </w:rPr>
      </w:pPr>
      <w:r>
        <w:rPr>
          <w:rFonts w:ascii="Arial" w:cs="Arial" w:eastAsia="Arial" w:hAnsi="Arial"/>
          <w:sz w:val="17"/>
          <w:szCs w:val="17"/>
          <w:b w:val="1"/>
          <w:bCs w:val="1"/>
          <w:color w:val="auto"/>
        </w:rPr>
        <w:t>In addition, the OBBBA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We expect that the above healthcare reform measures and others that have been and may be adopted in the future, such as the OBBBA, may result in additional reductions in Medicare and other healthcare funding, more rigorous coverage criteria, lower reimbursement, and new payment methodologies. Any reduction in reimbursement from Medicare or other government programs may result in a similar reduction in payments from private payors. This could lower the price that we receive for any approved product. There may be further federal and state legislation, regulations, and other actions designed to control pharmaceutical and biological product pricing, including price or patient reimbursement constraints, discounts, restrictions on certain product access and marketing cost disclosure and transparency measures.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increased scrutiny by the U.S. Congress of the FDA’s approval process may significantly delay or prevent marketing approval, as well as subject us to more stringent product labeling and post-marketing testing and other requirements.</w:t>
      </w:r>
    </w:p>
    <w:p>
      <w:pPr>
        <w:spacing w:after="0" w:line="228"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Our employees, independent contractors, consultants, commercial partners, and vendors may engage in misconduct or other improper activities, including noncompliance with regulatory standards and requirements.</w:t>
      </w:r>
    </w:p>
    <w:p>
      <w:pPr>
        <w:spacing w:after="0" w:line="73" w:lineRule="exact"/>
        <w:rPr>
          <w:sz w:val="20"/>
          <w:szCs w:val="20"/>
          <w:color w:val="auto"/>
        </w:rPr>
      </w:pPr>
    </w:p>
    <w:p>
      <w:pPr>
        <w:ind w:right="240" w:firstLine="490"/>
        <w:spacing w:after="0" w:line="236" w:lineRule="auto"/>
        <w:rPr>
          <w:sz w:val="20"/>
          <w:szCs w:val="20"/>
          <w:color w:val="auto"/>
        </w:rPr>
      </w:pPr>
      <w:r>
        <w:rPr>
          <w:rFonts w:ascii="Arial" w:cs="Arial" w:eastAsia="Arial" w:hAnsi="Arial"/>
          <w:sz w:val="20"/>
          <w:szCs w:val="20"/>
          <w:b w:val="1"/>
          <w:bCs w:val="1"/>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comply with the laws of the FDA, EMA, and other comparable foreign regulatory authorities;</w:t>
      </w:r>
    </w:p>
    <w:p>
      <w:pPr>
        <w:spacing w:after="0" w:line="143" w:lineRule="exact"/>
        <w:rPr>
          <w:sz w:val="20"/>
          <w:szCs w:val="20"/>
          <w:color w:val="auto"/>
        </w:rPr>
      </w:pPr>
    </w:p>
    <w:p>
      <w:pPr>
        <w:ind w:left="1100" w:right="400"/>
        <w:spacing w:after="0" w:line="234" w:lineRule="auto"/>
        <w:rPr>
          <w:sz w:val="20"/>
          <w:szCs w:val="20"/>
          <w:color w:val="auto"/>
        </w:rPr>
      </w:pPr>
      <w:r>
        <w:rPr>
          <w:rFonts w:ascii="Arial" w:cs="Arial" w:eastAsia="Arial" w:hAnsi="Arial"/>
          <w:sz w:val="20"/>
          <w:szCs w:val="20"/>
          <w:b w:val="1"/>
          <w:bCs w:val="1"/>
          <w:color w:val="auto"/>
        </w:rPr>
        <w:t>provide true, complete, and accurate information to the FDA, EMA, and other comparable foreign regulatory authorities;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comply with clinical or manufacturing standards;</w:t>
      </w:r>
    </w:p>
    <w:p>
      <w:pPr>
        <w:spacing w:after="0" w:line="145" w:lineRule="exact"/>
        <w:rPr>
          <w:sz w:val="20"/>
          <w:szCs w:val="20"/>
          <w:color w:val="auto"/>
        </w:rPr>
      </w:pPr>
    </w:p>
    <w:p>
      <w:pPr>
        <w:ind w:left="1100" w:right="600"/>
        <w:spacing w:after="0" w:line="234" w:lineRule="auto"/>
        <w:rPr>
          <w:sz w:val="20"/>
          <w:szCs w:val="20"/>
          <w:color w:val="auto"/>
        </w:rPr>
      </w:pPr>
      <w:r>
        <w:rPr>
          <w:rFonts w:ascii="Arial" w:cs="Arial" w:eastAsia="Arial" w:hAnsi="Arial"/>
          <w:sz w:val="20"/>
          <w:szCs w:val="20"/>
          <w:b w:val="1"/>
          <w:bCs w:val="1"/>
          <w:color w:val="auto"/>
        </w:rPr>
        <w:t>comply with healthcare fraud and abuse laws in the United States and similar foreign fraudulent misconduct laws; or</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report financial information or data accurately or disclose unauthorized activities to us.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w:t>
      </w:r>
    </w:p>
    <w:p>
      <w:pPr>
        <w:sectPr>
          <w:pgSz w:w="12240" w:h="15840" w:orient="portrait"/>
          <w:cols w:equalWidth="0" w:num="1">
            <w:col w:w="9360"/>
          </w:cols>
          <w:pgMar w:left="1440" w:top="1440" w:right="1440" w:bottom="181" w:gutter="0" w:footer="0" w:header="0"/>
          <w:type w:val="continuous"/>
        </w:sectPr>
      </w:pPr>
    </w:p>
    <w:bookmarkStart w:id="62" w:name="page63"/>
    <w:bookmarkEnd w:id="62"/>
    <w:p>
      <w:pPr>
        <w:spacing w:after="0" w:line="10"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We have adopted a code of business conduct and ethics and other policies,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3"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b w:val="1"/>
          <w:bCs w:val="1"/>
          <w:color w:val="auto"/>
        </w:rPr>
        <w:t>If we fail to comply with healthcare laws, we could face substantial penalties and our business, operations, and financial conditions could be adversely affected.</w:t>
      </w:r>
    </w:p>
    <w:p>
      <w:pPr>
        <w:spacing w:after="0" w:line="132" w:lineRule="exact"/>
        <w:rPr>
          <w:sz w:val="20"/>
          <w:szCs w:val="20"/>
          <w:color w:val="auto"/>
        </w:rPr>
      </w:pPr>
    </w:p>
    <w:p>
      <w:pPr>
        <w:ind w:right="60" w:firstLine="490"/>
        <w:spacing w:after="0" w:line="236" w:lineRule="auto"/>
        <w:rPr>
          <w:sz w:val="20"/>
          <w:szCs w:val="20"/>
          <w:color w:val="auto"/>
        </w:rPr>
      </w:pPr>
      <w:r>
        <w:rPr>
          <w:rFonts w:ascii="Arial" w:cs="Arial" w:eastAsia="Arial" w:hAnsi="Arial"/>
          <w:sz w:val="20"/>
          <w:szCs w:val="20"/>
          <w:b w:val="1"/>
          <w:bCs w:val="1"/>
          <w:color w:val="auto"/>
        </w:rPr>
        <w:t>If we obtain FDA approval for any of our product candidates and begin commercializing those products in the United States, our operations will be subject to various federal and state fraud and abuse laws. The laws that may impact our operations include the following:</w:t>
      </w:r>
    </w:p>
    <w:p>
      <w:pPr>
        <w:spacing w:after="0" w:line="124" w:lineRule="exact"/>
        <w:rPr>
          <w:sz w:val="20"/>
          <w:szCs w:val="20"/>
          <w:color w:val="auto"/>
        </w:rPr>
      </w:pPr>
    </w:p>
    <w:p>
      <w:pPr>
        <w:ind w:left="1100" w:right="20"/>
        <w:spacing w:after="0" w:line="329" w:lineRule="auto"/>
        <w:rPr>
          <w:sz w:val="20"/>
          <w:szCs w:val="20"/>
          <w:color w:val="auto"/>
        </w:rPr>
      </w:pPr>
      <w:r>
        <w:rPr>
          <w:rFonts w:ascii="Arial" w:cs="Arial" w:eastAsia="Arial" w:hAnsi="Arial"/>
          <w:sz w:val="15"/>
          <w:szCs w:val="15"/>
          <w:b w:val="1"/>
          <w:bCs w:val="1"/>
          <w:color w:val="auto"/>
        </w:rPr>
        <w:t>Among other things the federal Anti-Kickback Statute prohibits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311" w:lineRule="exact"/>
        <w:rPr>
          <w:sz w:val="20"/>
          <w:szCs w:val="20"/>
          <w:color w:val="auto"/>
        </w:rPr>
      </w:pPr>
    </w:p>
    <w:p>
      <w:pPr>
        <w:ind w:left="1100" w:right="120"/>
        <w:spacing w:after="0" w:line="268" w:lineRule="auto"/>
        <w:rPr>
          <w:sz w:val="20"/>
          <w:szCs w:val="20"/>
          <w:color w:val="auto"/>
        </w:rPr>
      </w:pPr>
      <w:r>
        <w:rPr>
          <w:rFonts w:ascii="Arial" w:cs="Arial" w:eastAsia="Arial" w:hAnsi="Arial"/>
          <w:sz w:val="18"/>
          <w:szCs w:val="18"/>
          <w:b w:val="1"/>
          <w:bCs w:val="1"/>
          <w:color w:val="auto"/>
        </w:rPr>
        <w:t>Federal civil and criminal false claims laws and civil monetary penalty laws, including the False Claims Act,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126" w:lineRule="exact"/>
        <w:rPr>
          <w:sz w:val="20"/>
          <w:szCs w:val="20"/>
          <w:color w:val="auto"/>
        </w:rPr>
      </w:pPr>
    </w:p>
    <w:p>
      <w:pPr>
        <w:ind w:left="1100" w:right="20"/>
        <w:spacing w:after="0" w:line="268" w:lineRule="auto"/>
        <w:rPr>
          <w:sz w:val="20"/>
          <w:szCs w:val="20"/>
          <w:color w:val="auto"/>
        </w:rPr>
      </w:pPr>
      <w:r>
        <w:rPr>
          <w:rFonts w:ascii="Arial" w:cs="Arial" w:eastAsia="Arial" w:hAnsi="Arial"/>
          <w:sz w:val="18"/>
          <w:szCs w:val="18"/>
          <w:b w:val="1"/>
          <w:bCs w:val="1"/>
          <w:color w:val="auto"/>
        </w:rPr>
        <w:t>The federal Health Insurance Portability and Accountability Act of 1996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26" w:lineRule="exact"/>
        <w:rPr>
          <w:sz w:val="20"/>
          <w:szCs w:val="20"/>
          <w:color w:val="auto"/>
        </w:rPr>
      </w:pPr>
    </w:p>
    <w:p>
      <w:pPr>
        <w:ind w:left="1100" w:right="180"/>
        <w:spacing w:after="0" w:line="269" w:lineRule="auto"/>
        <w:rPr>
          <w:sz w:val="20"/>
          <w:szCs w:val="20"/>
          <w:color w:val="auto"/>
        </w:rPr>
      </w:pPr>
      <w:r>
        <w:rPr>
          <w:rFonts w:ascii="Arial" w:cs="Arial" w:eastAsia="Arial" w:hAnsi="Arial"/>
          <w:sz w:val="18"/>
          <w:szCs w:val="18"/>
          <w:b w:val="1"/>
          <w:bCs w:val="1"/>
          <w:color w:val="auto"/>
        </w:rPr>
        <w:t>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122" w:lineRule="exact"/>
        <w:rPr>
          <w:sz w:val="20"/>
          <w:szCs w:val="20"/>
          <w:color w:val="auto"/>
        </w:rPr>
      </w:pPr>
    </w:p>
    <w:p>
      <w:pPr>
        <w:ind w:left="1100" w:right="200"/>
        <w:spacing w:after="0" w:line="382" w:lineRule="auto"/>
        <w:rPr>
          <w:sz w:val="20"/>
          <w:szCs w:val="20"/>
          <w:color w:val="auto"/>
        </w:rPr>
      </w:pPr>
      <w:r>
        <w:rPr>
          <w:rFonts w:ascii="Arial" w:cs="Arial" w:eastAsia="Arial" w:hAnsi="Arial"/>
          <w:sz w:val="15"/>
          <w:szCs w:val="15"/>
          <w:b w:val="1"/>
          <w:bCs w:val="1"/>
          <w:color w:val="auto"/>
        </w:rPr>
        <w:t>The federal Physician Payment Sunshine Act, created under the ACA, and its implementing regulations, require applicable manufacturers of drugs, devices, biologicals, and medical supplies for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9360"/>
          </w:cols>
          <w:pgMar w:left="1440" w:top="1440" w:right="1440" w:bottom="181" w:gutter="0" w:footer="0" w:header="0"/>
          <w:type w:val="continuous"/>
        </w:sectPr>
      </w:pPr>
    </w:p>
    <w:bookmarkStart w:id="63" w:name="page64"/>
    <w:bookmarkEnd w:id="63"/>
    <w:p>
      <w:pPr>
        <w:spacing w:after="0" w:line="10" w:lineRule="exact"/>
        <w:rPr>
          <w:sz w:val="20"/>
          <w:szCs w:val="20"/>
          <w:color w:val="auto"/>
        </w:rPr>
      </w:pPr>
    </w:p>
    <w:p>
      <w:pPr>
        <w:ind w:left="1100" w:right="100"/>
        <w:spacing w:after="0" w:line="330" w:lineRule="auto"/>
        <w:rPr>
          <w:sz w:val="20"/>
          <w:szCs w:val="20"/>
          <w:color w:val="auto"/>
        </w:rPr>
      </w:pPr>
      <w:r>
        <w:rPr>
          <w:rFonts w:ascii="Arial" w:cs="Arial" w:eastAsia="Arial" w:hAnsi="Arial"/>
          <w:sz w:val="15"/>
          <w:szCs w:val="15"/>
          <w:b w:val="1"/>
          <w:bCs w:val="1"/>
          <w:color w:val="auto"/>
        </w:rPr>
        <w:t>which payment is available under Medicare, Medicaid, or the Children’s Health Insurance Program to report annually to the U.S. Department of Health and Human Services under the Open Payments Program, information related to payments and other transfers of value made to covered recipients, including physicians (defined to include doctors, dentists, optometrists, podiatrists and chiropractors), certain non-physician healthcare professionals (such as nurse practitioners and physician assistants, among others) and teaching hospitals, and information regarding ownership and investment interests held by physicians (as defined by law) and their immediate family members.</w:t>
      </w:r>
    </w:p>
    <w:p>
      <w:pPr>
        <w:spacing w:after="0" w:line="62" w:lineRule="exact"/>
        <w:rPr>
          <w:sz w:val="20"/>
          <w:szCs w:val="20"/>
          <w:color w:val="auto"/>
        </w:rPr>
      </w:pPr>
    </w:p>
    <w:p>
      <w:pPr>
        <w:ind w:left="1100" w:right="200"/>
        <w:spacing w:after="0" w:line="233" w:lineRule="auto"/>
        <w:rPr>
          <w:sz w:val="20"/>
          <w:szCs w:val="20"/>
          <w:color w:val="auto"/>
        </w:rPr>
      </w:pPr>
      <w:r>
        <w:rPr>
          <w:rFonts w:ascii="Arial" w:cs="Arial" w:eastAsia="Arial" w:hAnsi="Arial"/>
          <w:sz w:val="20"/>
          <w:szCs w:val="20"/>
          <w:b w:val="1"/>
          <w:bCs w:val="1"/>
          <w:color w:val="auto"/>
        </w:rPr>
        <w:t>Federal consumer protection and unfair competition laws broadly regulate marketplace activities and activities that potentially harm consumers.</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Analogous state and foreign laws and regulations, such as state and foreign anti-kickback, false claims,</w:t>
      </w:r>
    </w:p>
    <w:p>
      <w:pPr>
        <w:spacing w:after="0" w:line="57" w:lineRule="exact"/>
        <w:rPr>
          <w:sz w:val="20"/>
          <w:szCs w:val="20"/>
          <w:color w:val="auto"/>
        </w:rPr>
      </w:pPr>
    </w:p>
    <w:p>
      <w:pPr>
        <w:ind w:left="1100" w:right="380"/>
        <w:spacing w:after="0" w:line="237" w:lineRule="auto"/>
        <w:rPr>
          <w:sz w:val="20"/>
          <w:szCs w:val="20"/>
          <w:color w:val="auto"/>
        </w:rPr>
      </w:pPr>
      <w:r>
        <w:rPr>
          <w:rFonts w:ascii="Arial" w:cs="Arial" w:eastAsia="Arial" w:hAnsi="Arial"/>
          <w:sz w:val="20"/>
          <w:szCs w:val="20"/>
          <w:b w:val="1"/>
          <w:bCs w:val="1"/>
          <w:color w:val="auto"/>
        </w:rPr>
        <w:t>consumer protection, and unfair competition laws may apply to pharmaceutical business practices, including but not limited to, research, distribution, sales, and marketing arrangements, as well as submitting claims involving healthcare items or services reimbursed by any third-party payer, including commercial insurers.</w:t>
      </w:r>
    </w:p>
    <w:p>
      <w:pPr>
        <w:spacing w:after="0" w:line="122" w:lineRule="exact"/>
        <w:rPr>
          <w:sz w:val="20"/>
          <w:szCs w:val="20"/>
          <w:color w:val="auto"/>
        </w:rPr>
      </w:pPr>
    </w:p>
    <w:p>
      <w:pPr>
        <w:ind w:left="1100" w:right="100"/>
        <w:spacing w:after="0" w:line="237" w:lineRule="auto"/>
        <w:rPr>
          <w:sz w:val="20"/>
          <w:szCs w:val="20"/>
          <w:color w:val="auto"/>
        </w:rPr>
      </w:pPr>
      <w:r>
        <w:rPr>
          <w:rFonts w:ascii="Arial" w:cs="Arial" w:eastAsia="Arial" w:hAnsi="Arial"/>
          <w:sz w:val="20"/>
          <w:szCs w:val="20"/>
          <w:b w:val="1"/>
          <w:bCs w:val="1"/>
          <w:color w:val="auto"/>
        </w:rPr>
        <w:t>State laws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w:t>
      </w:r>
    </w:p>
    <w:p>
      <w:pPr>
        <w:spacing w:after="0" w:line="147" w:lineRule="exact"/>
        <w:rPr>
          <w:sz w:val="20"/>
          <w:szCs w:val="20"/>
          <w:color w:val="auto"/>
        </w:rPr>
      </w:pPr>
    </w:p>
    <w:p>
      <w:pPr>
        <w:ind w:left="1100" w:right="200"/>
        <w:spacing w:after="0" w:line="273" w:lineRule="auto"/>
        <w:rPr>
          <w:sz w:val="20"/>
          <w:szCs w:val="20"/>
          <w:color w:val="auto"/>
        </w:rPr>
      </w:pPr>
      <w:r>
        <w:rPr>
          <w:rFonts w:ascii="Arial" w:cs="Arial" w:eastAsia="Arial" w:hAnsi="Arial"/>
          <w:sz w:val="18"/>
          <w:szCs w:val="18"/>
          <w:b w:val="1"/>
          <w:bCs w:val="1"/>
          <w:color w:val="auto"/>
        </w:rPr>
        <w:t>State laws also require drug manufacturers to file reports with states regarding pricing and marketing information, such as the tracking and reporting of gifts, compensations and other remuneration, and items of value provided to healthcare professionals and entities.</w:t>
      </w:r>
    </w:p>
    <w:p>
      <w:pPr>
        <w:spacing w:after="0" w:line="116" w:lineRule="exact"/>
        <w:rPr>
          <w:sz w:val="20"/>
          <w:szCs w:val="20"/>
          <w:color w:val="auto"/>
        </w:rPr>
      </w:pPr>
    </w:p>
    <w:p>
      <w:pPr>
        <w:ind w:left="1100" w:right="40"/>
        <w:spacing w:after="0" w:line="253" w:lineRule="auto"/>
        <w:rPr>
          <w:sz w:val="20"/>
          <w:szCs w:val="20"/>
          <w:color w:val="auto"/>
        </w:rPr>
      </w:pPr>
      <w:r>
        <w:rPr>
          <w:rFonts w:ascii="Arial" w:cs="Arial" w:eastAsia="Arial" w:hAnsi="Arial"/>
          <w:sz w:val="19"/>
          <w:szCs w:val="19"/>
          <w:b w:val="1"/>
          <w:bCs w:val="1"/>
          <w:color w:val="auto"/>
        </w:rPr>
        <w:t>State and foreign laws also govern the privacy and security of health information in certain circumstances, such as Washington’s My Health, My Data Act, which, among other things, provides for a private right of action. Many of these laws differ from each other in significant ways and may not have the same effect, thus complicating compliance efforts.</w:t>
      </w:r>
    </w:p>
    <w:p>
      <w:pPr>
        <w:spacing w:after="0" w:line="143" w:lineRule="exact"/>
        <w:rPr>
          <w:sz w:val="20"/>
          <w:szCs w:val="20"/>
          <w:color w:val="auto"/>
        </w:rPr>
      </w:pPr>
    </w:p>
    <w:p>
      <w:pPr>
        <w:ind w:firstLine="490"/>
        <w:spacing w:after="0" w:line="326" w:lineRule="auto"/>
        <w:rPr>
          <w:sz w:val="20"/>
          <w:szCs w:val="20"/>
          <w:color w:val="auto"/>
        </w:rPr>
      </w:pPr>
      <w:r>
        <w:rPr>
          <w:rFonts w:ascii="Arial" w:cs="Arial" w:eastAsia="Arial" w:hAnsi="Arial"/>
          <w:sz w:val="15"/>
          <w:szCs w:val="15"/>
          <w:b w:val="1"/>
          <w:bCs w:val="1"/>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00" w:lineRule="exact"/>
        <w:rPr>
          <w:sz w:val="20"/>
          <w:szCs w:val="20"/>
          <w:color w:val="auto"/>
        </w:rPr>
      </w:pPr>
    </w:p>
    <w:p>
      <w:pPr>
        <w:spacing w:after="0" w:line="216" w:lineRule="exact"/>
        <w:rPr>
          <w:sz w:val="20"/>
          <w:szCs w:val="20"/>
          <w:color w:val="auto"/>
        </w:rPr>
      </w:pPr>
    </w:p>
    <w:p>
      <w:pPr>
        <w:ind w:right="440"/>
        <w:spacing w:after="0" w:line="236" w:lineRule="auto"/>
        <w:rPr>
          <w:sz w:val="20"/>
          <w:szCs w:val="20"/>
          <w:color w:val="auto"/>
        </w:rPr>
      </w:pPr>
      <w:r>
        <w:rPr>
          <w:rFonts w:ascii="Arial" w:cs="Arial" w:eastAsia="Arial" w:hAnsi="Arial"/>
          <w:sz w:val="20"/>
          <w:szCs w:val="20"/>
          <w:b w:val="1"/>
          <w:bCs w:val="1"/>
          <w:color w:val="auto"/>
        </w:rPr>
        <w:t>If we or any contract manufacturers and suppliers we engage fail to comply with environmental, health, and safety laws and regulations, we could become subject to fines or penalties or incur costs that could have a material adverse effect on our business.</w:t>
      </w:r>
    </w:p>
    <w:p>
      <w:pPr>
        <w:spacing w:after="0" w:line="133" w:lineRule="exact"/>
        <w:rPr>
          <w:sz w:val="20"/>
          <w:szCs w:val="20"/>
          <w:color w:val="auto"/>
        </w:rPr>
      </w:pPr>
    </w:p>
    <w:p>
      <w:pPr>
        <w:ind w:right="20" w:firstLine="490"/>
        <w:spacing w:after="0" w:line="328" w:lineRule="auto"/>
        <w:rPr>
          <w:sz w:val="20"/>
          <w:szCs w:val="20"/>
          <w:color w:val="auto"/>
        </w:rPr>
      </w:pPr>
      <w:r>
        <w:rPr>
          <w:rFonts w:ascii="Arial" w:cs="Arial" w:eastAsia="Arial" w:hAnsi="Arial"/>
          <w:sz w:val="15"/>
          <w:szCs w:val="15"/>
          <w:b w:val="1"/>
          <w:bCs w:val="1"/>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62</w:t>
      </w:r>
    </w:p>
    <w:p>
      <w:pPr>
        <w:sectPr>
          <w:pgSz w:w="12240" w:h="15840" w:orient="portrait"/>
          <w:cols w:equalWidth="0" w:num="1">
            <w:col w:w="9360"/>
          </w:cols>
          <w:pgMar w:left="1440" w:top="1440" w:right="1440" w:bottom="181" w:gutter="0" w:footer="0" w:header="0"/>
          <w:type w:val="continuous"/>
        </w:sectPr>
      </w:pPr>
    </w:p>
    <w:bookmarkStart w:id="64" w:name="page65"/>
    <w:bookmarkEnd w:id="64"/>
    <w:p>
      <w:pPr>
        <w:spacing w:after="0" w:line="10"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b w:val="1"/>
          <w:bCs w:val="1"/>
          <w:color w:val="auto"/>
        </w:rPr>
        <w:t>current or past facilities and at third-party facilities. We also could incur significant costs associated with civil or criminal fines and penalties.</w:t>
      </w:r>
    </w:p>
    <w:p>
      <w:pPr>
        <w:spacing w:after="0" w:line="130"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19"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color w:val="auto"/>
        </w:rPr>
        <w:t>Our business is subject to complex and evolving U.S. and foreign laws and regulations relating to security, privacy and data protection. These laws and regulations are subject to change and uncertain interpretation, and could result in claims, changes to our business practices, or monetary penalties, and otherwise may harm our business.</w:t>
      </w:r>
    </w:p>
    <w:p>
      <w:pPr>
        <w:spacing w:after="0" w:line="135"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auto"/>
        </w:rPr>
        <w:t>A wide variety of state, national, and international laws and regulations apply to security and cybersecurity requirements and the collection, use, retention, protection, disclosure, transfer, and other processing of personal data, including the data obtained in our clinical trials. These laws and regulations include the General Data Protection Regulation (GDPR) in the European Union and similar requirements in other jurisdictions, as well as privacy laws and regulations within the United States. These laws and regulations are evolving and may result in ever-increasing regulatory and public scrutiny and escalating levels of enforcement and sanctions. We are continually working to comply with these laws and regulations, and we have devoted, and anticipate needing to continue to devote, significant additional resources to our compliance efforts. It is possible that new legislation, regulations, or other government action may impose, or purport to impose, new or modified obligations and requirements on us and similarly situated companies, and these laws or regulations may be interpreted and applied in a manner that is inconsistent from jurisdiction to jurisdiction, that can result in new or modified compliance obligations or that may be inconsistent with our policies and practices. Our actual or perceived failure to adequately comply with applicable laws, regulations, or other actual or asserted obligations relating to security, privacy, and data protection, to protect our systems, personal data, and other data we process or maintain, or to obtain appropriate consent with respect to our use, processing, disclosure or transfer of personal data, including data obtained in our clinical trials, could result in regulatory fines, investigations and enforcement actions, penalties and other liabilities, claims for damages by affected individuals, and damage to our reputation, and could impact our ability to use, disclose, transfer, or otherwise process data obtained in our clinical trials, any of which could materially affect our business, financial condition, results of operations, and prospects.</w:t>
      </w:r>
    </w:p>
    <w:p>
      <w:pPr>
        <w:spacing w:after="0" w:line="216"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business functions on which the operation of our business may rely, which could negatively impact our business.</w:t>
      </w:r>
    </w:p>
    <w:p>
      <w:pPr>
        <w:spacing w:after="0" w:line="122" w:lineRule="exact"/>
        <w:rPr>
          <w:sz w:val="20"/>
          <w:szCs w:val="20"/>
          <w:color w:val="auto"/>
        </w:rPr>
      </w:pPr>
    </w:p>
    <w:p>
      <w:pPr>
        <w:ind w:right="120" w:firstLine="490"/>
        <w:spacing w:after="0" w:line="327" w:lineRule="auto"/>
        <w:rPr>
          <w:sz w:val="20"/>
          <w:szCs w:val="20"/>
          <w:color w:val="auto"/>
        </w:rPr>
      </w:pPr>
      <w:r>
        <w:rPr>
          <w:rFonts w:ascii="Arial" w:cs="Arial" w:eastAsia="Arial" w:hAnsi="Arial"/>
          <w:sz w:val="15"/>
          <w:szCs w:val="15"/>
          <w:b w:val="1"/>
          <w:bCs w:val="1"/>
          <w:color w:val="auto"/>
        </w:rPr>
        <w:t>The ability of the FDA to review and approve new products can be affected by a variety of factors, including government budget and funding levels, agency reorganizations, ability to hire and retain key personnel and accept the payment of user fees, and statutory, regulatory, and policy changes. Average review times at the agency have fluctuated in recent years as a result and may increase due to recent reductions in FDA staffing. In addition, government funding of other government agencies on which our operations may rely, including those that fund research and development activities, is subject to the political process, which is inherently fluid and unpredictable. Changes at the FDA and other agencies may also slow the time necessary for new drugs to be reviewed and/or approved by necessary government agencies, which would adversely affect our business. Changes in the leadership at federal agencies under the current presidential administration, as well as executive orders and actions, such as staffing cuts, hiring freezes, regulatory freeze pending review by the new administration, and a freeze on external communications and federal funding, may also impact our clinical development and business operations and that of</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9360"/>
          </w:cols>
          <w:pgMar w:left="1440" w:top="1440" w:right="1440" w:bottom="181" w:gutter="0" w:footer="0" w:header="0"/>
          <w:type w:val="continuous"/>
        </w:sectPr>
      </w:pPr>
    </w:p>
    <w:bookmarkStart w:id="65" w:name="page66"/>
    <w:bookmarkEnd w:id="65"/>
    <w:p>
      <w:pPr>
        <w:spacing w:after="0" w:line="10"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color w:val="auto"/>
        </w:rPr>
        <w:t>our partners or collaborators. The U.S. government has experienced budgetary shutdowns and certain regulatory agencies, such as the FDA, have had to furlough critical FDA and other government employees and stop critical activities. In the event of a prolonged government shutdown, or if regulatory agencies continue to experience workforce reductions,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14" w:lineRule="exact"/>
        <w:rPr>
          <w:sz w:val="20"/>
          <w:szCs w:val="20"/>
          <w:color w:val="auto"/>
        </w:rPr>
      </w:pPr>
    </w:p>
    <w:p>
      <w:pPr>
        <w:ind w:right="400"/>
        <w:spacing w:after="0" w:line="233" w:lineRule="auto"/>
        <w:rPr>
          <w:sz w:val="20"/>
          <w:szCs w:val="20"/>
          <w:color w:val="auto"/>
        </w:rPr>
      </w:pPr>
      <w:r>
        <w:rPr>
          <w:rFonts w:ascii="Arial" w:cs="Arial" w:eastAsia="Arial" w:hAnsi="Arial"/>
          <w:sz w:val="20"/>
          <w:szCs w:val="20"/>
          <w:b w:val="1"/>
          <w:bCs w:val="1"/>
          <w:color w:val="auto"/>
        </w:rPr>
        <w:t>Our business activities may be subject to the Foreign Corrupt Practices Act (FCPA), similar anti-bribery and anti-corruption laws, and other regulations.</w:t>
      </w:r>
    </w:p>
    <w:p>
      <w:pPr>
        <w:spacing w:after="0" w:line="132"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engage in our clinical trials or prescribe pharmaceuticals are employed by their government, and the purchasers of pharmaceuticals are government entities; therefore, our dealings with these investigators, prescribers and purchasers are subject to regulation under the FCPA.</w:t>
      </w:r>
    </w:p>
    <w:p>
      <w:pPr>
        <w:spacing w:after="0" w:line="107"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In the past, the SEC and Department of Justice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21"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We currently use and expect to continue to use third-party collaborators for the research, development, and commercialization of certain of the product candidates we may develop, including our arrangements with GSK, Adimab, and previously, AbbVie. As discussed previously, GSK can terminate the GSK Agreement with us, subject to certain notice provisions, in its entirety and for convenience at any time. Adimab can terminate its agreement with us in the event of our uncured materials breaches, and subject to certain notice requirements. In January 2025, AbbVie decided to terminate the AbbVie Agreement after the INVOKE-2 Phase 2 clinical trial evaluating the safety and efficacy of AL002 in slowing disease progression in individuals with early AD failed to meet the primary endpoint. In the event that another of our current third-party collaborators discontinues its collaboration with us, we may not be able to find a suitable alternative collaboration partner or partners, or we may need to obtain and expend additional and unanticipated capital to maintain our current development programs.</w:t>
      </w:r>
    </w:p>
    <w:p>
      <w:pPr>
        <w:spacing w:after="0" w:line="98" w:lineRule="exact"/>
        <w:rPr>
          <w:sz w:val="20"/>
          <w:szCs w:val="20"/>
          <w:color w:val="auto"/>
        </w:rPr>
      </w:pPr>
    </w:p>
    <w:p>
      <w:pPr>
        <w:ind w:right="40" w:firstLine="490"/>
        <w:spacing w:after="0" w:line="333" w:lineRule="auto"/>
        <w:rPr>
          <w:sz w:val="20"/>
          <w:szCs w:val="20"/>
          <w:color w:val="auto"/>
        </w:rPr>
      </w:pPr>
      <w:r>
        <w:rPr>
          <w:rFonts w:ascii="Arial" w:cs="Arial" w:eastAsia="Arial" w:hAnsi="Arial"/>
          <w:sz w:val="15"/>
          <w:szCs w:val="15"/>
          <w:b w:val="1"/>
          <w:bCs w:val="1"/>
          <w:color w:val="auto"/>
        </w:rPr>
        <w:t>Our likely collaborators for any other collaboration arrangements include large and mid-sized pharmaceutical companies, regional and national pharmaceutical companies, biotechnology companies, and academic institutions. Such arrangements with any third parties generally provide us with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64</w:t>
      </w:r>
    </w:p>
    <w:p>
      <w:pPr>
        <w:sectPr>
          <w:pgSz w:w="12240" w:h="15840" w:orient="portrait"/>
          <w:cols w:equalWidth="0" w:num="1">
            <w:col w:w="9360"/>
          </w:cols>
          <w:pgMar w:left="1440" w:top="1440" w:right="1440" w:bottom="181" w:gutter="0" w:footer="0" w:header="0"/>
          <w:type w:val="continuous"/>
        </w:sectPr>
      </w:pPr>
    </w:p>
    <w:bookmarkStart w:id="66" w:name="page67"/>
    <w:bookmarkEnd w:id="66"/>
    <w:p>
      <w:pPr>
        <w:spacing w:after="0" w:line="10"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them in these arrangements. We cannot predict the success of our current collaborations or any collaboration that we may enter into.</w:t>
      </w:r>
    </w:p>
    <w:p>
      <w:pPr>
        <w:spacing w:after="0" w:line="130" w:lineRule="exact"/>
        <w:rPr>
          <w:sz w:val="20"/>
          <w:szCs w:val="20"/>
          <w:color w:val="auto"/>
        </w:rPr>
      </w:pPr>
    </w:p>
    <w:p>
      <w:pPr>
        <w:ind w:right="140" w:firstLine="490"/>
        <w:spacing w:after="0" w:line="234" w:lineRule="auto"/>
        <w:rPr>
          <w:sz w:val="20"/>
          <w:szCs w:val="20"/>
          <w:color w:val="auto"/>
        </w:rPr>
      </w:pPr>
      <w:r>
        <w:rPr>
          <w:rFonts w:ascii="Arial" w:cs="Arial" w:eastAsia="Arial" w:hAnsi="Arial"/>
          <w:sz w:val="20"/>
          <w:szCs w:val="20"/>
          <w:b w:val="1"/>
          <w:bCs w:val="1"/>
          <w:color w:val="auto"/>
        </w:rPr>
        <w:t>Collaborations involving our research programs, or any product candidates we may develop, pose risks to us, including the following:</w:t>
      </w:r>
    </w:p>
    <w:p>
      <w:pPr>
        <w:spacing w:after="0" w:line="124" w:lineRule="exact"/>
        <w:rPr>
          <w:sz w:val="20"/>
          <w:szCs w:val="20"/>
          <w:color w:val="auto"/>
        </w:rPr>
      </w:pPr>
    </w:p>
    <w:p>
      <w:pPr>
        <w:ind w:left="1100" w:right="280"/>
        <w:spacing w:after="0" w:line="234" w:lineRule="auto"/>
        <w:rPr>
          <w:sz w:val="20"/>
          <w:szCs w:val="20"/>
          <w:color w:val="auto"/>
        </w:rPr>
      </w:pPr>
      <w:r>
        <w:rPr>
          <w:rFonts w:ascii="Arial" w:cs="Arial" w:eastAsia="Arial" w:hAnsi="Arial"/>
          <w:sz w:val="20"/>
          <w:szCs w:val="20"/>
          <w:b w:val="1"/>
          <w:bCs w:val="1"/>
          <w:color w:val="auto"/>
        </w:rPr>
        <w:t>collaborators generally have significant discretion in determining the efforts and resources that they will apply to collaborations;</w:t>
      </w:r>
    </w:p>
    <w:p>
      <w:pPr>
        <w:spacing w:after="0" w:line="146" w:lineRule="exact"/>
        <w:rPr>
          <w:sz w:val="20"/>
          <w:szCs w:val="20"/>
          <w:color w:val="auto"/>
        </w:rPr>
      </w:pPr>
    </w:p>
    <w:p>
      <w:pPr>
        <w:ind w:left="1100" w:right="220"/>
        <w:spacing w:after="0" w:line="332" w:lineRule="auto"/>
        <w:rPr>
          <w:sz w:val="20"/>
          <w:szCs w:val="20"/>
          <w:color w:val="auto"/>
        </w:rPr>
      </w:pPr>
      <w:r>
        <w:rPr>
          <w:rFonts w:ascii="Arial" w:cs="Arial" w:eastAsia="Arial" w:hAnsi="Arial"/>
          <w:sz w:val="15"/>
          <w:szCs w:val="15"/>
          <w:b w:val="1"/>
          <w:bCs w:val="1"/>
          <w:color w:val="auto"/>
        </w:rPr>
        <w:t>collaborators may decide to delay or not pursue development and commercialization of any product candidates we develop or may elect not to continue or renew development or commercialization programs, for example, based on clinical trial results, changes in the collaborator’s strategic focus or available funding, the collaborator’s assessment regarding the commercial viability of the product candidate, or external factors such as an acquisition that diverts resources or creates competing priorities or collaborators may elect to fund or commercialize a competing product;</w:t>
      </w:r>
    </w:p>
    <w:p>
      <w:pPr>
        <w:spacing w:after="0" w:line="82" w:lineRule="exact"/>
        <w:rPr>
          <w:sz w:val="20"/>
          <w:szCs w:val="20"/>
          <w:color w:val="auto"/>
        </w:rPr>
      </w:pPr>
    </w:p>
    <w:p>
      <w:pPr>
        <w:ind w:left="1100" w:right="20"/>
        <w:spacing w:after="0" w:line="236" w:lineRule="auto"/>
        <w:rPr>
          <w:sz w:val="20"/>
          <w:szCs w:val="20"/>
          <w:color w:val="auto"/>
        </w:rPr>
      </w:pPr>
      <w:r>
        <w:rPr>
          <w:rFonts w:ascii="Arial" w:cs="Arial" w:eastAsia="Arial" w:hAnsi="Arial"/>
          <w:sz w:val="20"/>
          <w:szCs w:val="20"/>
          <w:b w:val="1"/>
          <w:bCs w:val="1"/>
          <w:color w:val="auto"/>
        </w:rPr>
        <w:t>collaborators may delay clinical trials, provide insufficient funding for a clinical trial program, provide insufficient quantities of materials for a clinical trial program, stop a clinical trial or abandon a product candidate, repeat or conduct new clinical trials, or require a new formulation of a product candidate for clinical testing;</w:t>
      </w:r>
    </w:p>
    <w:p>
      <w:pPr>
        <w:spacing w:after="0" w:line="149" w:lineRule="exact"/>
        <w:rPr>
          <w:sz w:val="20"/>
          <w:szCs w:val="20"/>
          <w:color w:val="auto"/>
        </w:rPr>
      </w:pPr>
    </w:p>
    <w:p>
      <w:pPr>
        <w:ind w:left="1100" w:right="500"/>
        <w:spacing w:after="0" w:line="353" w:lineRule="auto"/>
        <w:rPr>
          <w:sz w:val="20"/>
          <w:szCs w:val="20"/>
          <w:color w:val="auto"/>
        </w:rPr>
      </w:pPr>
      <w:r>
        <w:rPr>
          <w:rFonts w:ascii="Arial" w:cs="Arial" w:eastAsia="Arial" w:hAnsi="Arial"/>
          <w:sz w:val="15"/>
          <w:szCs w:val="15"/>
          <w:b w:val="1"/>
          <w:bCs w:val="1"/>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w:t>
      </w:r>
    </w:p>
    <w:p>
      <w:pPr>
        <w:spacing w:after="0" w:line="64" w:lineRule="exact"/>
        <w:rPr>
          <w:sz w:val="20"/>
          <w:szCs w:val="20"/>
          <w:color w:val="auto"/>
        </w:rPr>
      </w:pPr>
    </w:p>
    <w:p>
      <w:pPr>
        <w:ind w:left="1100" w:right="40"/>
        <w:spacing w:after="0" w:line="252" w:lineRule="auto"/>
        <w:rPr>
          <w:sz w:val="20"/>
          <w:szCs w:val="20"/>
          <w:color w:val="auto"/>
        </w:rPr>
      </w:pPr>
      <w:r>
        <w:rPr>
          <w:rFonts w:ascii="Arial" w:cs="Arial" w:eastAsia="Arial" w:hAnsi="Arial"/>
          <w:sz w:val="19"/>
          <w:szCs w:val="19"/>
          <w:b w:val="1"/>
          <w:bCs w:val="1"/>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136" w:lineRule="exact"/>
        <w:rPr>
          <w:sz w:val="20"/>
          <w:szCs w:val="20"/>
          <w:color w:val="auto"/>
        </w:rPr>
      </w:pPr>
    </w:p>
    <w:p>
      <w:pPr>
        <w:ind w:left="1100"/>
        <w:spacing w:after="0" w:line="236" w:lineRule="auto"/>
        <w:rPr>
          <w:sz w:val="20"/>
          <w:szCs w:val="20"/>
          <w:color w:val="auto"/>
        </w:rPr>
      </w:pPr>
      <w:r>
        <w:rPr>
          <w:rFonts w:ascii="Arial" w:cs="Arial" w:eastAsia="Arial" w:hAnsi="Arial"/>
          <w:sz w:val="20"/>
          <w:szCs w:val="20"/>
          <w:b w:val="1"/>
          <w:bCs w:val="1"/>
          <w:color w:val="auto"/>
        </w:rPr>
        <w:t>collaborators may own or co-own intellectual property covering our product candidates or research and development programs that results from our collaboration with them, and in such cases, we may not have the exclusive right to commercialize such intellectual property or such product candidates or research programs;</w:t>
      </w:r>
    </w:p>
    <w:p>
      <w:pPr>
        <w:spacing w:after="0" w:line="148" w:lineRule="exact"/>
        <w:rPr>
          <w:sz w:val="20"/>
          <w:szCs w:val="20"/>
          <w:color w:val="auto"/>
        </w:rPr>
      </w:pPr>
    </w:p>
    <w:p>
      <w:pPr>
        <w:ind w:left="1100" w:right="340"/>
        <w:spacing w:after="0" w:line="312" w:lineRule="auto"/>
        <w:rPr>
          <w:sz w:val="20"/>
          <w:szCs w:val="20"/>
          <w:color w:val="auto"/>
        </w:rPr>
      </w:pPr>
      <w:r>
        <w:rPr>
          <w:rFonts w:ascii="Arial" w:cs="Arial" w:eastAsia="Arial" w:hAnsi="Arial"/>
          <w:sz w:val="17"/>
          <w:szCs w:val="17"/>
          <w:b w:val="1"/>
          <w:bCs w:val="1"/>
          <w:color w:val="auto"/>
        </w:rPr>
        <w:t>we may need the cooperation of our collaborators to enforce or defend any intellectual property we contribute to or that arises out of our collaborations, which may not be provided to us;</w:t>
      </w:r>
    </w:p>
    <w:p>
      <w:pPr>
        <w:spacing w:after="0" w:line="86" w:lineRule="exact"/>
        <w:rPr>
          <w:sz w:val="20"/>
          <w:szCs w:val="20"/>
          <w:color w:val="auto"/>
        </w:rPr>
      </w:pPr>
    </w:p>
    <w:p>
      <w:pPr>
        <w:ind w:left="1100"/>
        <w:spacing w:after="0" w:line="254" w:lineRule="auto"/>
        <w:rPr>
          <w:sz w:val="20"/>
          <w:szCs w:val="20"/>
          <w:color w:val="auto"/>
        </w:rPr>
      </w:pPr>
      <w:r>
        <w:rPr>
          <w:rFonts w:ascii="Arial" w:cs="Arial" w:eastAsia="Arial" w:hAnsi="Arial"/>
          <w:sz w:val="19"/>
          <w:szCs w:val="19"/>
          <w:b w:val="1"/>
          <w:bCs w:val="1"/>
          <w:color w:val="auto"/>
        </w:rPr>
        <w:t>collaborators may control certain interactions with regulatory authorities, which may impact our ability to obtain and maintain regulatory approval of our product candidates;</w:t>
      </w:r>
    </w:p>
    <w:p>
      <w:pPr>
        <w:spacing w:after="0" w:line="130" w:lineRule="exact"/>
        <w:rPr>
          <w:sz w:val="20"/>
          <w:szCs w:val="20"/>
          <w:color w:val="auto"/>
        </w:rPr>
      </w:pPr>
    </w:p>
    <w:p>
      <w:pPr>
        <w:ind w:left="1100" w:right="260"/>
        <w:spacing w:after="0" w:line="297" w:lineRule="auto"/>
        <w:rPr>
          <w:sz w:val="20"/>
          <w:szCs w:val="20"/>
          <w:color w:val="auto"/>
        </w:rPr>
      </w:pPr>
      <w:r>
        <w:rPr>
          <w:rFonts w:ascii="Arial" w:cs="Arial" w:eastAsia="Arial" w:hAnsi="Arial"/>
          <w:sz w:val="17"/>
          <w:szCs w:val="17"/>
          <w:b w:val="1"/>
          <w:bCs w:val="1"/>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99" w:lineRule="exact"/>
        <w:rPr>
          <w:sz w:val="20"/>
          <w:szCs w:val="20"/>
          <w:color w:val="auto"/>
        </w:rPr>
      </w:pPr>
    </w:p>
    <w:p>
      <w:pPr>
        <w:ind w:left="1100" w:right="60"/>
        <w:spacing w:after="0" w:line="271" w:lineRule="auto"/>
        <w:rPr>
          <w:sz w:val="20"/>
          <w:szCs w:val="20"/>
          <w:color w:val="auto"/>
        </w:rPr>
      </w:pPr>
      <w:r>
        <w:rPr>
          <w:rFonts w:ascii="Arial" w:cs="Arial" w:eastAsia="Arial" w:hAnsi="Arial"/>
          <w:sz w:val="18"/>
          <w:szCs w:val="18"/>
          <w:b w:val="1"/>
          <w:bCs w:val="1"/>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118" w:lineRule="exact"/>
        <w:rPr>
          <w:sz w:val="20"/>
          <w:szCs w:val="20"/>
          <w:color w:val="auto"/>
        </w:rPr>
      </w:pPr>
    </w:p>
    <w:p>
      <w:pPr>
        <w:ind w:left="1100" w:right="380"/>
        <w:spacing w:after="0" w:line="234" w:lineRule="auto"/>
        <w:rPr>
          <w:sz w:val="20"/>
          <w:szCs w:val="20"/>
          <w:color w:val="auto"/>
        </w:rPr>
      </w:pPr>
      <w:r>
        <w:rPr>
          <w:rFonts w:ascii="Arial" w:cs="Arial" w:eastAsia="Arial" w:hAnsi="Arial"/>
          <w:sz w:val="20"/>
          <w:szCs w:val="20"/>
          <w:b w:val="1"/>
          <w:bCs w:val="1"/>
          <w:color w:val="auto"/>
        </w:rPr>
        <w:t>collaborators may restrict us from researching, developing, or commercializing certain products or technologies without their involvement;</w:t>
      </w:r>
    </w:p>
    <w:p>
      <w:pPr>
        <w:spacing w:after="0" w:line="146" w:lineRule="exact"/>
        <w:rPr>
          <w:sz w:val="20"/>
          <w:szCs w:val="20"/>
          <w:color w:val="auto"/>
        </w:rPr>
      </w:pPr>
    </w:p>
    <w:p>
      <w:pPr>
        <w:ind w:left="1100" w:right="160"/>
        <w:spacing w:after="0" w:line="236" w:lineRule="auto"/>
        <w:rPr>
          <w:sz w:val="20"/>
          <w:szCs w:val="20"/>
          <w:color w:val="auto"/>
        </w:rPr>
      </w:pPr>
      <w:r>
        <w:rPr>
          <w:rFonts w:ascii="Arial" w:cs="Arial" w:eastAsia="Arial" w:hAnsi="Arial"/>
          <w:sz w:val="20"/>
          <w:szCs w:val="20"/>
          <w:b w:val="1"/>
          <w:bCs w:val="1"/>
          <w:color w:val="auto"/>
        </w:rPr>
        <w:t>collaborators with manufacturing, marketing, or distribution rights to one or more product candidates may not commit sufficient resources to the manufacture, marketing, or distribution of such product candidates;</w:t>
      </w:r>
    </w:p>
    <w:p>
      <w:pPr>
        <w:spacing w:after="0" w:line="144" w:lineRule="exact"/>
        <w:rPr>
          <w:sz w:val="20"/>
          <w:szCs w:val="20"/>
          <w:color w:val="auto"/>
        </w:rPr>
      </w:pPr>
    </w:p>
    <w:p>
      <w:pPr>
        <w:ind w:left="1100" w:right="200"/>
        <w:spacing w:after="0" w:line="234" w:lineRule="auto"/>
        <w:rPr>
          <w:sz w:val="20"/>
          <w:szCs w:val="20"/>
          <w:color w:val="auto"/>
        </w:rPr>
      </w:pPr>
      <w:r>
        <w:rPr>
          <w:rFonts w:ascii="Arial" w:cs="Arial" w:eastAsia="Arial" w:hAnsi="Arial"/>
          <w:sz w:val="20"/>
          <w:szCs w:val="20"/>
          <w:b w:val="1"/>
          <w:bCs w:val="1"/>
          <w:color w:val="auto"/>
        </w:rPr>
        <w:t>we may lose certain valuable rights under circumstances identified in our collaborations, including if we undergo a change of control;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9360"/>
          </w:cols>
          <w:pgMar w:left="1440" w:top="1440" w:right="1440" w:bottom="181" w:gutter="0" w:footer="0" w:header="0"/>
          <w:type w:val="continuous"/>
        </w:sectPr>
      </w:pPr>
    </w:p>
    <w:bookmarkStart w:id="67" w:name="page68"/>
    <w:bookmarkEnd w:id="67"/>
    <w:p>
      <w:pPr>
        <w:spacing w:after="0" w:line="1" w:lineRule="exact"/>
        <w:rPr>
          <w:sz w:val="20"/>
          <w:szCs w:val="20"/>
          <w:color w:val="auto"/>
        </w:rPr>
      </w:pPr>
    </w:p>
    <w:p>
      <w:pPr>
        <w:ind w:left="1100" w:right="140"/>
        <w:spacing w:after="0" w:line="235" w:lineRule="auto"/>
        <w:rPr>
          <w:sz w:val="20"/>
          <w:szCs w:val="20"/>
          <w:color w:val="auto"/>
        </w:rPr>
      </w:pPr>
      <w:r>
        <w:rPr>
          <w:rFonts w:ascii="Arial" w:cs="Arial" w:eastAsia="Arial" w:hAnsi="Arial"/>
          <w:sz w:val="20"/>
          <w:szCs w:val="20"/>
          <w:b w:val="1"/>
          <w:bCs w:val="1"/>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147" w:lineRule="exact"/>
        <w:rPr>
          <w:sz w:val="20"/>
          <w:szCs w:val="20"/>
          <w:color w:val="auto"/>
        </w:rPr>
      </w:pPr>
    </w:p>
    <w:p>
      <w:pPr>
        <w:ind w:left="1100" w:right="20"/>
        <w:spacing w:after="0" w:line="297" w:lineRule="auto"/>
        <w:rPr>
          <w:sz w:val="20"/>
          <w:szCs w:val="20"/>
          <w:color w:val="auto"/>
        </w:rPr>
      </w:pPr>
      <w:r>
        <w:rPr>
          <w:rFonts w:ascii="Arial" w:cs="Arial" w:eastAsia="Arial" w:hAnsi="Arial"/>
          <w:sz w:val="17"/>
          <w:szCs w:val="17"/>
          <w:b w:val="1"/>
          <w:bCs w:val="1"/>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99" w:lineRule="exact"/>
        <w:rPr>
          <w:sz w:val="20"/>
          <w:szCs w:val="20"/>
          <w:color w:val="auto"/>
        </w:rPr>
      </w:pPr>
    </w:p>
    <w:p>
      <w:pPr>
        <w:ind w:left="1100" w:right="320"/>
        <w:spacing w:after="0" w:line="281" w:lineRule="auto"/>
        <w:rPr>
          <w:sz w:val="20"/>
          <w:szCs w:val="20"/>
          <w:color w:val="auto"/>
        </w:rPr>
      </w:pPr>
      <w:r>
        <w:rPr>
          <w:rFonts w:ascii="Arial" w:cs="Arial" w:eastAsia="Arial" w:hAnsi="Arial"/>
          <w:sz w:val="18"/>
          <w:szCs w:val="18"/>
          <w:b w:val="1"/>
          <w:bCs w:val="1"/>
          <w:color w:val="auto"/>
        </w:rPr>
        <w:t>significant reductions in federal funding, such as research grants, to academic and other institutions may result in reduced opportunities to collaborate with such institutions;</w:t>
      </w:r>
    </w:p>
    <w:p>
      <w:pPr>
        <w:spacing w:after="0" w:line="108" w:lineRule="exact"/>
        <w:rPr>
          <w:sz w:val="20"/>
          <w:szCs w:val="20"/>
          <w:color w:val="auto"/>
        </w:rPr>
      </w:pPr>
    </w:p>
    <w:p>
      <w:pPr>
        <w:ind w:left="1100" w:right="1040"/>
        <w:spacing w:after="0" w:line="234" w:lineRule="auto"/>
        <w:rPr>
          <w:sz w:val="20"/>
          <w:szCs w:val="20"/>
          <w:color w:val="auto"/>
        </w:rPr>
      </w:pPr>
      <w:r>
        <w:rPr>
          <w:rFonts w:ascii="Arial" w:cs="Arial" w:eastAsia="Arial" w:hAnsi="Arial"/>
          <w:sz w:val="20"/>
          <w:szCs w:val="20"/>
          <w:b w:val="1"/>
          <w:bCs w:val="1"/>
          <w:color w:val="auto"/>
        </w:rPr>
        <w:t>key personnel at our collaborators may leave, which could negatively impact our ability to productively work with our collaborators;</w:t>
      </w:r>
    </w:p>
    <w:p>
      <w:pPr>
        <w:spacing w:after="0" w:line="146" w:lineRule="exact"/>
        <w:rPr>
          <w:sz w:val="20"/>
          <w:szCs w:val="20"/>
          <w:color w:val="auto"/>
        </w:rPr>
      </w:pPr>
    </w:p>
    <w:p>
      <w:pPr>
        <w:ind w:left="1100" w:right="60"/>
        <w:spacing w:after="0" w:line="234" w:lineRule="auto"/>
        <w:rPr>
          <w:sz w:val="20"/>
          <w:szCs w:val="20"/>
          <w:color w:val="auto"/>
        </w:rPr>
      </w:pPr>
      <w:r>
        <w:rPr>
          <w:rFonts w:ascii="Arial" w:cs="Arial" w:eastAsia="Arial" w:hAnsi="Arial"/>
          <w:sz w:val="20"/>
          <w:szCs w:val="20"/>
          <w:b w:val="1"/>
          <w:bCs w:val="1"/>
          <w:color w:val="auto"/>
        </w:rPr>
        <w:t>collaborations may require us to incur short and long-term expenditures, issue securities that dilute our stockholders, or disrupt our management and business;</w:t>
      </w:r>
    </w:p>
    <w:p>
      <w:pPr>
        <w:spacing w:after="0" w:line="146" w:lineRule="exact"/>
        <w:rPr>
          <w:sz w:val="20"/>
          <w:szCs w:val="20"/>
          <w:color w:val="auto"/>
        </w:rPr>
      </w:pPr>
    </w:p>
    <w:p>
      <w:pPr>
        <w:ind w:left="1100"/>
        <w:spacing w:after="0" w:line="273" w:lineRule="auto"/>
        <w:rPr>
          <w:sz w:val="20"/>
          <w:szCs w:val="20"/>
          <w:color w:val="auto"/>
        </w:rPr>
      </w:pPr>
      <w:r>
        <w:rPr>
          <w:rFonts w:ascii="Arial" w:cs="Arial" w:eastAsia="Arial" w:hAnsi="Arial"/>
          <w:sz w:val="18"/>
          <w:szCs w:val="18"/>
          <w:b w:val="1"/>
          <w:bCs w:val="1"/>
          <w:color w:val="auto"/>
        </w:rPr>
        <w:t>if our collaborators do not satisfy their obligations under our agreements with them, if they terminate our collaborations with them, or if we fail to satisfy our obligations to our collaborators, we may not be able to develop or commercialize product candidates as planned;</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the terms of a collaboration agreement may be amended in a manner that could negatively impact us;</w:t>
      </w:r>
    </w:p>
    <w:p>
      <w:pPr>
        <w:spacing w:after="0" w:line="169" w:lineRule="exact"/>
        <w:rPr>
          <w:sz w:val="20"/>
          <w:szCs w:val="20"/>
          <w:color w:val="auto"/>
        </w:rPr>
      </w:pPr>
    </w:p>
    <w:p>
      <w:pPr>
        <w:ind w:left="1100" w:right="360"/>
        <w:spacing w:after="0" w:line="353" w:lineRule="auto"/>
        <w:rPr>
          <w:sz w:val="20"/>
          <w:szCs w:val="20"/>
          <w:color w:val="auto"/>
        </w:rPr>
      </w:pPr>
      <w:r>
        <w:rPr>
          <w:rFonts w:ascii="Arial" w:cs="Arial" w:eastAsia="Arial" w:hAnsi="Arial"/>
          <w:sz w:val="15"/>
          <w:szCs w:val="15"/>
          <w:b w:val="1"/>
          <w:bCs w:val="1"/>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64" w:lineRule="exact"/>
        <w:rPr>
          <w:sz w:val="20"/>
          <w:szCs w:val="20"/>
          <w:color w:val="auto"/>
        </w:rPr>
      </w:pPr>
    </w:p>
    <w:p>
      <w:pPr>
        <w:ind w:left="1100" w:right="140"/>
        <w:spacing w:after="0" w:line="233" w:lineRule="auto"/>
        <w:rPr>
          <w:sz w:val="20"/>
          <w:szCs w:val="20"/>
          <w:color w:val="auto"/>
        </w:rPr>
      </w:pPr>
      <w:r>
        <w:rPr>
          <w:rFonts w:ascii="Arial" w:cs="Arial" w:eastAsia="Arial" w:hAnsi="Arial"/>
          <w:sz w:val="20"/>
          <w:szCs w:val="20"/>
          <w:b w:val="1"/>
          <w:bCs w:val="1"/>
          <w:color w:val="auto"/>
        </w:rPr>
        <w:t>collaboration agreements may not lead to development or commercialization of product candidates in the most efficient manner or at all; and</w:t>
      </w:r>
    </w:p>
    <w:p>
      <w:pPr>
        <w:spacing w:after="0" w:line="146" w:lineRule="exact"/>
        <w:rPr>
          <w:sz w:val="20"/>
          <w:szCs w:val="20"/>
          <w:color w:val="auto"/>
        </w:rPr>
      </w:pPr>
    </w:p>
    <w:p>
      <w:pPr>
        <w:ind w:left="1100" w:right="220"/>
        <w:spacing w:after="0" w:line="297" w:lineRule="auto"/>
        <w:rPr>
          <w:sz w:val="20"/>
          <w:szCs w:val="20"/>
          <w:color w:val="auto"/>
        </w:rPr>
      </w:pPr>
      <w:r>
        <w:rPr>
          <w:rFonts w:ascii="Arial" w:cs="Arial" w:eastAsia="Arial" w:hAnsi="Arial"/>
          <w:sz w:val="17"/>
          <w:szCs w:val="17"/>
          <w:b w:val="1"/>
          <w:bCs w:val="1"/>
          <w:color w:val="auto"/>
        </w:rPr>
        <w:t>if a present or future collaborator of ours were to be involved in a business combination, such as a merger or acquisition, the continued pursuit and emphasis on our development or commercialization program under such collaboration could be delayed, diminished, or terminated.</w:t>
      </w:r>
    </w:p>
    <w:p>
      <w:pPr>
        <w:spacing w:after="0" w:line="108" w:lineRule="exact"/>
        <w:rPr>
          <w:sz w:val="20"/>
          <w:szCs w:val="20"/>
          <w:color w:val="auto"/>
        </w:rPr>
      </w:pPr>
    </w:p>
    <w:p>
      <w:pPr>
        <w:ind w:right="80" w:firstLine="490"/>
        <w:spacing w:after="0" w:line="288" w:lineRule="auto"/>
        <w:rPr>
          <w:sz w:val="20"/>
          <w:szCs w:val="20"/>
          <w:color w:val="auto"/>
        </w:rPr>
      </w:pPr>
      <w:r>
        <w:rPr>
          <w:rFonts w:ascii="Arial" w:cs="Arial" w:eastAsia="Arial" w:hAnsi="Arial"/>
          <w:sz w:val="17"/>
          <w:szCs w:val="17"/>
          <w:b w:val="1"/>
          <w:bCs w:val="1"/>
          <w:color w:val="auto"/>
        </w:rPr>
        <w:t>For example, AbbVie, after reviewing the CD33 collaboration program with us, decided to terminate the CD33 collaboration program, under which AL003 was being developed. AbbVie later decided to terminate the TREM2 collaboration program, under which AL002 was being developed, resulting in termination of the AbbVie Agreement. Additionally, GSK is conducting the PROGRESS-AD Phase 2 trial with nivisnebart, and Alector is responsible for up to $140.5 million of the costs of such study. As such, the timing at which such costs are incurred, and the day-to-day operations of conducting such study are not within Alector’s control.</w:t>
      </w:r>
    </w:p>
    <w:p>
      <w:pPr>
        <w:spacing w:after="0" w:line="93"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auto"/>
        </w:rPr>
        <w:t>We may face significant competition in seeking appropriate collaborations. For example,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revenue.</w:t>
      </w:r>
    </w:p>
    <w:p>
      <w:pPr>
        <w:spacing w:after="0" w:line="96" w:lineRule="exact"/>
        <w:rPr>
          <w:sz w:val="20"/>
          <w:szCs w:val="20"/>
          <w:color w:val="auto"/>
        </w:rPr>
      </w:pPr>
    </w:p>
    <w:p>
      <w:pPr>
        <w:ind w:right="60" w:firstLine="490"/>
        <w:spacing w:after="0" w:line="329" w:lineRule="auto"/>
        <w:rPr>
          <w:sz w:val="20"/>
          <w:szCs w:val="20"/>
          <w:color w:val="auto"/>
        </w:rPr>
      </w:pPr>
      <w:r>
        <w:rPr>
          <w:rFonts w:ascii="Arial" w:cs="Arial" w:eastAsia="Arial" w:hAnsi="Arial"/>
          <w:sz w:val="15"/>
          <w:szCs w:val="15"/>
          <w:b w:val="1"/>
          <w:bCs w:val="1"/>
          <w:color w:val="auto"/>
        </w:rPr>
        <w:t>We may not realize the benefit of collaborations if we or our collaborator are unable to successfully develop a product candidate and commercialize it upon approval or integrate a product candidate into existing operations and company culture. For example, in January 2025, AbbVie decided to terminate the TREM2 collaboration program, which resulted in termination of the AbbVie Agreement, after the INVOKE-2 Phase 2 clinical trial evaluating the safety and efficacy of AL002 in slowing disease progression in individuals with early AD failed to meet the primary endpoint. Therefore, we did not receive a $250.0 million milestone payment for AbbVie’s opting into the AL002 program or any future payments, and all rights to the TREM2 program have reverted back to us. In October 2025, we announced that latozinemab failed to meet the clinical co-primary endpoint in the INFRONT-3 Phase 3 clinical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66</w:t>
      </w:r>
    </w:p>
    <w:p>
      <w:pPr>
        <w:sectPr>
          <w:pgSz w:w="12240" w:h="15840" w:orient="portrait"/>
          <w:cols w:equalWidth="0" w:num="1">
            <w:col w:w="9360"/>
          </w:cols>
          <w:pgMar w:left="1440" w:top="1440" w:right="1440" w:bottom="181" w:gutter="0" w:footer="0" w:header="0"/>
          <w:type w:val="continuous"/>
        </w:sectPr>
      </w:pPr>
    </w:p>
    <w:bookmarkStart w:id="68" w:name="page69"/>
    <w:bookmarkEnd w:id="68"/>
    <w:p>
      <w:pPr>
        <w:spacing w:after="0" w:line="10"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color w:val="auto"/>
        </w:rPr>
        <w:t>trial. As a result, we will not be seeking approval for and commercializing latozinemab in FTD-GRN, and certain milestone payments ($160 million for the first US commercial sale and $90 million for the first commercial sale in two or more EU countries) will not be achieved through commercialization of latozinemab in FTD-GRN, and our receipt of such milestones will therefore be delayed, or may not occur at all.</w:t>
      </w:r>
    </w:p>
    <w:p>
      <w:pPr>
        <w:spacing w:after="0" w:line="91" w:lineRule="exact"/>
        <w:rPr>
          <w:sz w:val="20"/>
          <w:szCs w:val="20"/>
          <w:color w:val="auto"/>
        </w:rPr>
      </w:pPr>
    </w:p>
    <w:p>
      <w:pPr>
        <w:ind w:right="40" w:firstLine="490"/>
        <w:spacing w:after="0" w:line="329" w:lineRule="auto"/>
        <w:rPr>
          <w:sz w:val="20"/>
          <w:szCs w:val="20"/>
          <w:color w:val="auto"/>
        </w:rPr>
      </w:pPr>
      <w:r>
        <w:rPr>
          <w:rFonts w:ascii="Arial" w:cs="Arial" w:eastAsia="Arial" w:hAnsi="Arial"/>
          <w:sz w:val="15"/>
          <w:szCs w:val="15"/>
          <w:b w:val="1"/>
          <w:bCs w:val="1"/>
          <w:color w:val="auto"/>
        </w:rPr>
        <w:t>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b w:val="1"/>
          <w:b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33" w:lineRule="exact"/>
        <w:rPr>
          <w:sz w:val="20"/>
          <w:szCs w:val="20"/>
          <w:color w:val="auto"/>
        </w:rPr>
      </w:pPr>
    </w:p>
    <w:p>
      <w:pPr>
        <w:ind w:firstLine="490"/>
        <w:spacing w:after="0" w:line="290" w:lineRule="auto"/>
        <w:rPr>
          <w:sz w:val="20"/>
          <w:szCs w:val="20"/>
          <w:color w:val="auto"/>
        </w:rPr>
      </w:pPr>
      <w:r>
        <w:rPr>
          <w:rFonts w:ascii="Arial" w:cs="Arial" w:eastAsia="Arial" w:hAnsi="Arial"/>
          <w:sz w:val="17"/>
          <w:szCs w:val="17"/>
          <w:b w:val="1"/>
          <w:bCs w:val="1"/>
          <w:color w:val="auto"/>
        </w:rPr>
        <w:t>We currently rely and expect to continue to rely on third parties, such as laboratory service providers and other vendors,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research, preclinical and clinical development activities.</w:t>
      </w:r>
    </w:p>
    <w:p>
      <w:pPr>
        <w:spacing w:after="0" w:line="89" w:lineRule="exact"/>
        <w:rPr>
          <w:sz w:val="20"/>
          <w:szCs w:val="20"/>
          <w:color w:val="auto"/>
        </w:rPr>
      </w:pPr>
    </w:p>
    <w:p>
      <w:pPr>
        <w:ind w:right="60" w:firstLine="490"/>
        <w:spacing w:after="0" w:line="325" w:lineRule="auto"/>
        <w:rPr>
          <w:sz w:val="20"/>
          <w:szCs w:val="20"/>
          <w:color w:val="auto"/>
        </w:rPr>
      </w:pPr>
      <w:r>
        <w:rPr>
          <w:rFonts w:ascii="Arial" w:cs="Arial" w:eastAsia="Arial" w:hAnsi="Arial"/>
          <w:sz w:val="15"/>
          <w:szCs w:val="15"/>
          <w:b w:val="1"/>
          <w:bCs w:val="1"/>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For example, if our CROs or clinical sites deviate from the clinical protocol or cGCPs, then such deviations could have serious negative impacts on our trials, including exclusion of patients or sites from our trials, which could put patients at risk or make assessment of the clinical endpoints infeasible or inconclusive.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government-sponsored databases within certain timeframes. We may also be exposed to additional liabilities if our contracted third parties engage in activities associated with improper use of information obtained in the course of patient recruitment for our clinical trials, cGCP noncompliance or noncompliance under applicable privacy laws, which could result in regulatory sanctions and cause serious harm to our reputation and business operations. Failure to do so can result in fines, adverse publicity, and civil and criminal sanctions.</w:t>
      </w:r>
    </w:p>
    <w:p>
      <w:pPr>
        <w:spacing w:after="0" w:line="304" w:lineRule="exact"/>
        <w:rPr>
          <w:sz w:val="20"/>
          <w:szCs w:val="20"/>
          <w:color w:val="auto"/>
        </w:rPr>
      </w:pPr>
    </w:p>
    <w:p>
      <w:pPr>
        <w:ind w:right="60" w:firstLine="490"/>
        <w:spacing w:after="0" w:line="237" w:lineRule="auto"/>
        <w:rPr>
          <w:sz w:val="20"/>
          <w:szCs w:val="20"/>
          <w:color w:val="auto"/>
        </w:rPr>
      </w:pPr>
      <w:r>
        <w:rPr>
          <w:rFonts w:ascii="Arial" w:cs="Arial" w:eastAsia="Arial" w:hAnsi="Arial"/>
          <w:sz w:val="20"/>
          <w:szCs w:val="20"/>
          <w:b w:val="1"/>
          <w:bCs w:val="1"/>
          <w:color w:val="auto"/>
        </w:rPr>
        <w:t>If these third parties do not successfully carry out their contractual duties, meet expected deadlines, or comply with regulatory requirements or our stated protocols, we will not be able to obtain, or may be delayed in obtaining, data to advance development of any of our product candidates or to achieve marketing approvals for any of our product candidates and we will not be able to, or may be delayed in our efforts to, successfully commercialize our medicines.</w:t>
      </w:r>
    </w:p>
    <w:p>
      <w:pPr>
        <w:spacing w:after="0" w:line="134" w:lineRule="exact"/>
        <w:rPr>
          <w:sz w:val="20"/>
          <w:szCs w:val="20"/>
          <w:color w:val="auto"/>
        </w:rPr>
      </w:pPr>
    </w:p>
    <w:p>
      <w:pPr>
        <w:ind w:right="100" w:firstLine="490"/>
        <w:spacing w:after="0" w:line="271" w:lineRule="auto"/>
        <w:rPr>
          <w:sz w:val="20"/>
          <w:szCs w:val="20"/>
          <w:color w:val="auto"/>
        </w:rPr>
      </w:pPr>
      <w:r>
        <w:rPr>
          <w:rFonts w:ascii="Arial" w:cs="Arial" w:eastAsia="Arial" w:hAnsi="Arial"/>
          <w:sz w:val="18"/>
          <w:szCs w:val="18"/>
          <w:b w:val="1"/>
          <w:bCs w:val="1"/>
          <w:color w:val="auto"/>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revenue.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9360"/>
          </w:cols>
          <w:pgMar w:left="1440" w:top="1440" w:right="1440" w:bottom="181" w:gutter="0" w:footer="0" w:header="0"/>
          <w:type w:val="continuous"/>
        </w:sectPr>
      </w:pPr>
    </w:p>
    <w:bookmarkStart w:id="69" w:name="page70"/>
    <w:bookmarkEnd w:id="69"/>
    <w:p>
      <w:pPr>
        <w:spacing w:after="0" w:line="1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We contract with third parties for the manufacture of materials for our research programs, preclinical studies, clinical trials, and for commercialization of any product candidates that we may develop. Additionally, GSK, and other potential partners, currently have or may in the future have certain product manufacturing rights under their respective agreements.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06"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auto"/>
        </w:rPr>
        <w:t>We do not have any manufacturing facilities. We currently rely on CDMOs for the manufacture of our materials for research, preclinical studies and clinical trials and expect to continue to do so for research, preclinical studies, clinical trials, and for commercial supply of any product candidates that we may develop. We currently have established relationships with several CDMOs for the manufacture of each of our product candidates, and GSK is assuming responsibility for manufacturing nivisnebart. We may be unable to establish any further agreements with CDMOs or to do so on acceptable terms. Even if we are able to establish agreements with third-party manufacturers, reliance on CDMOs entails additional risks, including:</w:t>
      </w:r>
    </w:p>
    <w:p>
      <w:pPr>
        <w:spacing w:after="0" w:line="8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possible breach of the manufacturing agreement by the third party;</w:t>
      </w:r>
    </w:p>
    <w:p>
      <w:pPr>
        <w:spacing w:after="0" w:line="145" w:lineRule="exact"/>
        <w:rPr>
          <w:sz w:val="20"/>
          <w:szCs w:val="20"/>
          <w:color w:val="auto"/>
        </w:rPr>
      </w:pPr>
    </w:p>
    <w:p>
      <w:pPr>
        <w:ind w:left="1100" w:right="300"/>
        <w:spacing w:after="0" w:line="234" w:lineRule="auto"/>
        <w:rPr>
          <w:sz w:val="20"/>
          <w:szCs w:val="20"/>
          <w:color w:val="auto"/>
        </w:rPr>
      </w:pPr>
      <w:r>
        <w:rPr>
          <w:rFonts w:ascii="Arial" w:cs="Arial" w:eastAsia="Arial" w:hAnsi="Arial"/>
          <w:sz w:val="20"/>
          <w:szCs w:val="20"/>
          <w:b w:val="1"/>
          <w:bCs w:val="1"/>
          <w:color w:val="auto"/>
        </w:rPr>
        <w:t>the possible termination or nonrenewal of the agreement by the third party at a time that is costly or inconvenient for us;</w:t>
      </w:r>
    </w:p>
    <w:p>
      <w:pPr>
        <w:spacing w:after="0" w:line="146" w:lineRule="exact"/>
        <w:rPr>
          <w:sz w:val="20"/>
          <w:szCs w:val="20"/>
          <w:color w:val="auto"/>
        </w:rPr>
      </w:pPr>
    </w:p>
    <w:p>
      <w:pPr>
        <w:ind w:left="1100" w:right="580"/>
        <w:spacing w:after="0" w:line="234" w:lineRule="auto"/>
        <w:rPr>
          <w:sz w:val="20"/>
          <w:szCs w:val="20"/>
          <w:color w:val="auto"/>
        </w:rPr>
      </w:pPr>
      <w:r>
        <w:rPr>
          <w:rFonts w:ascii="Arial" w:cs="Arial" w:eastAsia="Arial" w:hAnsi="Arial"/>
          <w:sz w:val="20"/>
          <w:szCs w:val="20"/>
          <w:b w:val="1"/>
          <w:bCs w:val="1"/>
          <w:color w:val="auto"/>
        </w:rPr>
        <w:t>the possible site closure or other change by the third party that would require adjustments to our production processes, location or otherwise;</w:t>
      </w:r>
    </w:p>
    <w:p>
      <w:pPr>
        <w:spacing w:after="0" w:line="146" w:lineRule="exact"/>
        <w:rPr>
          <w:sz w:val="20"/>
          <w:szCs w:val="20"/>
          <w:color w:val="auto"/>
        </w:rPr>
      </w:pPr>
    </w:p>
    <w:p>
      <w:pPr>
        <w:ind w:left="1100" w:right="60"/>
        <w:spacing w:after="0" w:line="233" w:lineRule="auto"/>
        <w:rPr>
          <w:sz w:val="20"/>
          <w:szCs w:val="20"/>
          <w:color w:val="auto"/>
        </w:rPr>
      </w:pPr>
      <w:r>
        <w:rPr>
          <w:rFonts w:ascii="Arial" w:cs="Arial" w:eastAsia="Arial" w:hAnsi="Arial"/>
          <w:sz w:val="20"/>
          <w:szCs w:val="20"/>
          <w:b w:val="1"/>
          <w:bCs w:val="1"/>
          <w:color w:val="auto"/>
        </w:rPr>
        <w:t>reliance on the third party for regulatory compliance, quality assurance, safety, and pharmacovigilance and related reporting; and</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the inability to produce required volume in a timely manner and to quality standards.</w:t>
      </w:r>
    </w:p>
    <w:p>
      <w:pPr>
        <w:spacing w:after="0" w:line="154" w:lineRule="exact"/>
        <w:rPr>
          <w:sz w:val="20"/>
          <w:szCs w:val="20"/>
          <w:color w:val="auto"/>
        </w:rPr>
      </w:pPr>
    </w:p>
    <w:p>
      <w:pPr>
        <w:ind w:right="60" w:firstLine="490"/>
        <w:spacing w:after="0" w:line="252" w:lineRule="auto"/>
        <w:rPr>
          <w:sz w:val="20"/>
          <w:szCs w:val="20"/>
          <w:color w:val="auto"/>
        </w:rPr>
      </w:pPr>
      <w:r>
        <w:rPr>
          <w:rFonts w:ascii="Arial" w:cs="Arial" w:eastAsia="Arial" w:hAnsi="Arial"/>
          <w:sz w:val="19"/>
          <w:szCs w:val="19"/>
          <w:b w:val="1"/>
          <w:bCs w:val="1"/>
          <w:color w:val="auto"/>
        </w:rPr>
        <w:t>Third-party manufacturers may not be able to comply with cGMP regulations or similar regulatory requirements outside the United States. Our failure, or the failure of our CDMOs or collaboration partners,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125" w:lineRule="exact"/>
        <w:rPr>
          <w:sz w:val="20"/>
          <w:szCs w:val="20"/>
          <w:color w:val="auto"/>
        </w:rPr>
      </w:pPr>
    </w:p>
    <w:p>
      <w:pPr>
        <w:ind w:right="80" w:firstLine="490"/>
        <w:spacing w:after="0" w:line="236" w:lineRule="auto"/>
        <w:rPr>
          <w:sz w:val="20"/>
          <w:szCs w:val="20"/>
          <w:color w:val="auto"/>
        </w:rPr>
      </w:pPr>
      <w:r>
        <w:rPr>
          <w:rFonts w:ascii="Arial" w:cs="Arial" w:eastAsia="Arial" w:hAnsi="Arial"/>
          <w:sz w:val="20"/>
          <w:szCs w:val="20"/>
          <w:b w:val="1"/>
          <w:bCs w:val="1"/>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0" w:lineRule="exact"/>
        <w:rPr>
          <w:sz w:val="20"/>
          <w:szCs w:val="20"/>
          <w:color w:val="auto"/>
        </w:rPr>
      </w:pPr>
    </w:p>
    <w:p>
      <w:pPr>
        <w:ind w:firstLine="490"/>
        <w:spacing w:after="0" w:line="253" w:lineRule="auto"/>
        <w:rPr>
          <w:sz w:val="20"/>
          <w:szCs w:val="20"/>
          <w:color w:val="auto"/>
        </w:rPr>
      </w:pPr>
      <w:r>
        <w:rPr>
          <w:rFonts w:ascii="Arial" w:cs="Arial" w:eastAsia="Arial" w:hAnsi="Arial"/>
          <w:sz w:val="19"/>
          <w:szCs w:val="19"/>
          <w:b w:val="1"/>
          <w:bCs w:val="1"/>
          <w:color w:val="auto"/>
        </w:rPr>
        <w:t>Any performance failure on the part of our existing or future third-party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20" w:lineRule="exact"/>
        <w:rPr>
          <w:sz w:val="20"/>
          <w:szCs w:val="20"/>
          <w:color w:val="auto"/>
        </w:rPr>
      </w:pPr>
    </w:p>
    <w:p>
      <w:pPr>
        <w:ind w:right="140" w:firstLine="490"/>
        <w:spacing w:after="0" w:line="252" w:lineRule="auto"/>
        <w:rPr>
          <w:sz w:val="20"/>
          <w:szCs w:val="20"/>
          <w:color w:val="auto"/>
        </w:rPr>
      </w:pPr>
      <w:r>
        <w:rPr>
          <w:rFonts w:ascii="Arial" w:cs="Arial" w:eastAsia="Arial" w:hAnsi="Arial"/>
          <w:sz w:val="19"/>
          <w:szCs w:val="19"/>
          <w:b w:val="1"/>
          <w:bCs w:val="1"/>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68</w:t>
      </w:r>
    </w:p>
    <w:p>
      <w:pPr>
        <w:sectPr>
          <w:pgSz w:w="12240" w:h="15840" w:orient="portrait"/>
          <w:cols w:equalWidth="0" w:num="1">
            <w:col w:w="9360"/>
          </w:cols>
          <w:pgMar w:left="1440" w:top="1440" w:right="1440" w:bottom="181" w:gutter="0" w:footer="0" w:header="0"/>
          <w:type w:val="continuous"/>
        </w:sectPr>
      </w:pPr>
    </w:p>
    <w:bookmarkStart w:id="70" w:name="page71"/>
    <w:bookmarkEnd w:id="70"/>
    <w:p>
      <w:pPr>
        <w:spacing w:after="0" w:line="10" w:lineRule="exact"/>
        <w:rPr>
          <w:sz w:val="20"/>
          <w:szCs w:val="20"/>
          <w:color w:val="auto"/>
        </w:rPr>
      </w:pPr>
    </w:p>
    <w:p>
      <w:pPr>
        <w:jc w:val="both"/>
        <w:ind w:right="80"/>
        <w:spacing w:after="0" w:line="235" w:lineRule="auto"/>
        <w:rPr>
          <w:sz w:val="20"/>
          <w:szCs w:val="20"/>
          <w:color w:val="auto"/>
        </w:rPr>
      </w:pPr>
      <w:r>
        <w:rPr>
          <w:rFonts w:ascii="Arial" w:cs="Arial" w:eastAsia="Arial" w:hAnsi="Arial"/>
          <w:sz w:val="20"/>
          <w:szCs w:val="20"/>
          <w:b w:val="1"/>
          <w:bCs w:val="1"/>
          <w:color w:val="auto"/>
        </w:rPr>
        <w:t>We, and the CDMO partners on which we rely, depend on third-party suppliers for key raw materials used in our manufacturing processes, and the loss of these third-party suppliers or their inability to supply us with adequate raw materials, could harm our business.</w:t>
      </w:r>
    </w:p>
    <w:p>
      <w:pPr>
        <w:spacing w:after="0" w:line="133" w:lineRule="exact"/>
        <w:rPr>
          <w:sz w:val="20"/>
          <w:szCs w:val="20"/>
          <w:color w:val="auto"/>
        </w:rPr>
      </w:pPr>
    </w:p>
    <w:p>
      <w:pPr>
        <w:ind w:right="20" w:firstLine="490"/>
        <w:spacing w:after="0" w:line="323" w:lineRule="auto"/>
        <w:rPr>
          <w:sz w:val="20"/>
          <w:szCs w:val="20"/>
          <w:color w:val="auto"/>
        </w:rPr>
      </w:pPr>
      <w:r>
        <w:rPr>
          <w:rFonts w:ascii="Arial" w:cs="Arial" w:eastAsia="Arial" w:hAnsi="Arial"/>
          <w:sz w:val="15"/>
          <w:szCs w:val="15"/>
          <w:b w:val="1"/>
          <w:bCs w:val="1"/>
          <w:color w:val="auto"/>
        </w:rPr>
        <w:t>We and the CDMO partners on which we rely depend on third-party suppliers for the supply of the raw materials required for the production of our product candidates, and we expect to continue to depend on third-party manufacturers for the commercial supply of any of our product candidates for which we obtain marketing approval. Their dependence on these third-party suppliers and the challenges faced in obtaining adequate supplies of raw materials involve several risks, including supply chain issues caused by the effects of worldwide economic conditions, including pandemics and other public health outbreaks, national security concerns, export or import restrictions, trade tariffs, or other geopolitical events, limited control over pricing, the availability of such materials, the quality of such materials, and delivery schedules. To the extent our business relies on customers, vendors, or suppliers in countries where the U.S. government has imposed any of these or other trade restrictions, our business may experience a material adverse effect. As a small company, our negotiation leverage is limited, and we are likely to get lower priority than our competitors who are larger than we are. We do not have long-term supply agreements, and we purchase our required drug product on a development manufacturing services agreement or purchase order basis. We cannot be certain that suppliers will continue to provide the quantities of these raw materials that are required or satisfy the anticipated specifications and quality requirements. Any supply interruption in limited or sole sourced raw materials, including those caused by the effects of worldwide economic conditions including pandemics and other public health outbreaks, geopolitical events, export or import restrictions, or trade tariffs, could materially harm our ability to manufacture our product candidates until a new source of supply, if any, can be identified and qualified. In such an event, we may be unable to find a sufficient alternative supply channel in a reasonable time or on commercially reasonable terms. Any performance failure on the part of the suppliers could delay the development and potential commercialization of our product candidates, including limiting supplies necessary for clinical trials and regulatory approvals, which would have a material adverse effect on our business.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9360"/>
          </w:cols>
          <w:pgMar w:left="1440" w:top="1440" w:right="1440" w:bottom="181"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If we are unable to obtain and maintain patent protection for any product candidates we develop, our competitors could develop and commercialize products similar or identical to ours, and our ability to successfully commercialize any product candidates we may develop may be adversely affected.</w:t>
      </w:r>
    </w:p>
    <w:p>
      <w:pPr>
        <w:spacing w:after="0" w:line="121" w:lineRule="exact"/>
        <w:rPr>
          <w:sz w:val="20"/>
          <w:szCs w:val="20"/>
          <w:color w:val="auto"/>
        </w:rPr>
      </w:pPr>
    </w:p>
    <w:p>
      <w:pPr>
        <w:ind w:right="60" w:firstLine="490"/>
        <w:spacing w:after="0" w:line="322" w:lineRule="auto"/>
        <w:rPr>
          <w:sz w:val="20"/>
          <w:szCs w:val="20"/>
          <w:color w:val="auto"/>
        </w:rPr>
      </w:pPr>
      <w:r>
        <w:rPr>
          <w:rFonts w:ascii="Arial" w:cs="Arial" w:eastAsia="Arial" w:hAnsi="Arial"/>
          <w:sz w:val="15"/>
          <w:szCs w:val="15"/>
          <w:b w:val="1"/>
          <w:bCs w:val="1"/>
          <w:color w:val="auto"/>
        </w:rPr>
        <w:t>Our success depends in large part on our ability to obtain and maintain patent protection in the United States and other countries with respect to our proprietary product candidates and other technologies we may develop. We seek to protect our proprietary position by filing patent applications in the United States and abroad relating to our core programs and product candidates, as well as other technologies that are important to our business. As our product candidates enter and progress through clinical development, we continue to pursue intellectual property protection with respect to certain aspects of those product candidates. For example, we have filed or intend to file patent applications on aspects of our technology and core product candidates; however, there can be no assurance that any such patent applications will issue as granted patents. Furthermore, in cases in which we have only filed provisional patent applications on certain aspects of our technology and product candidates, each of those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Moreover, if we decide to abandon certain patent applications or cease maintaining issued patents relating to programs or product candidates that are no longer important to our business, there is a risk that our interest in such programs or product candidates may resume at a future time, e.g., due to new information available to us or in the field, and our intellectual property rights with respect to those programs or product candidates may be weakened due to the abandonment of or failure to maintain such patent applications and patents, respectively. Any failure to obtain or maintain patent protection with respect to our core programs and product candidates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If any of our patent applications, or those of our collaborators, do not issue as patents in any jurisdiction, we may not be able to compete effectively.</w:t>
      </w:r>
    </w:p>
    <w:p>
      <w:pPr>
        <w:spacing w:after="0" w:line="130" w:lineRule="exact"/>
        <w:rPr>
          <w:sz w:val="20"/>
          <w:szCs w:val="20"/>
          <w:color w:val="auto"/>
        </w:rPr>
      </w:pPr>
    </w:p>
    <w:p>
      <w:pPr>
        <w:ind w:right="120" w:firstLine="490"/>
        <w:spacing w:after="0" w:line="287" w:lineRule="auto"/>
        <w:rPr>
          <w:sz w:val="20"/>
          <w:szCs w:val="20"/>
          <w:color w:val="auto"/>
        </w:rPr>
      </w:pPr>
      <w:r>
        <w:rPr>
          <w:rFonts w:ascii="Arial" w:cs="Arial" w:eastAsia="Arial" w:hAnsi="Arial"/>
          <w:sz w:val="17"/>
          <w:szCs w:val="17"/>
          <w:b w:val="1"/>
          <w:bCs w:val="1"/>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or those of our collaborators with respect to our product candidates. With respect to both our intellectual property and that of our collaborators related to our product candidates, we cannot predict whether the patent applications we and our collaborators are currently pursuing will issue as patents in any particular jurisdiction or whether the claims of any issued patents will provide sufficient protection from competitors or other third parties.</w:t>
      </w:r>
    </w:p>
    <w:p>
      <w:pPr>
        <w:spacing w:after="0" w:line="94" w:lineRule="exact"/>
        <w:rPr>
          <w:sz w:val="20"/>
          <w:szCs w:val="20"/>
          <w:color w:val="auto"/>
        </w:rPr>
      </w:pPr>
    </w:p>
    <w:p>
      <w:pPr>
        <w:ind w:right="100" w:firstLine="490"/>
        <w:spacing w:after="0" w:line="284" w:lineRule="auto"/>
        <w:rPr>
          <w:sz w:val="20"/>
          <w:szCs w:val="20"/>
          <w:color w:val="auto"/>
        </w:rPr>
      </w:pPr>
      <w:r>
        <w:rPr>
          <w:rFonts w:ascii="Arial" w:cs="Arial" w:eastAsia="Arial" w:hAnsi="Arial"/>
          <w:sz w:val="17"/>
          <w:szCs w:val="17"/>
          <w:b w:val="1"/>
          <w:bCs w:val="1"/>
          <w:color w:val="auto"/>
        </w:rPr>
        <w:t>The patent prosecution process is expensive, time-consuming, and complex, and we or our collaborators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collaborators were first to file for patent protection of such inventions.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70</w:t>
      </w:r>
    </w:p>
    <w:p>
      <w:pPr>
        <w:sectPr>
          <w:pgSz w:w="12240" w:h="15840" w:orient="portrait"/>
          <w:cols w:equalWidth="0" w:num="1">
            <w:col w:w="9360"/>
          </w:cols>
          <w:pgMar w:left="1440" w:top="1439" w:right="1440" w:bottom="181" w:gutter="0" w:footer="0" w:header="0"/>
          <w:type w:val="continuous"/>
        </w:sectPr>
      </w:pPr>
    </w:p>
    <w:bookmarkStart w:id="72" w:name="page73"/>
    <w:bookmarkEnd w:id="72"/>
    <w:p>
      <w:pPr>
        <w:spacing w:after="0" w:line="10"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133" w:lineRule="exact"/>
        <w:rPr>
          <w:sz w:val="20"/>
          <w:szCs w:val="20"/>
          <w:color w:val="auto"/>
        </w:rPr>
      </w:pPr>
    </w:p>
    <w:p>
      <w:pPr>
        <w:ind w:right="160" w:firstLine="490"/>
        <w:spacing w:after="0" w:line="269" w:lineRule="auto"/>
        <w:rPr>
          <w:sz w:val="20"/>
          <w:szCs w:val="20"/>
          <w:color w:val="auto"/>
        </w:rPr>
      </w:pPr>
      <w:r>
        <w:rPr>
          <w:rFonts w:ascii="Arial" w:cs="Arial" w:eastAsia="Arial" w:hAnsi="Arial"/>
          <w:sz w:val="18"/>
          <w:szCs w:val="18"/>
          <w:b w:val="1"/>
          <w:bCs w:val="1"/>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or our collaborators’ pending and future patent applications may not result in patents being issued which protect our product candidates or other technologies or which effectively prevent others from commercializing competitive technologies and product candidates.</w:t>
      </w:r>
    </w:p>
    <w:p>
      <w:pPr>
        <w:spacing w:after="0" w:line="108" w:lineRule="exact"/>
        <w:rPr>
          <w:sz w:val="20"/>
          <w:szCs w:val="20"/>
          <w:color w:val="auto"/>
        </w:rPr>
      </w:pPr>
    </w:p>
    <w:p>
      <w:pPr>
        <w:ind w:right="120" w:firstLine="490"/>
        <w:spacing w:after="0" w:line="285" w:lineRule="auto"/>
        <w:rPr>
          <w:sz w:val="20"/>
          <w:szCs w:val="20"/>
          <w:color w:val="auto"/>
        </w:rPr>
      </w:pPr>
      <w:r>
        <w:rPr>
          <w:rFonts w:ascii="Arial" w:cs="Arial" w:eastAsia="Arial" w:hAnsi="Arial"/>
          <w:sz w:val="17"/>
          <w:szCs w:val="17"/>
          <w:b w:val="1"/>
          <w:bCs w:val="1"/>
          <w:color w:val="auto"/>
        </w:rPr>
        <w:t>Moreover, the coverage claimed in a patent application can be significantly reduced before the patent is issued, and its scope can be reinterpreted after issuance. Even if patent applications we or our collaborators license or own currently or in the future issue as patents, they may not issue in a form that will provide us with any meaningful protection, prevent competitors or other third parties from competing with us, or otherwise provide us with any competitive advantage. Any patents to which we or our collaborators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00" w:lineRule="exact"/>
        <w:rPr>
          <w:sz w:val="20"/>
          <w:szCs w:val="20"/>
          <w:color w:val="auto"/>
        </w:rPr>
      </w:pPr>
    </w:p>
    <w:p>
      <w:pPr>
        <w:ind w:right="40" w:firstLine="490"/>
        <w:spacing w:after="0" w:line="323" w:lineRule="auto"/>
        <w:rPr>
          <w:sz w:val="20"/>
          <w:szCs w:val="20"/>
          <w:color w:val="auto"/>
        </w:rPr>
      </w:pPr>
      <w:r>
        <w:rPr>
          <w:rFonts w:ascii="Arial" w:cs="Arial" w:eastAsia="Arial" w:hAnsi="Arial"/>
          <w:sz w:val="15"/>
          <w:szCs w:val="15"/>
          <w:b w:val="1"/>
          <w:bCs w:val="1"/>
          <w:color w:val="auto"/>
        </w:rPr>
        <w:t>The issuance of a patent is not conclusive as to its inventorship, scope, validity, or enforceability, and our patents may be challenged in the courts or patent offices in the United States and abroad. We or our collaborators may be subject to a third-party pre-issuance submission of prior art to the United States Patent and Trademark Office (USPTO) or foreign patent offices or become involved in opposition, derivation, revocation, reexamination, post-grant and inter partes review, inventorship dispute, or interference proceedings or other similar proceedings challenging our or our collaborators’ patent rights. An adverse determination in any such submission, proceeding, or litigation could reduce the scope of, or invalidate or render unenforceable, such patent rights, allow third parties to commercialize our product candidates or other technologies and compete directly with us, without payment to us. Moreover, we, or any one of our collaborators, may have to participate in post-grant challenge proceedings, such as oppositions in a foreign patent office, in which a third party challenges the features of patentability with respect to our or our collaborators’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for our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inventorship dispute, we may be required to obtain and maintain licenses from third parties.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200" w:lineRule="exact"/>
        <w:rPr>
          <w:sz w:val="20"/>
          <w:szCs w:val="20"/>
          <w:color w:val="auto"/>
        </w:rPr>
      </w:pPr>
    </w:p>
    <w:p>
      <w:pPr>
        <w:spacing w:after="0" w:line="338" w:lineRule="exact"/>
        <w:rPr>
          <w:sz w:val="20"/>
          <w:szCs w:val="20"/>
          <w:color w:val="auto"/>
        </w:rPr>
      </w:pPr>
    </w:p>
    <w:p>
      <w:pPr>
        <w:ind w:right="420" w:firstLine="490"/>
        <w:spacing w:after="0" w:line="292" w:lineRule="auto"/>
        <w:rPr>
          <w:sz w:val="20"/>
          <w:szCs w:val="20"/>
          <w:color w:val="auto"/>
        </w:rPr>
      </w:pPr>
      <w:r>
        <w:rPr>
          <w:rFonts w:ascii="Arial" w:cs="Arial" w:eastAsia="Arial" w:hAnsi="Arial"/>
          <w:sz w:val="17"/>
          <w:szCs w:val="17"/>
          <w:b w:val="1"/>
          <w:bCs w:val="1"/>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rights to exclude others for a sufficient period of time from commercializing products similar or identical to ours.</w:t>
      </w:r>
    </w:p>
    <w:p>
      <w:pPr>
        <w:spacing w:after="0" w:line="88" w:lineRule="exact"/>
        <w:rPr>
          <w:sz w:val="20"/>
          <w:szCs w:val="20"/>
          <w:color w:val="auto"/>
        </w:rPr>
      </w:pPr>
    </w:p>
    <w:p>
      <w:pPr>
        <w:ind w:right="20" w:firstLine="490"/>
        <w:spacing w:after="0" w:line="328" w:lineRule="auto"/>
        <w:rPr>
          <w:sz w:val="20"/>
          <w:szCs w:val="20"/>
          <w:color w:val="auto"/>
        </w:rPr>
      </w:pPr>
      <w:r>
        <w:rPr>
          <w:rFonts w:ascii="Arial" w:cs="Arial" w:eastAsia="Arial" w:hAnsi="Arial"/>
          <w:sz w:val="15"/>
          <w:szCs w:val="15"/>
          <w:b w:val="1"/>
          <w:bCs w:val="1"/>
          <w:color w:val="auto"/>
        </w:rPr>
        <w:t>Some of our patents and patent applications may be co-owned with third parties. In addition, collaborators or future licensors may co-own their patents and patent applications with other third parties with whom we do not have a direct relationship. Our rights to certain of these patents and patent applications may be dependent, in part, on inter-institutional or other operating agreements between the joint owners of such patents and patent applications, who are not parties to our license agreements. If our collaborators or future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to the extent such products and technology are not also covered by our intellectual property. In addition, we may need the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9360"/>
          </w:cols>
          <w:pgMar w:left="1440" w:top="1440" w:right="1440" w:bottom="181" w:gutter="0" w:footer="0" w:header="0"/>
          <w:type w:val="continuous"/>
        </w:sectPr>
      </w:pPr>
    </w:p>
    <w:bookmarkStart w:id="73" w:name="page74"/>
    <w:bookmarkEnd w:id="73"/>
    <w:p>
      <w:pPr>
        <w:spacing w:after="0" w:line="10"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23" w:lineRule="exact"/>
        <w:rPr>
          <w:sz w:val="20"/>
          <w:szCs w:val="20"/>
          <w:color w:val="auto"/>
        </w:rPr>
      </w:pPr>
    </w:p>
    <w:p>
      <w:pPr>
        <w:ind w:right="480"/>
        <w:spacing w:after="0" w:line="254" w:lineRule="auto"/>
        <w:rPr>
          <w:sz w:val="20"/>
          <w:szCs w:val="20"/>
          <w:color w:val="auto"/>
        </w:rPr>
      </w:pPr>
      <w:r>
        <w:rPr>
          <w:rFonts w:ascii="Arial" w:cs="Arial" w:eastAsia="Arial" w:hAnsi="Arial"/>
          <w:sz w:val="19"/>
          <w:szCs w:val="19"/>
          <w:b w:val="1"/>
          <w:bCs w:val="1"/>
          <w:color w:val="auto"/>
        </w:rPr>
        <w:t>Our rights to develop and commercialize are subject, in part, to the terms and conditions of agreements with others, including terms and conditions regarding intellectual property rights.</w:t>
      </w:r>
    </w:p>
    <w:p>
      <w:pPr>
        <w:spacing w:after="0" w:line="118" w:lineRule="exact"/>
        <w:rPr>
          <w:sz w:val="20"/>
          <w:szCs w:val="20"/>
          <w:color w:val="auto"/>
        </w:rPr>
      </w:pPr>
    </w:p>
    <w:p>
      <w:pPr>
        <w:ind w:firstLine="490"/>
        <w:spacing w:after="0" w:line="252" w:lineRule="auto"/>
        <w:rPr>
          <w:sz w:val="20"/>
          <w:szCs w:val="20"/>
          <w:color w:val="auto"/>
        </w:rPr>
      </w:pPr>
      <w:r>
        <w:rPr>
          <w:rFonts w:ascii="Arial" w:cs="Arial" w:eastAsia="Arial" w:hAnsi="Arial"/>
          <w:sz w:val="19"/>
          <w:szCs w:val="19"/>
          <w:b w:val="1"/>
          <w:bCs w:val="1"/>
          <w:color w:val="auto"/>
        </w:rPr>
        <w:t>We rely on certain patent rights and proprietary technology from third parties that are important or necessary to the development of our product candidates, and development and commercialization of our product candidates are subject to the terms and conditions of certain collaboration agreements with third parties. For example, in 2014 we entered into the Adimab Collaboration Agreement. Under that Agreement, we are developing nivisnebart, which is an antibody discovered by Adimab. In July 2021, we entered into the GSK Agreement to collaborate on the global development and commercialization of the progranulin-elevating monoclonal antibodies, latozinemab and nivisnebart.</w:t>
      </w:r>
    </w:p>
    <w:p>
      <w:pPr>
        <w:spacing w:after="0" w:line="124" w:lineRule="exact"/>
        <w:rPr>
          <w:sz w:val="20"/>
          <w:szCs w:val="20"/>
          <w:color w:val="auto"/>
        </w:rPr>
      </w:pPr>
    </w:p>
    <w:p>
      <w:pPr>
        <w:ind w:right="140" w:firstLine="490"/>
        <w:spacing w:after="0" w:line="269" w:lineRule="auto"/>
        <w:rPr>
          <w:sz w:val="20"/>
          <w:szCs w:val="20"/>
          <w:color w:val="auto"/>
        </w:rPr>
      </w:pPr>
      <w:r>
        <w:rPr>
          <w:rFonts w:ascii="Arial" w:cs="Arial" w:eastAsia="Arial" w:hAnsi="Arial"/>
          <w:sz w:val="18"/>
          <w:szCs w:val="18"/>
          <w:b w:val="1"/>
          <w:bCs w:val="1"/>
          <w:color w:val="auto"/>
        </w:rPr>
        <w:t>Our agreements with Adimab, GSK, and other agreements we enter into in the future may not provide exclusive rights to use certain intellectual property and technology retained by the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08" w:lineRule="exact"/>
        <w:rPr>
          <w:sz w:val="20"/>
          <w:szCs w:val="20"/>
          <w:color w:val="auto"/>
        </w:rPr>
      </w:pPr>
    </w:p>
    <w:p>
      <w:pPr>
        <w:ind w:right="100" w:firstLine="490"/>
        <w:spacing w:after="0" w:line="270" w:lineRule="auto"/>
        <w:rPr>
          <w:sz w:val="20"/>
          <w:szCs w:val="20"/>
          <w:color w:val="auto"/>
        </w:rPr>
      </w:pPr>
      <w:r>
        <w:rPr>
          <w:rFonts w:ascii="Arial" w:cs="Arial" w:eastAsia="Arial" w:hAnsi="Arial"/>
          <w:sz w:val="18"/>
          <w:szCs w:val="18"/>
          <w:b w:val="1"/>
          <w:bCs w:val="1"/>
          <w:color w:val="auto"/>
        </w:rPr>
        <w:t>In addition, subject to the terms of any such agreements, we may not have the right to control the preparation, filing, prosecution, and maintenance, and we may not have the right to control the enforcement and defense of certain patents and patent applications relating to or affecting our development candidates. For example, the GSK Agreement provides GSK with certain rights with respect to preparation, filing, prosecution, maintenance, enforcement, and defense of certain patents and patent applications.</w:t>
      </w:r>
    </w:p>
    <w:p>
      <w:pPr>
        <w:spacing w:after="0" w:line="105" w:lineRule="exact"/>
        <w:rPr>
          <w:sz w:val="20"/>
          <w:szCs w:val="20"/>
          <w:color w:val="auto"/>
        </w:rPr>
      </w:pPr>
    </w:p>
    <w:p>
      <w:pPr>
        <w:ind w:right="60" w:firstLine="490"/>
        <w:spacing w:after="0" w:line="285" w:lineRule="auto"/>
        <w:rPr>
          <w:sz w:val="20"/>
          <w:szCs w:val="20"/>
          <w:color w:val="auto"/>
        </w:rPr>
      </w:pPr>
      <w:r>
        <w:rPr>
          <w:rFonts w:ascii="Arial" w:cs="Arial" w:eastAsia="Arial" w:hAnsi="Arial"/>
          <w:sz w:val="17"/>
          <w:szCs w:val="17"/>
          <w:b w:val="1"/>
          <w:bCs w:val="1"/>
          <w:color w:val="auto"/>
        </w:rPr>
        <w:t>We cannot be certain that patents and patent applications as to which preparation, filing, prosecution, maintenance, enforcement, or defense are controlled by our collaborators will be prepared, filed, prosecuted, maintained, enforced, and defended in a manner consistent with the best interests of our business. If our collaborators fail to prosecute, maintain, enforce, and defend such patents, or lose rights to those patents or patent applications, our rights to such patents may be reduced or eliminated, our right to develop and commercialize any of our product candidates that are the subject of such rights could be adversely affected, and we may have a reduced ability to prevent competitors from making, using, and selling competing products. In addition, even where we have the right to control prosecution of patent applications we have licensed to and from collaborators, we may still be adversely affected or prejudiced by actions or inactions of our collaborators that took place prior to the date upon which we assumed control of patent prosecution.</w:t>
      </w:r>
    </w:p>
    <w:p>
      <w:pPr>
        <w:spacing w:after="0" w:line="98"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auto"/>
        </w:rPr>
        <w:t>Furthermore, our or our collaborators’ patents may be subject to a reservation of rights by one or more third parties. For example, we received an award from the National Institute of Health in support of our research into the production and characterization of novel therapeutic antibodies against the neurotrophic factor PGRN degrading receptor SORT1, which led to the development of latozinemab and nivisnebart. As a result,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for public use under federal regulations, or to give preference to U.S. industry. In addition, our rights in such inventions may be subject to certain requirements to manufacture products embodying such inventions in facilities in the United States in certain circumstances and if the U.S. government does not waive this requirement. Any exercise by the U.S. government of its rights, including denial of a request for a waiver of the above requirements to manufacture certain products in facilities in the United States, or by any third party of its reserved rights, could have a material adverse effect on our competitive position, business, financial condition, results of operations, and prospects, including our plans and timing for potential commercialization.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72</w:t>
      </w:r>
    </w:p>
    <w:p>
      <w:pPr>
        <w:sectPr>
          <w:pgSz w:w="12240" w:h="15840" w:orient="portrait"/>
          <w:cols w:equalWidth="0" w:num="1">
            <w:col w:w="9360"/>
          </w:cols>
          <w:pgMar w:left="1440" w:top="1440" w:right="1440" w:bottom="181" w:gutter="0" w:footer="0" w:header="0"/>
          <w:type w:val="continuous"/>
        </w:sectPr>
      </w:pPr>
    </w:p>
    <w:bookmarkStart w:id="74" w:name="page75"/>
    <w:bookmarkEnd w:id="74"/>
    <w:p>
      <w:pPr>
        <w:spacing w:after="0" w:line="10" w:lineRule="exact"/>
        <w:rPr>
          <w:sz w:val="20"/>
          <w:szCs w:val="20"/>
          <w:color w:val="auto"/>
        </w:rPr>
      </w:pPr>
    </w:p>
    <w:p>
      <w:pPr>
        <w:ind w:right="60" w:firstLine="490"/>
        <w:spacing w:after="0" w:line="267" w:lineRule="auto"/>
        <w:rPr>
          <w:sz w:val="20"/>
          <w:szCs w:val="20"/>
          <w:color w:val="auto"/>
        </w:rPr>
      </w:pPr>
      <w:r>
        <w:rPr>
          <w:rFonts w:ascii="Arial" w:cs="Arial" w:eastAsia="Arial" w:hAnsi="Arial"/>
          <w:sz w:val="18"/>
          <w:szCs w:val="18"/>
          <w:b w:val="1"/>
          <w:bCs w:val="1"/>
          <w:color w:val="auto"/>
        </w:rPr>
        <w:t>Moreover, the government may implement new policies and guidelines that impose certain risks on our intellectual property. On July 28, 2023, President Biden issued an Executive Order that emphasized a preference for domestic manufacturing for subject inventions under the Bayh Dole Act (Bayh Dole). On December 7, 2023, the National Institutes of Science and Technology (NIST) published a draft framework for expanding the use of the government’s march-in rights under Bayh Dole. In August 2025, the U.S. Department of Commerce under the Trump administration initiated a comprehensive review of Harvard University’s federally funded research programs and expressly reserved the government’s right to exercise its march-in authority with respect to Harvard’s patent portfolio. However, the government has not exercised its march-in rights against Harvard or any federal funding recipient (assignee or exclusive licensee) to date. If the U.S. government does exercise its march-in rights for any of our subject inventions under its policy, this action could have a material adverse effect on our competitive position, business, financial condition, results of operations, and prospects, including our plans and timing for potential commercialization.</w:t>
      </w:r>
    </w:p>
    <w:p>
      <w:pPr>
        <w:spacing w:after="0" w:line="237"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b w:val="1"/>
          <w:bCs w:val="1"/>
          <w:color w:val="auto"/>
        </w:rPr>
        <w:t>If we fail to comply with our obligations in the agreements under which we option or license intellectual property rights from our collaborators or future licensors or otherwise experience disruptions to our business relationships with our collaborators or future licensors, we could lose intellectual property rights that are important to our business.</w:t>
      </w:r>
    </w:p>
    <w:p>
      <w:pPr>
        <w:spacing w:after="0" w:line="135" w:lineRule="exact"/>
        <w:rPr>
          <w:sz w:val="20"/>
          <w:szCs w:val="20"/>
          <w:color w:val="auto"/>
        </w:rPr>
      </w:pPr>
    </w:p>
    <w:p>
      <w:pPr>
        <w:ind w:right="20" w:firstLine="490"/>
        <w:spacing w:after="0" w:line="326" w:lineRule="auto"/>
        <w:rPr>
          <w:sz w:val="20"/>
          <w:szCs w:val="20"/>
          <w:color w:val="auto"/>
        </w:rPr>
      </w:pPr>
      <w:r>
        <w:rPr>
          <w:rFonts w:ascii="Arial" w:cs="Arial" w:eastAsia="Arial" w:hAnsi="Arial"/>
          <w:sz w:val="15"/>
          <w:szCs w:val="15"/>
          <w:b w:val="1"/>
          <w:bCs w:val="1"/>
          <w:color w:val="auto"/>
        </w:rPr>
        <w:t>We have entered into agreements with our collaborators to option or license certain intellectual property and may need to obtain additional intellectual property rights from others to advance our research or allow commercialization of product candidates we may develop. It is possible that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303"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In addition, each of our agreements with collaborators do, and we expect our future agreements will, impose various economic, development, diligence, commercialization, and other obligations on us. Certain of our collaboration agreements also require us to meet development timelines, or to exercise commercially reasonable efforts to develop and commercialize licensed products. In spite of our efforts, our collaborators might conclude that we have materially breached our obligations under such agreements and might therefore terminate or seek damages under the agreements, thereby removing or limiting our ability to develop and commercialize products and technology covered by these agreements. If termination of these agreements causes us to lose the rights to certain patents or other intellectual property, or if the underlying patents fail to provide the intended exclusivity,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Moreover, disputes may arise regarding intellectual property subject to a collaboration agreement, including:</w:t>
      </w:r>
    </w:p>
    <w:p>
      <w:pPr>
        <w:spacing w:after="0" w:line="147" w:lineRule="exact"/>
        <w:rPr>
          <w:sz w:val="20"/>
          <w:szCs w:val="20"/>
          <w:color w:val="auto"/>
        </w:rPr>
      </w:pPr>
    </w:p>
    <w:p>
      <w:pPr>
        <w:ind w:left="1100" w:right="240"/>
        <w:spacing w:after="0" w:line="234" w:lineRule="auto"/>
        <w:rPr>
          <w:sz w:val="20"/>
          <w:szCs w:val="20"/>
          <w:color w:val="auto"/>
        </w:rPr>
      </w:pPr>
      <w:r>
        <w:rPr>
          <w:rFonts w:ascii="Arial" w:cs="Arial" w:eastAsia="Arial" w:hAnsi="Arial"/>
          <w:sz w:val="20"/>
          <w:szCs w:val="20"/>
          <w:b w:val="1"/>
          <w:bCs w:val="1"/>
          <w:color w:val="auto"/>
        </w:rPr>
        <w:t>the scope of the option or license rights granted under the agreement and other interpretation-related issues;</w:t>
      </w:r>
    </w:p>
    <w:p>
      <w:pPr>
        <w:spacing w:after="0" w:line="146" w:lineRule="exact"/>
        <w:rPr>
          <w:sz w:val="20"/>
          <w:szCs w:val="20"/>
          <w:color w:val="auto"/>
        </w:rPr>
      </w:pPr>
    </w:p>
    <w:p>
      <w:pPr>
        <w:ind w:left="1100" w:right="200"/>
        <w:spacing w:after="0" w:line="278" w:lineRule="auto"/>
        <w:rPr>
          <w:sz w:val="20"/>
          <w:szCs w:val="20"/>
          <w:color w:val="auto"/>
        </w:rPr>
      </w:pPr>
      <w:r>
        <w:rPr>
          <w:rFonts w:ascii="Arial" w:cs="Arial" w:eastAsia="Arial" w:hAnsi="Arial"/>
          <w:sz w:val="18"/>
          <w:szCs w:val="18"/>
          <w:b w:val="1"/>
          <w:bCs w:val="1"/>
          <w:color w:val="auto"/>
        </w:rPr>
        <w:t>the extent to which our technology and processes infringe on intellectual property of the collaborator that is not subject to the option or license rights granted under the agreement;</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the sublicensing of patent and other rights under our collaborative development relationships;</w:t>
      </w:r>
    </w:p>
    <w:p>
      <w:pPr>
        <w:spacing w:after="0" w:line="146" w:lineRule="exact"/>
        <w:rPr>
          <w:sz w:val="20"/>
          <w:szCs w:val="20"/>
          <w:color w:val="auto"/>
        </w:rPr>
      </w:pPr>
    </w:p>
    <w:p>
      <w:pPr>
        <w:ind w:left="1100" w:right="220"/>
        <w:spacing w:after="0" w:line="234" w:lineRule="auto"/>
        <w:rPr>
          <w:sz w:val="20"/>
          <w:szCs w:val="20"/>
          <w:color w:val="auto"/>
        </w:rPr>
      </w:pPr>
      <w:r>
        <w:rPr>
          <w:rFonts w:ascii="Arial" w:cs="Arial" w:eastAsia="Arial" w:hAnsi="Arial"/>
          <w:sz w:val="20"/>
          <w:szCs w:val="20"/>
          <w:b w:val="1"/>
          <w:bCs w:val="1"/>
          <w:color w:val="auto"/>
        </w:rPr>
        <w:t>our diligence obligations under the agreement and what activities satisfy those diligence obligations; and</w:t>
      </w:r>
    </w:p>
    <w:p>
      <w:pPr>
        <w:spacing w:after="0" w:line="146" w:lineRule="exact"/>
        <w:rPr>
          <w:sz w:val="20"/>
          <w:szCs w:val="20"/>
          <w:color w:val="auto"/>
        </w:rPr>
      </w:pPr>
    </w:p>
    <w:p>
      <w:pPr>
        <w:ind w:left="1100" w:right="60"/>
        <w:spacing w:after="0" w:line="254" w:lineRule="auto"/>
        <w:rPr>
          <w:sz w:val="20"/>
          <w:szCs w:val="20"/>
          <w:color w:val="auto"/>
        </w:rPr>
      </w:pPr>
      <w:r>
        <w:rPr>
          <w:rFonts w:ascii="Arial" w:cs="Arial" w:eastAsia="Arial" w:hAnsi="Arial"/>
          <w:sz w:val="19"/>
          <w:szCs w:val="19"/>
          <w:b w:val="1"/>
          <w:bCs w:val="1"/>
          <w:color w:val="auto"/>
        </w:rPr>
        <w:t>the inventorship and ownership of inventions and know-how resulting from the joint creation or use of intellectual property by our collaborators and us and our other partners.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9360"/>
          </w:cols>
          <w:pgMar w:left="1440" w:top="1440" w:right="1440" w:bottom="181" w:gutter="0" w:footer="0" w:header="0"/>
          <w:type w:val="continuous"/>
        </w:sectPr>
      </w:pPr>
    </w:p>
    <w:bookmarkStart w:id="75" w:name="page76"/>
    <w:bookmarkEnd w:id="75"/>
    <w:p>
      <w:pPr>
        <w:spacing w:after="0" w:line="10"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In addition, the agreements under which we currently have rights to option or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our current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not be able to protect our intellectual property and proprietary rights throughout the world.</w:t>
      </w:r>
    </w:p>
    <w:p>
      <w:pPr>
        <w:spacing w:after="0" w:line="132" w:lineRule="exact"/>
        <w:rPr>
          <w:sz w:val="20"/>
          <w:szCs w:val="20"/>
          <w:color w:val="auto"/>
        </w:rPr>
      </w:pPr>
    </w:p>
    <w:p>
      <w:pPr>
        <w:ind w:right="100" w:firstLine="490"/>
        <w:spacing w:after="0" w:line="253" w:lineRule="auto"/>
        <w:rPr>
          <w:sz w:val="20"/>
          <w:szCs w:val="20"/>
          <w:color w:val="auto"/>
        </w:rPr>
      </w:pPr>
      <w:r>
        <w:rPr>
          <w:rFonts w:ascii="Arial" w:cs="Arial" w:eastAsia="Arial" w:hAnsi="Arial"/>
          <w:sz w:val="19"/>
          <w:szCs w:val="19"/>
          <w:b w:val="1"/>
          <w:bCs w:val="1"/>
          <w:color w:val="auto"/>
        </w:rPr>
        <w:t>Filing, prosecuting, and defending patents on our product candidates and other technologies in all countries throughout the world would be prohibitively expensive, and the laws of foreign countries may not protect our rights to the same extent as the laws of the United States.</w:t>
      </w:r>
    </w:p>
    <w:p>
      <w:pPr>
        <w:spacing w:after="0" w:line="118"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Consequently, we may not be able to prevent third parties from practicing our inventions in all countries outside the United States, or from selling or importing products made using our inventions in or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06" w:lineRule="exact"/>
        <w:rPr>
          <w:sz w:val="20"/>
          <w:szCs w:val="20"/>
          <w:color w:val="auto"/>
        </w:rPr>
      </w:pPr>
    </w:p>
    <w:p>
      <w:pPr>
        <w:ind w:right="100" w:firstLine="490"/>
        <w:spacing w:after="0" w:line="285" w:lineRule="auto"/>
        <w:rPr>
          <w:sz w:val="20"/>
          <w:szCs w:val="20"/>
          <w:color w:val="auto"/>
        </w:rPr>
      </w:pPr>
      <w:r>
        <w:rPr>
          <w:rFonts w:ascii="Arial" w:cs="Arial" w:eastAsia="Arial" w:hAnsi="Arial"/>
          <w:sz w:val="17"/>
          <w:szCs w:val="17"/>
          <w:b w:val="1"/>
          <w:bCs w:val="1"/>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counterclaims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94" w:lineRule="exact"/>
        <w:rPr>
          <w:sz w:val="20"/>
          <w:szCs w:val="20"/>
          <w:color w:val="auto"/>
        </w:rPr>
      </w:pPr>
    </w:p>
    <w:p>
      <w:pPr>
        <w:ind w:right="80" w:firstLine="490"/>
        <w:spacing w:after="0" w:line="332" w:lineRule="auto"/>
        <w:rPr>
          <w:sz w:val="20"/>
          <w:szCs w:val="20"/>
          <w:color w:val="auto"/>
        </w:rPr>
      </w:pPr>
      <w:r>
        <w:rPr>
          <w:rFonts w:ascii="Arial" w:cs="Arial" w:eastAsia="Arial" w:hAnsi="Arial"/>
          <w:sz w:val="15"/>
          <w:szCs w:val="15"/>
          <w:b w:val="1"/>
          <w:bCs w:val="1"/>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our collaborators, or any of our future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420"/>
        <w:spacing w:after="0" w:line="274"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02" w:lineRule="exact"/>
        <w:rPr>
          <w:sz w:val="20"/>
          <w:szCs w:val="20"/>
          <w:color w:val="auto"/>
        </w:rPr>
      </w:pPr>
    </w:p>
    <w:p>
      <w:pPr>
        <w:ind w:right="20" w:firstLine="490"/>
        <w:spacing w:after="0" w:line="327" w:lineRule="auto"/>
        <w:rPr>
          <w:sz w:val="20"/>
          <w:szCs w:val="20"/>
          <w:color w:val="auto"/>
        </w:rPr>
      </w:pPr>
      <w:r>
        <w:rPr>
          <w:rFonts w:ascii="Arial" w:cs="Arial" w:eastAsia="Arial" w:hAnsi="Arial"/>
          <w:sz w:val="15"/>
          <w:szCs w:val="15"/>
          <w:b w:val="1"/>
          <w:bCs w:val="1"/>
          <w:color w:val="auto"/>
        </w:rPr>
        <w:t>Periodic maintenance fees, renewal fees, annuity fees, and various other government fees on patents and applications will be due to the USPTO and various government patent agencies outside of the United States over the lifetime of our owned or licensed patents and applications. In certain circumstances, we rely on our collaborators or licensing partners to pay these fees due to U.S. and non-U.S. patent agencies. The USPTO and various non-U.S. government agencies require compliance with several procedural, documentary, fee payment, and other similar provisions during the patent application process. We also are dependent on our collaborators or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74</w:t>
      </w:r>
    </w:p>
    <w:p>
      <w:pPr>
        <w:sectPr>
          <w:pgSz w:w="12240" w:h="15840" w:orient="portrait"/>
          <w:cols w:equalWidth="0" w:num="1">
            <w:col w:w="9360"/>
          </w:cols>
          <w:pgMar w:left="1440" w:top="1440" w:right="1440" w:bottom="181" w:gutter="0" w:footer="0" w:header="0"/>
          <w:type w:val="continuous"/>
        </w:sectPr>
      </w:pPr>
    </w:p>
    <w:bookmarkStart w:id="76" w:name="page77"/>
    <w:bookmarkEnd w:id="76"/>
    <w:p>
      <w:pPr>
        <w:spacing w:after="0" w:line="10" w:lineRule="exact"/>
        <w:rPr>
          <w:sz w:val="20"/>
          <w:szCs w:val="20"/>
          <w:color w:val="auto"/>
        </w:rPr>
      </w:pPr>
    </w:p>
    <w:p>
      <w:pPr>
        <w:ind w:right="20"/>
        <w:spacing w:after="0" w:line="351" w:lineRule="auto"/>
        <w:rPr>
          <w:sz w:val="20"/>
          <w:szCs w:val="20"/>
          <w:color w:val="auto"/>
        </w:rPr>
      </w:pPr>
      <w:r>
        <w:rPr>
          <w:rFonts w:ascii="Arial" w:cs="Arial" w:eastAsia="Arial" w:hAnsi="Arial"/>
          <w:sz w:val="15"/>
          <w:szCs w:val="15"/>
          <w:b w:val="1"/>
          <w:bCs w:val="1"/>
          <w:color w:val="auto"/>
        </w:rPr>
        <w:t>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52" w:lineRule="exact"/>
        <w:rPr>
          <w:sz w:val="20"/>
          <w:szCs w:val="20"/>
          <w:color w:val="auto"/>
        </w:rPr>
      </w:pPr>
    </w:p>
    <w:p>
      <w:pPr>
        <w:ind w:right="60" w:firstLine="490"/>
        <w:spacing w:after="0" w:line="286" w:lineRule="auto"/>
        <w:rPr>
          <w:sz w:val="20"/>
          <w:szCs w:val="20"/>
          <w:color w:val="auto"/>
        </w:rPr>
      </w:pPr>
      <w:r>
        <w:rPr>
          <w:rFonts w:ascii="Arial" w:cs="Arial" w:eastAsia="Arial" w:hAnsi="Arial"/>
          <w:sz w:val="17"/>
          <w:szCs w:val="17"/>
          <w:b w:val="1"/>
          <w:bCs w:val="1"/>
          <w:color w:val="auto"/>
        </w:rPr>
        <w:t>The ongoing conflict between Russia and Ukraine, including the sanctions targeting Russia, could interfere with filing of patent applications, prosecution of applications, and maintenance of issued patents in Russia, Ukraine, and via the Eurasian Patent Office. For example, the conflict and sanctions could interfere with payment of filing fees, extension fees, and annuities. The conflict and sanctions could also interfere with enforcement or defense of patents issued in Russia, Ukraine, and via the Eurasian Patent Office. Similarly, the ongoing conflict in the Middle East could interfere with our ability to prosecute, maintain, enforce and defend patents in Israel. These conflicts and associated sanctions could therefore increase the uncertainties and costs surrounding the prosecution of our patent applications and the enforcement or defense of any future issued patents, all of which could have a material adverse effect on our business, financial condition, results of operations, and prospects.</w:t>
      </w:r>
    </w:p>
    <w:p>
      <w:pPr>
        <w:spacing w:after="0" w:line="215" w:lineRule="exact"/>
        <w:rPr>
          <w:sz w:val="20"/>
          <w:szCs w:val="20"/>
          <w:color w:val="auto"/>
        </w:rPr>
      </w:pPr>
    </w:p>
    <w:p>
      <w:pPr>
        <w:ind w:right="620"/>
        <w:spacing w:after="0" w:line="234" w:lineRule="auto"/>
        <w:rPr>
          <w:sz w:val="20"/>
          <w:szCs w:val="20"/>
          <w:color w:val="auto"/>
        </w:rPr>
      </w:pPr>
      <w:r>
        <w:rPr>
          <w:rFonts w:ascii="Arial" w:cs="Arial" w:eastAsia="Arial" w:hAnsi="Arial"/>
          <w:sz w:val="20"/>
          <w:szCs w:val="20"/>
          <w:b w:val="1"/>
          <w:b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right="160" w:firstLine="490"/>
        <w:spacing w:after="0" w:line="328" w:lineRule="auto"/>
        <w:rPr>
          <w:sz w:val="20"/>
          <w:szCs w:val="20"/>
          <w:color w:val="auto"/>
        </w:rPr>
      </w:pPr>
      <w:r>
        <w:rPr>
          <w:rFonts w:ascii="Arial" w:cs="Arial" w:eastAsia="Arial" w:hAnsi="Arial"/>
          <w:sz w:val="15"/>
          <w:szCs w:val="15"/>
          <w:b w:val="1"/>
          <w:bCs w:val="1"/>
          <w:color w:val="auto"/>
        </w:rPr>
        <w:t>Changes in either the patent laws or interpretation of the patent laws in the United States could increase the uncertainties and costs surrounding the prosecution of patent applications and the enforcement or defense of issued patents. For example, under the Leahy-Smith America Invents Act (the America Invents Act), the first inventor to file a patent application in the United States is entitled to the patent on an invention regardless of whether another party was the first to invent the claimed invention. Therefore, a third party that filed a patent application in the USPTO after March 2013, but before us, could be awarded a patent covering an invention of ours even if we had made the invention before it was made by such third party. This possibility requires us to be cognizant of the time from invention to the time of filing a patent application. Because patent applications in the United States and most other countries are confidential for a period of time after filing or until issuance, we cannot be certain that we were the first to file any patent application related to our product candidates or other technologies.</w:t>
      </w:r>
    </w:p>
    <w:p>
      <w:pPr>
        <w:spacing w:after="0" w:line="300" w:lineRule="exact"/>
        <w:rPr>
          <w:sz w:val="20"/>
          <w:szCs w:val="20"/>
          <w:color w:val="auto"/>
        </w:rPr>
      </w:pPr>
    </w:p>
    <w:p>
      <w:pPr>
        <w:ind w:right="60" w:firstLine="490"/>
        <w:spacing w:after="0" w:line="284" w:lineRule="auto"/>
        <w:rPr>
          <w:sz w:val="20"/>
          <w:szCs w:val="20"/>
          <w:color w:val="auto"/>
        </w:rPr>
      </w:pPr>
      <w:r>
        <w:rPr>
          <w:rFonts w:ascii="Arial" w:cs="Arial" w:eastAsia="Arial" w:hAnsi="Arial"/>
          <w:sz w:val="17"/>
          <w:szCs w:val="17"/>
          <w:b w:val="1"/>
          <w:bCs w:val="1"/>
          <w:color w:val="auto"/>
        </w:rPr>
        <w:t>Certain procedures at the USPTO under the America Invents Act could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presented in a district court action. Accordingly, a third party may attempt to use the USPTO procedures to invalidate our patent claims that would not have been invalidated if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3"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In addition, the patent positions of companies in the development and commercialization of pharmaceuticals are particularly uncertain. Rulings from the U.S. Supreme Court and the U.S. Court of Appeals for the Federal Circuit have narrowed the scope of patent protection available in certain circumstances and weakened the rights of patent owners in certain situations. Certain rulings, for example, have applied the enablement and written description requirements to limit the scope of claims covering antibodies and other inventions relating to biologic therapeutics. These rulings have created uncertainty with respect to the validity and enforceability of patents, once obtained, for example, with respect to written description and enablement requirements.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18"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b w:val="1"/>
          <w:bCs w:val="1"/>
          <w:color w:val="auto"/>
        </w:rPr>
        <w:t>Issued patents covering our product candidates and other technologies could be found invalid or unenforceable if challenged in court or before administrative bodies in the United States or abroad.</w:t>
      </w:r>
    </w:p>
    <w:p>
      <w:pPr>
        <w:spacing w:after="0" w:line="118" w:lineRule="exact"/>
        <w:rPr>
          <w:sz w:val="20"/>
          <w:szCs w:val="20"/>
          <w:color w:val="auto"/>
        </w:rPr>
      </w:pPr>
    </w:p>
    <w:p>
      <w:pPr>
        <w:ind w:right="40" w:firstLine="490"/>
        <w:spacing w:after="0" w:line="382" w:lineRule="auto"/>
        <w:rPr>
          <w:sz w:val="20"/>
          <w:szCs w:val="20"/>
          <w:color w:val="auto"/>
        </w:rPr>
      </w:pPr>
      <w:r>
        <w:rPr>
          <w:rFonts w:ascii="Arial" w:cs="Arial" w:eastAsia="Arial" w:hAnsi="Arial"/>
          <w:sz w:val="15"/>
          <w:szCs w:val="15"/>
          <w:b w:val="1"/>
          <w:bCs w:val="1"/>
          <w:color w:val="auto"/>
        </w:rPr>
        <w:t>If we initiated legal proceedings against a third party to enforce a patent covering our product candidates or other technologies, the defendant could counterclaim that such patent is invalid or unenforceable. In patent litigation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9360"/>
          </w:cols>
          <w:pgMar w:left="1440" w:top="1440" w:right="1440" w:bottom="181" w:gutter="0" w:footer="0" w:header="0"/>
          <w:type w:val="continuous"/>
        </w:sectPr>
      </w:pPr>
    </w:p>
    <w:bookmarkStart w:id="77" w:name="page78"/>
    <w:bookmarkEnd w:id="77"/>
    <w:p>
      <w:pPr>
        <w:spacing w:after="0" w:line="10"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color w:val="auto"/>
        </w:rPr>
        <w:t>in the United States, defendant counterclaims alleging invalidity or unenforceability are commonplace. Grounds for a 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w:t>
      </w:r>
    </w:p>
    <w:p>
      <w:pPr>
        <w:spacing w:after="0" w:line="200" w:lineRule="exact"/>
        <w:rPr>
          <w:sz w:val="20"/>
          <w:szCs w:val="20"/>
          <w:color w:val="auto"/>
        </w:rPr>
      </w:pPr>
    </w:p>
    <w:p>
      <w:pPr>
        <w:spacing w:after="0" w:line="229" w:lineRule="exact"/>
        <w:rPr>
          <w:sz w:val="20"/>
          <w:szCs w:val="20"/>
          <w:color w:val="auto"/>
        </w:rPr>
      </w:pPr>
    </w:p>
    <w:p>
      <w:pPr>
        <w:ind w:right="300"/>
        <w:spacing w:after="0" w:line="234" w:lineRule="auto"/>
        <w:rPr>
          <w:sz w:val="20"/>
          <w:szCs w:val="20"/>
          <w:color w:val="auto"/>
        </w:rPr>
      </w:pPr>
      <w:r>
        <w:rPr>
          <w:rFonts w:ascii="Arial" w:cs="Arial" w:eastAsia="Arial" w:hAnsi="Arial"/>
          <w:sz w:val="20"/>
          <w:szCs w:val="20"/>
          <w:b w:val="1"/>
          <w:bCs w:val="1"/>
          <w:color w:val="auto"/>
        </w:rPr>
        <w:t>If we do not obtain patent term extension and data exclusivity for any product candidates we may develop, our business may be materially harmed.</w:t>
      </w:r>
    </w:p>
    <w:p>
      <w:pPr>
        <w:spacing w:after="0" w:line="132"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Depending upon the timing, duration, and specifics of any FDA marketing approval of any product candidates we may develop, one or more of our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Protection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143"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or were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227"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If we are unable to protect the confidentiality of our trade secrets, our business and competitive position would be harmed.</w:t>
      </w:r>
    </w:p>
    <w:p>
      <w:pPr>
        <w:spacing w:after="0" w:line="132" w:lineRule="exact"/>
        <w:rPr>
          <w:sz w:val="20"/>
          <w:szCs w:val="20"/>
          <w:color w:val="auto"/>
        </w:rPr>
      </w:pPr>
    </w:p>
    <w:p>
      <w:pPr>
        <w:jc w:val="both"/>
        <w:ind w:right="60" w:firstLine="490"/>
        <w:spacing w:after="0" w:line="341" w:lineRule="auto"/>
        <w:rPr>
          <w:sz w:val="20"/>
          <w:szCs w:val="20"/>
          <w:color w:val="auto"/>
        </w:rPr>
      </w:pPr>
      <w:r>
        <w:rPr>
          <w:rFonts w:ascii="Arial" w:cs="Arial" w:eastAsia="Arial" w:hAnsi="Arial"/>
          <w:sz w:val="15"/>
          <w:szCs w:val="15"/>
          <w:b w:val="1"/>
          <w:bCs w:val="1"/>
          <w:color w:val="auto"/>
        </w:rPr>
        <w:t>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76</w:t>
      </w:r>
    </w:p>
    <w:p>
      <w:pPr>
        <w:sectPr>
          <w:pgSz w:w="12240" w:h="15840" w:orient="portrait"/>
          <w:cols w:equalWidth="0" w:num="1">
            <w:col w:w="9360"/>
          </w:cols>
          <w:pgMar w:left="1440" w:top="1440" w:right="1440" w:bottom="181" w:gutter="0" w:footer="0" w:header="0"/>
          <w:type w:val="continuous"/>
        </w:sectPr>
      </w:pPr>
    </w:p>
    <w:bookmarkStart w:id="78" w:name="page79"/>
    <w:bookmarkEnd w:id="78"/>
    <w:p>
      <w:pPr>
        <w:spacing w:after="0" w:line="10" w:lineRule="exact"/>
        <w:rPr>
          <w:sz w:val="20"/>
          <w:szCs w:val="20"/>
          <w:color w:val="auto"/>
        </w:rPr>
      </w:pPr>
    </w:p>
    <w:p>
      <w:pPr>
        <w:jc w:val="both"/>
        <w:ind w:right="300"/>
        <w:spacing w:after="0" w:line="235" w:lineRule="auto"/>
        <w:rPr>
          <w:sz w:val="20"/>
          <w:szCs w:val="20"/>
          <w:color w:val="auto"/>
        </w:rPr>
      </w:pPr>
      <w:r>
        <w:rPr>
          <w:rFonts w:ascii="Arial" w:cs="Arial" w:eastAsia="Arial" w:hAnsi="Arial"/>
          <w:sz w:val="20"/>
          <w:szCs w:val="20"/>
          <w:b w:val="1"/>
          <w:bCs w:val="1"/>
          <w:color w:val="auto"/>
        </w:rPr>
        <w:t>know-how to over time be disseminated within the industry through independent development, the publication of journal articles describing the methodology, and the movement of personnel from academic to industry scientific positions.</w:t>
      </w:r>
    </w:p>
    <w:p>
      <w:pPr>
        <w:spacing w:after="0" w:line="133" w:lineRule="exact"/>
        <w:rPr>
          <w:sz w:val="20"/>
          <w:szCs w:val="20"/>
          <w:color w:val="auto"/>
        </w:rPr>
      </w:pPr>
    </w:p>
    <w:p>
      <w:pPr>
        <w:ind w:right="20" w:firstLine="490"/>
        <w:spacing w:after="0" w:line="325" w:lineRule="auto"/>
        <w:rPr>
          <w:sz w:val="20"/>
          <w:szCs w:val="20"/>
          <w:color w:val="auto"/>
        </w:rPr>
      </w:pPr>
      <w:r>
        <w:rPr>
          <w:rFonts w:ascii="Arial" w:cs="Arial" w:eastAsia="Arial" w:hAnsi="Arial"/>
          <w:sz w:val="15"/>
          <w:szCs w:val="15"/>
          <w:b w:val="1"/>
          <w:bCs w:val="1"/>
          <w:color w:val="auto"/>
        </w:rPr>
        <w:t>We seek to protect these trade secrets and other proprietary technology, in part, by entering into non-disclosure and confidentiality agreements with parties who have access to them, such as our employees, corporate and academic collaborators, outside scientific collaborators, CROs, CDMOs,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304" w:lineRule="exact"/>
        <w:rPr>
          <w:sz w:val="20"/>
          <w:szCs w:val="20"/>
          <w:color w:val="auto"/>
        </w:rPr>
      </w:pPr>
    </w:p>
    <w:p>
      <w:pPr>
        <w:ind w:right="40" w:firstLine="490"/>
        <w:spacing w:after="0" w:line="237" w:lineRule="auto"/>
        <w:rPr>
          <w:sz w:val="20"/>
          <w:szCs w:val="20"/>
          <w:color w:val="auto"/>
        </w:rPr>
      </w:pPr>
      <w:r>
        <w:rPr>
          <w:rFonts w:ascii="Arial" w:cs="Arial" w:eastAsia="Arial" w:hAnsi="Arial"/>
          <w:sz w:val="20"/>
          <w:szCs w:val="20"/>
          <w:b w:val="1"/>
          <w:bCs w:val="1"/>
          <w:color w:val="auto"/>
        </w:rPr>
        <w:t>Further, FDA’s policy to release in “real time” newly issued Complete Response Letters associated with withdrawn or abandoned applications for approval of drug or biological products, if applicable to any of our product candidates, could materially impact our intellectual property by publicly disclosing our trade secrets or other confidential information in the absence of an opportunity to redact or otherwise protect such information contained in such applications.</w:t>
      </w:r>
    </w:p>
    <w:p>
      <w:pPr>
        <w:spacing w:after="0" w:line="254" w:lineRule="exact"/>
        <w:rPr>
          <w:sz w:val="20"/>
          <w:szCs w:val="20"/>
          <w:color w:val="auto"/>
        </w:rPr>
      </w:pPr>
    </w:p>
    <w:p>
      <w:pPr>
        <w:ind w:right="660"/>
        <w:spacing w:after="0" w:line="234" w:lineRule="auto"/>
        <w:rPr>
          <w:sz w:val="20"/>
          <w:szCs w:val="20"/>
          <w:color w:val="auto"/>
        </w:rPr>
      </w:pPr>
      <w:r>
        <w:rPr>
          <w:rFonts w:ascii="Arial" w:cs="Arial" w:eastAsia="Arial" w:hAnsi="Arial"/>
          <w:sz w:val="20"/>
          <w:szCs w:val="20"/>
          <w:b w:val="1"/>
          <w:bCs w:val="1"/>
          <w:color w:val="auto"/>
        </w:rPr>
        <w:t>We may not be successful in obtaining, through acquisitions or otherwise, necessary rights to our product candidates or other technologies.</w:t>
      </w:r>
    </w:p>
    <w:p>
      <w:pPr>
        <w:spacing w:after="0" w:line="132" w:lineRule="exact"/>
        <w:rPr>
          <w:sz w:val="20"/>
          <w:szCs w:val="20"/>
          <w:color w:val="auto"/>
        </w:rPr>
      </w:pPr>
    </w:p>
    <w:p>
      <w:pPr>
        <w:ind w:firstLine="490"/>
        <w:spacing w:after="0" w:line="324" w:lineRule="auto"/>
        <w:rPr>
          <w:sz w:val="20"/>
          <w:szCs w:val="20"/>
          <w:color w:val="auto"/>
        </w:rPr>
      </w:pPr>
      <w:r>
        <w:rPr>
          <w:rFonts w:ascii="Arial" w:cs="Arial" w:eastAsia="Arial" w:hAnsi="Arial"/>
          <w:sz w:val="15"/>
          <w:szCs w:val="15"/>
          <w:b w:val="1"/>
          <w:bCs w:val="1"/>
          <w:color w:val="auto"/>
        </w:rPr>
        <w:t>Many pharmaceutical companies, biotechnology companies, and academic institutions that are competing with us in the field of neurodegeneration therapy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rights to compositions, methods of use, processes, or other intellectual property rights from third parties that we identify as necessary for our future product candidates.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b w:val="1"/>
          <w:b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33" w:lineRule="exact"/>
        <w:rPr>
          <w:sz w:val="20"/>
          <w:szCs w:val="20"/>
          <w:color w:val="auto"/>
        </w:rPr>
      </w:pPr>
    </w:p>
    <w:p>
      <w:pPr>
        <w:ind w:right="20" w:firstLine="490"/>
        <w:spacing w:after="0" w:line="330" w:lineRule="auto"/>
        <w:rPr>
          <w:sz w:val="20"/>
          <w:szCs w:val="20"/>
          <w:color w:val="auto"/>
        </w:rPr>
      </w:pPr>
      <w:r>
        <w:rPr>
          <w:rFonts w:ascii="Arial" w:cs="Arial" w:eastAsia="Arial" w:hAnsi="Arial"/>
          <w:sz w:val="15"/>
          <w:szCs w:val="15"/>
          <w:b w:val="1"/>
          <w:bCs w:val="1"/>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9360"/>
          </w:cols>
          <w:pgMar w:left="1440" w:top="1440" w:right="1440" w:bottom="181" w:gutter="0" w:footer="0" w:header="0"/>
          <w:type w:val="continuous"/>
        </w:sectPr>
      </w:pPr>
    </w:p>
    <w:bookmarkStart w:id="79" w:name="page80"/>
    <w:bookmarkEnd w:id="79"/>
    <w:p>
      <w:pPr>
        <w:spacing w:after="0" w:line="10" w:lineRule="exact"/>
        <w:rPr>
          <w:sz w:val="20"/>
          <w:szCs w:val="20"/>
          <w:color w:val="auto"/>
        </w:rPr>
      </w:pPr>
    </w:p>
    <w:p>
      <w:pPr>
        <w:ind w:right="580"/>
        <w:spacing w:after="0" w:line="234" w:lineRule="auto"/>
        <w:rPr>
          <w:sz w:val="20"/>
          <w:szCs w:val="20"/>
          <w:color w:val="auto"/>
        </w:rPr>
      </w:pPr>
      <w:r>
        <w:rPr>
          <w:rFonts w:ascii="Arial" w:cs="Arial" w:eastAsia="Arial" w:hAnsi="Arial"/>
          <w:sz w:val="20"/>
          <w:szCs w:val="20"/>
          <w:b w:val="1"/>
          <w:bCs w:val="1"/>
          <w:color w:val="auto"/>
        </w:rPr>
        <w:t>Even if we are successful in defending against such claims, litigation could result in substantial costs and be a distraction to management.</w:t>
      </w:r>
    </w:p>
    <w:p>
      <w:pPr>
        <w:spacing w:after="0" w:line="130"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spacing w:after="0" w:line="232" w:lineRule="exact"/>
        <w:rPr>
          <w:sz w:val="20"/>
          <w:szCs w:val="20"/>
          <w:color w:val="auto"/>
        </w:rPr>
      </w:pPr>
    </w:p>
    <w:p>
      <w:pPr>
        <w:jc w:val="both"/>
        <w:ind w:right="180"/>
        <w:spacing w:after="0" w:line="236" w:lineRule="auto"/>
        <w:rPr>
          <w:sz w:val="20"/>
          <w:szCs w:val="20"/>
          <w:color w:val="auto"/>
        </w:rPr>
      </w:pPr>
      <w:r>
        <w:rPr>
          <w:rFonts w:ascii="Arial" w:cs="Arial" w:eastAsia="Arial" w:hAnsi="Arial"/>
          <w:sz w:val="20"/>
          <w:szCs w:val="20"/>
          <w:b w:val="1"/>
          <w:bCs w:val="1"/>
          <w:color w:val="auto"/>
        </w:rPr>
        <w:t>Third-party claims of intellectual property infringement, misappropriation, or other violation against us or our collaborators may prevent or delay the development and commercialization of our product candidates and other technologies.</w:t>
      </w:r>
    </w:p>
    <w:p>
      <w:pPr>
        <w:spacing w:after="0" w:line="133" w:lineRule="exact"/>
        <w:rPr>
          <w:sz w:val="20"/>
          <w:szCs w:val="20"/>
          <w:color w:val="auto"/>
        </w:rPr>
      </w:pPr>
    </w:p>
    <w:p>
      <w:pPr>
        <w:ind w:right="80" w:firstLine="490"/>
        <w:spacing w:after="0" w:line="270" w:lineRule="auto"/>
        <w:rPr>
          <w:sz w:val="20"/>
          <w:szCs w:val="20"/>
          <w:color w:val="auto"/>
        </w:rPr>
      </w:pPr>
      <w:r>
        <w:rPr>
          <w:rFonts w:ascii="Arial" w:cs="Arial" w:eastAsia="Arial" w:hAnsi="Arial"/>
          <w:sz w:val="18"/>
          <w:szCs w:val="18"/>
          <w:b w:val="1"/>
          <w:bCs w:val="1"/>
          <w:color w:val="auto"/>
        </w:rPr>
        <w:t>The field of discovering treatments for neurodegenerative diseases is highly competitive and dynamic. Due to the focused research and development that is taking place by various companies, including us and our competitors, in this field, the intellectual property landscape is in flux, and it may remain uncertain in the future. As such, there may be significant intellectual property related litigation and proceedings relating to our, and other third party, intellectual property and proprietary rights in the future.</w:t>
      </w:r>
    </w:p>
    <w:p>
      <w:pPr>
        <w:spacing w:after="0" w:line="105"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auto"/>
        </w:rPr>
        <w:t>Our commercial success depends in part on our and our collaborators’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and we may become subject to, or threatened with, such actions in the future, regardless of their merit. In addition, we may undertake costly administrative proceedings for challenging third party patents, including post-grant, derivation, and reexamination proceedings before the USPTO or oppositions and other comparable proceedings in foreign jurisdictions.</w:t>
      </w:r>
    </w:p>
    <w:p>
      <w:pPr>
        <w:spacing w:after="0" w:line="95" w:lineRule="exact"/>
        <w:rPr>
          <w:sz w:val="20"/>
          <w:szCs w:val="20"/>
          <w:color w:val="auto"/>
        </w:rPr>
      </w:pPr>
    </w:p>
    <w:p>
      <w:pPr>
        <w:ind w:right="60" w:firstLine="490"/>
        <w:spacing w:after="0" w:line="325" w:lineRule="auto"/>
        <w:rPr>
          <w:sz w:val="20"/>
          <w:szCs w:val="20"/>
          <w:color w:val="auto"/>
        </w:rPr>
      </w:pPr>
      <w:r>
        <w:rPr>
          <w:rFonts w:ascii="Arial" w:cs="Arial" w:eastAsia="Arial" w:hAnsi="Arial"/>
          <w:sz w:val="15"/>
          <w:szCs w:val="15"/>
          <w:b w:val="1"/>
          <w:bCs w:val="1"/>
          <w:color w:val="auto"/>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We cannot be assured that our product candidates and other technologies that we have developed, are developing, or may develop in the future will not infringe existing or future patents owned by third parties. There may be third party patent applications that may issue or patents that have already issued and that a third party, for example, a competitor in the fields in which we are developing product candidates and other technologies, might assert are infringed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w:t>
      </w:r>
    </w:p>
    <w:p>
      <w:pPr>
        <w:spacing w:after="0" w:line="304" w:lineRule="exact"/>
        <w:rPr>
          <w:sz w:val="20"/>
          <w:szCs w:val="20"/>
          <w:color w:val="auto"/>
        </w:rPr>
      </w:pPr>
    </w:p>
    <w:p>
      <w:pPr>
        <w:ind w:right="20" w:firstLine="490"/>
        <w:spacing w:after="0" w:line="326" w:lineRule="auto"/>
        <w:rPr>
          <w:sz w:val="20"/>
          <w:szCs w:val="20"/>
          <w:color w:val="auto"/>
        </w:rPr>
      </w:pPr>
      <w:r>
        <w:rPr>
          <w:rFonts w:ascii="Arial" w:cs="Arial" w:eastAsia="Arial" w:hAnsi="Arial"/>
          <w:sz w:val="15"/>
          <w:szCs w:val="15"/>
          <w:b w:val="1"/>
          <w:bCs w:val="1"/>
          <w:color w:val="auto"/>
        </w:rPr>
        <w:t>Third parties may have patents or obtain patents in the future and claim that the manufacture, use or sale of our product candidates or other technologies infringes upon these patents. 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product candidates or other technologies. In this case, the holders of such patents may be able to block our ability to manufacture or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product candidates or other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78</w:t>
      </w:r>
    </w:p>
    <w:p>
      <w:pPr>
        <w:sectPr>
          <w:pgSz w:w="12240" w:h="15840" w:orient="portrait"/>
          <w:cols w:equalWidth="0" w:num="1">
            <w:col w:w="9360"/>
          </w:cols>
          <w:pgMar w:left="1440" w:top="1440" w:right="1440" w:bottom="181" w:gutter="0" w:footer="0" w:header="0"/>
          <w:type w:val="continuous"/>
        </w:sectPr>
      </w:pPr>
    </w:p>
    <w:bookmarkStart w:id="80" w:name="page81"/>
    <w:bookmarkEnd w:id="80"/>
    <w:p>
      <w:pPr>
        <w:spacing w:after="0" w:line="10"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technologies, or such commercialization efforts may be significantly delayed, which could in turn significantly harm our business.</w:t>
      </w:r>
    </w:p>
    <w:p>
      <w:pPr>
        <w:spacing w:after="0" w:line="130"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product candidates or other technologies, which could harm our business significantly.</w:t>
      </w:r>
    </w:p>
    <w:p>
      <w:pPr>
        <w:spacing w:after="0" w:line="111"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w:t>
      </w:r>
    </w:p>
    <w:p>
      <w:pPr>
        <w:spacing w:after="0" w:line="232" w:lineRule="exact"/>
        <w:rPr>
          <w:sz w:val="20"/>
          <w:szCs w:val="20"/>
          <w:color w:val="auto"/>
        </w:rPr>
      </w:pPr>
    </w:p>
    <w:p>
      <w:pPr>
        <w:jc w:val="both"/>
        <w:ind w:right="100"/>
        <w:spacing w:after="0" w:line="309" w:lineRule="auto"/>
        <w:rPr>
          <w:sz w:val="20"/>
          <w:szCs w:val="20"/>
          <w:color w:val="auto"/>
        </w:rPr>
      </w:pPr>
      <w:r>
        <w:rPr>
          <w:rFonts w:ascii="Arial" w:cs="Arial" w:eastAsia="Arial" w:hAnsi="Arial"/>
          <w:sz w:val="17"/>
          <w:szCs w:val="17"/>
          <w:b w:val="1"/>
          <w:bCs w:val="1"/>
          <w:color w:val="auto"/>
        </w:rPr>
        <w:t>We may become involved in lawsuits to protect or enforce our patents and other intellectual property rights or to defend against allegations of patent infringement, which could be expensive, time consuming, and unsuccessful.</w:t>
      </w:r>
    </w:p>
    <w:p>
      <w:pPr>
        <w:spacing w:after="0" w:line="75"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Competitors may infringe our patents or the patents of our licensing partners, or we may be required to defend against claims of infringement. In addition, our patents or the patents of our licensing partners also may become involved in inventorship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patents do not cover the technology in question and are therefore not infringed.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7"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19"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business may be adversely affected.</w:t>
      </w:r>
    </w:p>
    <w:p>
      <w:pPr>
        <w:spacing w:after="0" w:line="99" w:lineRule="exact"/>
        <w:rPr>
          <w:sz w:val="20"/>
          <w:szCs w:val="20"/>
          <w:color w:val="auto"/>
        </w:rPr>
      </w:pPr>
    </w:p>
    <w:p>
      <w:pPr>
        <w:ind w:right="40" w:firstLine="490"/>
        <w:spacing w:after="0" w:line="333" w:lineRule="auto"/>
        <w:rPr>
          <w:sz w:val="20"/>
          <w:szCs w:val="20"/>
          <w:color w:val="auto"/>
        </w:rPr>
      </w:pPr>
      <w:r>
        <w:rPr>
          <w:rFonts w:ascii="Arial" w:cs="Arial" w:eastAsia="Arial" w:hAnsi="Arial"/>
          <w:sz w:val="15"/>
          <w:szCs w:val="15"/>
          <w:b w:val="1"/>
          <w:bCs w:val="1"/>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9360"/>
          </w:cols>
          <w:pgMar w:left="1440" w:top="1440" w:right="1440" w:bottom="181" w:gutter="0" w:footer="0" w:header="0"/>
          <w:type w:val="continuous"/>
        </w:sectPr>
      </w:pPr>
    </w:p>
    <w:bookmarkStart w:id="81" w:name="page82"/>
    <w:bookmarkEnd w:id="81"/>
    <w:p>
      <w:pPr>
        <w:spacing w:after="0" w:line="10"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color w:val="auto"/>
        </w:rPr>
        <w:t>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 rights do not necessarily address all potential threats.</w:t>
      </w:r>
    </w:p>
    <w:p>
      <w:pPr>
        <w:spacing w:after="0" w:line="131" w:lineRule="exact"/>
        <w:rPr>
          <w:sz w:val="20"/>
          <w:szCs w:val="20"/>
          <w:color w:val="auto"/>
        </w:rPr>
      </w:pPr>
    </w:p>
    <w:p>
      <w:pPr>
        <w:ind w:right="300" w:firstLine="490"/>
        <w:spacing w:after="0" w:line="235" w:lineRule="auto"/>
        <w:rPr>
          <w:sz w:val="20"/>
          <w:szCs w:val="20"/>
          <w:color w:val="auto"/>
        </w:rPr>
      </w:pPr>
      <w:r>
        <w:rPr>
          <w:rFonts w:ascii="Arial" w:cs="Arial" w:eastAsia="Arial" w:hAnsi="Arial"/>
          <w:sz w:val="20"/>
          <w:szCs w:val="20"/>
          <w:b w:val="1"/>
          <w:bCs w:val="1"/>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5" w:lineRule="exact"/>
        <w:rPr>
          <w:sz w:val="20"/>
          <w:szCs w:val="20"/>
          <w:color w:val="auto"/>
        </w:rPr>
      </w:pPr>
    </w:p>
    <w:p>
      <w:pPr>
        <w:ind w:left="1100" w:right="640"/>
        <w:spacing w:after="0" w:line="386" w:lineRule="auto"/>
        <w:rPr>
          <w:sz w:val="20"/>
          <w:szCs w:val="20"/>
          <w:color w:val="auto"/>
        </w:rPr>
      </w:pPr>
      <w:r>
        <w:rPr>
          <w:rFonts w:ascii="Arial" w:cs="Arial" w:eastAsia="Arial" w:hAnsi="Arial"/>
          <w:sz w:val="15"/>
          <w:szCs w:val="15"/>
          <w:b w:val="1"/>
          <w:bCs w:val="1"/>
          <w:color w:val="auto"/>
        </w:rPr>
        <w:t>others may be able to make products that are similar to our product candidates or utilize similar technology but that are not covered by the claims of the patents that we license or may own;</w:t>
      </w:r>
    </w:p>
    <w:p>
      <w:pPr>
        <w:spacing w:after="0" w:line="40" w:lineRule="exact"/>
        <w:rPr>
          <w:sz w:val="20"/>
          <w:szCs w:val="20"/>
          <w:color w:val="auto"/>
        </w:rPr>
      </w:pPr>
    </w:p>
    <w:p>
      <w:pPr>
        <w:ind w:left="1100" w:right="380"/>
        <w:spacing w:after="0" w:line="386" w:lineRule="auto"/>
        <w:rPr>
          <w:sz w:val="20"/>
          <w:szCs w:val="20"/>
          <w:color w:val="auto"/>
        </w:rPr>
      </w:pPr>
      <w:r>
        <w:rPr>
          <w:rFonts w:ascii="Arial" w:cs="Arial" w:eastAsia="Arial" w:hAnsi="Arial"/>
          <w:sz w:val="15"/>
          <w:szCs w:val="15"/>
          <w:b w:val="1"/>
          <w:bCs w:val="1"/>
          <w:color w:val="auto"/>
        </w:rPr>
        <w:t>our future licensors or collaborators, might not have been the first to invent the claimed inventions covered by the issued patents or pending patent applications that we license in the future;</w:t>
      </w:r>
    </w:p>
    <w:p>
      <w:pPr>
        <w:spacing w:after="0" w:line="38" w:lineRule="exact"/>
        <w:rPr>
          <w:sz w:val="20"/>
          <w:szCs w:val="20"/>
          <w:color w:val="auto"/>
        </w:rPr>
      </w:pPr>
    </w:p>
    <w:p>
      <w:pPr>
        <w:ind w:left="1100" w:right="560"/>
        <w:spacing w:after="0" w:line="234" w:lineRule="auto"/>
        <w:rPr>
          <w:sz w:val="20"/>
          <w:szCs w:val="20"/>
          <w:color w:val="auto"/>
        </w:rPr>
      </w:pPr>
      <w:r>
        <w:rPr>
          <w:rFonts w:ascii="Arial" w:cs="Arial" w:eastAsia="Arial" w:hAnsi="Arial"/>
          <w:sz w:val="20"/>
          <w:szCs w:val="20"/>
          <w:b w:val="1"/>
          <w:bCs w:val="1"/>
          <w:color w:val="auto"/>
        </w:rPr>
        <w:t>we, or our current or future licensors or collaborators, might not have been the first to file patent applications covering certain of our or their inventions;</w:t>
      </w:r>
    </w:p>
    <w:p>
      <w:pPr>
        <w:spacing w:after="0" w:line="146" w:lineRule="exact"/>
        <w:rPr>
          <w:sz w:val="20"/>
          <w:szCs w:val="20"/>
          <w:color w:val="auto"/>
        </w:rPr>
      </w:pPr>
    </w:p>
    <w:p>
      <w:pPr>
        <w:ind w:left="1100" w:right="860"/>
        <w:spacing w:after="0" w:line="312" w:lineRule="auto"/>
        <w:rPr>
          <w:sz w:val="20"/>
          <w:szCs w:val="20"/>
          <w:color w:val="auto"/>
        </w:rPr>
      </w:pPr>
      <w:r>
        <w:rPr>
          <w:rFonts w:ascii="Arial" w:cs="Arial" w:eastAsia="Arial" w:hAnsi="Arial"/>
          <w:sz w:val="17"/>
          <w:szCs w:val="17"/>
          <w:b w:val="1"/>
          <w:bCs w:val="1"/>
          <w:color w:val="auto"/>
        </w:rPr>
        <w:t>others may independently develop similar or alternative technologies or duplicate any of our technologies without infringing our owned or licensed intellectual property rights;</w:t>
      </w:r>
    </w:p>
    <w:p>
      <w:pPr>
        <w:spacing w:after="0" w:line="86" w:lineRule="exact"/>
        <w:rPr>
          <w:sz w:val="20"/>
          <w:szCs w:val="20"/>
          <w:color w:val="auto"/>
        </w:rPr>
      </w:pPr>
    </w:p>
    <w:p>
      <w:pPr>
        <w:ind w:left="1100" w:right="220"/>
        <w:spacing w:after="0" w:line="234" w:lineRule="auto"/>
        <w:rPr>
          <w:sz w:val="20"/>
          <w:szCs w:val="20"/>
          <w:color w:val="auto"/>
        </w:rPr>
      </w:pPr>
      <w:r>
        <w:rPr>
          <w:rFonts w:ascii="Arial" w:cs="Arial" w:eastAsia="Arial" w:hAnsi="Arial"/>
          <w:sz w:val="20"/>
          <w:szCs w:val="20"/>
          <w:b w:val="1"/>
          <w:bCs w:val="1"/>
          <w:color w:val="auto"/>
        </w:rPr>
        <w:t>it is possible that our current or future pending owned or licensed patent applications will not lead to issued patents;</w:t>
      </w:r>
    </w:p>
    <w:p>
      <w:pPr>
        <w:spacing w:after="0" w:line="14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issued patents that we hold rights to may be held invalid or unenforceable, including as a result of legal challenges by our competitors or other third parties;</w:t>
      </w:r>
    </w:p>
    <w:p>
      <w:pPr>
        <w:spacing w:after="0" w:line="146" w:lineRule="exact"/>
        <w:rPr>
          <w:sz w:val="20"/>
          <w:szCs w:val="20"/>
          <w:color w:val="auto"/>
        </w:rPr>
      </w:pPr>
    </w:p>
    <w:p>
      <w:pPr>
        <w:ind w:left="1100" w:right="220"/>
        <w:spacing w:after="0" w:line="274" w:lineRule="auto"/>
        <w:rPr>
          <w:sz w:val="20"/>
          <w:szCs w:val="20"/>
          <w:color w:val="auto"/>
        </w:rPr>
      </w:pPr>
      <w:r>
        <w:rPr>
          <w:rFonts w:ascii="Arial" w:cs="Arial" w:eastAsia="Arial" w:hAnsi="Arial"/>
          <w:sz w:val="18"/>
          <w:szCs w:val="18"/>
          <w:b w:val="1"/>
          <w:bCs w:val="1"/>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sz w:val="20"/>
          <w:szCs w:val="20"/>
          <w:color w:val="auto"/>
        </w:rPr>
      </w:pPr>
    </w:p>
    <w:p>
      <w:pPr>
        <w:ind w:left="1100" w:right="2220"/>
        <w:spacing w:after="0" w:line="399" w:lineRule="auto"/>
        <w:rPr>
          <w:sz w:val="20"/>
          <w:szCs w:val="20"/>
          <w:color w:val="auto"/>
        </w:rPr>
      </w:pPr>
      <w:r>
        <w:rPr>
          <w:rFonts w:ascii="Arial" w:cs="Arial" w:eastAsia="Arial" w:hAnsi="Arial"/>
          <w:sz w:val="19"/>
          <w:szCs w:val="19"/>
          <w:b w:val="1"/>
          <w:bCs w:val="1"/>
          <w:color w:val="auto"/>
        </w:rPr>
        <w:t>we may not develop additional proprietary technologies that are patentable; the patents of others may harm our business; and</w:t>
      </w:r>
    </w:p>
    <w:p>
      <w:pPr>
        <w:ind w:left="1100" w:right="140"/>
        <w:spacing w:after="0" w:line="386" w:lineRule="auto"/>
        <w:rPr>
          <w:sz w:val="20"/>
          <w:szCs w:val="20"/>
          <w:color w:val="auto"/>
        </w:rPr>
      </w:pPr>
      <w:r>
        <w:rPr>
          <w:rFonts w:ascii="Arial" w:cs="Arial" w:eastAsia="Arial" w:hAnsi="Arial"/>
          <w:sz w:val="15"/>
          <w:szCs w:val="15"/>
          <w:b w:val="1"/>
          <w:bCs w:val="1"/>
          <w:color w:val="auto"/>
        </w:rPr>
        <w:t>we may choose not to file a patent application in order to maintain certain trade secrets or know-how, and a third party may subsequently file a patent application covering such intellectual property.</w:t>
      </w:r>
    </w:p>
    <w:p>
      <w:pPr>
        <w:spacing w:after="0" w:line="73" w:lineRule="exact"/>
        <w:rPr>
          <w:sz w:val="20"/>
          <w:szCs w:val="20"/>
          <w:color w:val="auto"/>
        </w:rPr>
      </w:pPr>
    </w:p>
    <w:p>
      <w:pPr>
        <w:ind w:right="760" w:firstLine="490"/>
        <w:spacing w:after="0" w:line="233" w:lineRule="auto"/>
        <w:rPr>
          <w:sz w:val="20"/>
          <w:szCs w:val="20"/>
          <w:color w:val="auto"/>
        </w:rPr>
      </w:pPr>
      <w:r>
        <w:rPr>
          <w:rFonts w:ascii="Arial" w:cs="Arial" w:eastAsia="Arial" w:hAnsi="Arial"/>
          <w:sz w:val="20"/>
          <w:szCs w:val="20"/>
          <w:b w:val="1"/>
          <w:bCs w:val="1"/>
          <w:color w:val="auto"/>
        </w:rPr>
        <w:t>Should any of these events occur, they could have a material adverse effect on our business, financial condition, results of operations, and growth prospects.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Operations</w:t>
      </w:r>
    </w:p>
    <w:p>
      <w:pPr>
        <w:spacing w:after="0" w:line="131" w:lineRule="exact"/>
        <w:rPr>
          <w:sz w:val="20"/>
          <w:szCs w:val="20"/>
          <w:color w:val="auto"/>
        </w:rPr>
      </w:pPr>
    </w:p>
    <w:p>
      <w:pPr>
        <w:jc w:val="both"/>
        <w:ind w:right="680"/>
        <w:spacing w:after="0" w:line="312" w:lineRule="auto"/>
        <w:rPr>
          <w:sz w:val="20"/>
          <w:szCs w:val="20"/>
          <w:color w:val="auto"/>
        </w:rPr>
      </w:pPr>
      <w:r>
        <w:rPr>
          <w:rFonts w:ascii="Arial" w:cs="Arial" w:eastAsia="Arial" w:hAnsi="Arial"/>
          <w:sz w:val="17"/>
          <w:szCs w:val="17"/>
          <w:b w:val="1"/>
          <w:bCs w:val="1"/>
          <w:color w:val="auto"/>
        </w:rPr>
        <w:t>We are highly dependent on our key personnel, and if we are not successful in attracting, motivating, and retaining highly qualified personnel, we may not be able to successfully implement our business strategy.</w:t>
      </w:r>
    </w:p>
    <w:p>
      <w:pPr>
        <w:spacing w:after="0" w:line="73" w:lineRule="exact"/>
        <w:rPr>
          <w:sz w:val="20"/>
          <w:szCs w:val="20"/>
          <w:color w:val="auto"/>
        </w:rPr>
      </w:pPr>
    </w:p>
    <w:p>
      <w:pPr>
        <w:ind w:right="180" w:firstLine="490"/>
        <w:spacing w:after="0" w:line="269" w:lineRule="auto"/>
        <w:rPr>
          <w:sz w:val="20"/>
          <w:szCs w:val="20"/>
          <w:color w:val="auto"/>
        </w:rPr>
      </w:pPr>
      <w:r>
        <w:rPr>
          <w:rFonts w:ascii="Arial" w:cs="Arial" w:eastAsia="Arial" w:hAnsi="Arial"/>
          <w:sz w:val="18"/>
          <w:szCs w:val="18"/>
          <w:b w:val="1"/>
          <w:bCs w:val="1"/>
          <w:color w:val="auto"/>
        </w:rPr>
        <w:t>Our ability to compete in the highly competitive biotechnology and pharmaceutical industries depends upon our ability to attract, motivate, and retain highly qualified managerial, scientific, and medical personnel. We are highly dependent on our leadership, including our Chief Executive Officer, Dr. Arnon Rosenthal. The loss of the services provided by any of our executive officers, other key employees, and other scientific and medical advisors, and our inability to either find suitable replacements in the event of such loss or to attract senior management personnel to fill open positions could result in delays in the development of our product candidates and harm our business.</w:t>
      </w:r>
    </w:p>
    <w:p>
      <w:pPr>
        <w:spacing w:after="0" w:line="106" w:lineRule="exact"/>
        <w:rPr>
          <w:sz w:val="20"/>
          <w:szCs w:val="20"/>
          <w:color w:val="auto"/>
        </w:rPr>
      </w:pPr>
    </w:p>
    <w:p>
      <w:pPr>
        <w:ind w:right="200" w:firstLine="490"/>
        <w:spacing w:after="0" w:line="296" w:lineRule="auto"/>
        <w:rPr>
          <w:sz w:val="20"/>
          <w:szCs w:val="20"/>
          <w:color w:val="auto"/>
        </w:rPr>
      </w:pPr>
      <w:r>
        <w:rPr>
          <w:rFonts w:ascii="Arial" w:cs="Arial" w:eastAsia="Arial" w:hAnsi="Arial"/>
          <w:sz w:val="17"/>
          <w:szCs w:val="17"/>
          <w:b w:val="1"/>
          <w:bCs w:val="1"/>
          <w:color w:val="auto"/>
        </w:rPr>
        <w:t>We conduct our operations at our facility in South San Francisco, California, a region that is headquarters to many other biotechnology companies as well as many academic and research institutions, which may limit our ability to hire competitively and retain highly qualified personnel from or outside of our region.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80</w:t>
      </w:r>
    </w:p>
    <w:p>
      <w:pPr>
        <w:sectPr>
          <w:pgSz w:w="12240" w:h="15840" w:orient="portrait"/>
          <w:cols w:equalWidth="0" w:num="1">
            <w:col w:w="9360"/>
          </w:cols>
          <w:pgMar w:left="1440" w:top="1440" w:right="1440" w:bottom="181" w:gutter="0" w:footer="0" w:header="0"/>
          <w:type w:val="continuous"/>
        </w:sectPr>
      </w:pPr>
    </w:p>
    <w:bookmarkStart w:id="82" w:name="page83"/>
    <w:bookmarkEnd w:id="82"/>
    <w:p>
      <w:pPr>
        <w:spacing w:after="0" w:line="10" w:lineRule="exact"/>
        <w:rPr>
          <w:sz w:val="20"/>
          <w:szCs w:val="20"/>
          <w:color w:val="auto"/>
        </w:rPr>
      </w:pPr>
    </w:p>
    <w:p>
      <w:pPr>
        <w:ind w:right="60" w:firstLine="490"/>
        <w:spacing w:after="0" w:line="286" w:lineRule="auto"/>
        <w:rPr>
          <w:sz w:val="20"/>
          <w:szCs w:val="20"/>
          <w:color w:val="auto"/>
        </w:rPr>
      </w:pPr>
      <w:r>
        <w:rPr>
          <w:rFonts w:ascii="Arial" w:cs="Arial" w:eastAsia="Arial" w:hAnsi="Arial"/>
          <w:sz w:val="17"/>
          <w:szCs w:val="17"/>
          <w:b w:val="1"/>
          <w:bCs w:val="1"/>
          <w:color w:val="auto"/>
        </w:rPr>
        <w:t>To induce valuable employees to remain at our company, in addition to salary and cash incentives, we have provided and will continue to provide restricted stock units, stock option grants, and/or other equity awards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retain, and incentivize quality personnel on acceptable terms, or at all, it may cause our business and operating results to suffer.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will need to effectively manage the size and capabilities of our organization.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As of December 31, 2025, we had 103 full-time employees.</w:t>
      </w:r>
    </w:p>
    <w:p>
      <w:pPr>
        <w:spacing w:after="0" w:line="131" w:lineRule="exact"/>
        <w:rPr>
          <w:sz w:val="20"/>
          <w:szCs w:val="20"/>
          <w:color w:val="auto"/>
        </w:rPr>
      </w:pPr>
    </w:p>
    <w:p>
      <w:pPr>
        <w:ind w:right="220" w:firstLine="490"/>
        <w:spacing w:after="0" w:line="312" w:lineRule="auto"/>
        <w:rPr>
          <w:sz w:val="20"/>
          <w:szCs w:val="20"/>
          <w:color w:val="auto"/>
        </w:rPr>
      </w:pPr>
      <w:r>
        <w:rPr>
          <w:rFonts w:ascii="Arial" w:cs="Arial" w:eastAsia="Arial" w:hAnsi="Arial"/>
          <w:sz w:val="17"/>
          <w:szCs w:val="17"/>
          <w:b w:val="1"/>
          <w:bCs w:val="1"/>
          <w:color w:val="auto"/>
        </w:rPr>
        <w:t>Our future financial performance and our ability to continue to develop and, if approved, commercialize our product candidates will depend, in part, on our ability to effectively manage any future growth.</w:t>
      </w:r>
    </w:p>
    <w:p>
      <w:pPr>
        <w:spacing w:after="0" w:line="73" w:lineRule="exact"/>
        <w:rPr>
          <w:sz w:val="20"/>
          <w:szCs w:val="20"/>
          <w:color w:val="auto"/>
        </w:rPr>
      </w:pPr>
    </w:p>
    <w:p>
      <w:pPr>
        <w:ind w:right="80" w:firstLine="490"/>
        <w:spacing w:after="0" w:line="268" w:lineRule="auto"/>
        <w:rPr>
          <w:sz w:val="20"/>
          <w:szCs w:val="20"/>
          <w:color w:val="auto"/>
        </w:rPr>
      </w:pPr>
      <w:r>
        <w:rPr>
          <w:rFonts w:ascii="Arial" w:cs="Arial" w:eastAsia="Arial" w:hAnsi="Arial"/>
          <w:sz w:val="18"/>
          <w:szCs w:val="18"/>
          <w:b w:val="1"/>
          <w:bCs w:val="1"/>
          <w:color w:val="auto"/>
        </w:rPr>
        <w:t>Our near-term financial performance and development plans also require that we manage our personnel, and in each of 2024 and 2025 we committed to plans to reduce our workforce to better align our resources with our strategic priorities. We initiated a reduction in force in October 2025 that impacted approximately 47% of our workforce. Total incremental restructuring charges associated with the reduction in force are approximately $7.3 million, consisting primarily of severance and related termination benefits. Cash payments related to these expenses will be paid out during the first half of 2026. We also initiated reductions in force impacting approximately 25 employees across the organization effective March 2025 and approximately 41 employees across the organization effective November 2024.</w:t>
      </w:r>
    </w:p>
    <w:p>
      <w:pPr>
        <w:spacing w:after="0" w:line="109" w:lineRule="exact"/>
        <w:rPr>
          <w:sz w:val="20"/>
          <w:szCs w:val="20"/>
          <w:color w:val="auto"/>
        </w:rPr>
      </w:pPr>
    </w:p>
    <w:p>
      <w:pPr>
        <w:ind w:right="180" w:firstLine="490"/>
        <w:spacing w:after="0" w:line="288" w:lineRule="auto"/>
        <w:rPr>
          <w:sz w:val="20"/>
          <w:szCs w:val="20"/>
          <w:color w:val="auto"/>
        </w:rPr>
      </w:pPr>
      <w:r>
        <w:rPr>
          <w:rFonts w:ascii="Arial" w:cs="Arial" w:eastAsia="Arial" w:hAnsi="Arial"/>
          <w:sz w:val="17"/>
          <w:szCs w:val="17"/>
          <w:b w:val="1"/>
          <w:bCs w:val="1"/>
          <w:color w:val="auto"/>
        </w:rPr>
        <w:t>Any future reductions in or restructurings of our workforce may generate severance and other costs that may cause our business and operating results to suffer. Future reductions in force or restructuring of our workforce may occur as a result of market downturns, uncertainty in capital markets, or other macroeconomic changes, or may occur if we are unable to obtain additional capital to develop our product candidates or fund operations or if our clinical trials are not successful. Future reductions in force may require the company to manage significant personnel and operational changes, which may negatively impact our business.</w:t>
      </w:r>
    </w:p>
    <w:p>
      <w:pPr>
        <w:spacing w:after="0" w:line="93" w:lineRule="exact"/>
        <w:rPr>
          <w:sz w:val="20"/>
          <w:szCs w:val="20"/>
          <w:color w:val="auto"/>
        </w:rPr>
      </w:pPr>
    </w:p>
    <w:p>
      <w:pPr>
        <w:ind w:right="40" w:firstLine="490"/>
        <w:spacing w:after="0" w:line="268" w:lineRule="auto"/>
        <w:rPr>
          <w:sz w:val="20"/>
          <w:szCs w:val="20"/>
          <w:color w:val="auto"/>
        </w:rPr>
      </w:pPr>
      <w:r>
        <w:rPr>
          <w:rFonts w:ascii="Arial" w:cs="Arial" w:eastAsia="Arial" w:hAnsi="Arial"/>
          <w:sz w:val="18"/>
          <w:szCs w:val="18"/>
          <w:b w:val="1"/>
          <w:bCs w:val="1"/>
          <w:color w:val="auto"/>
        </w:rPr>
        <w:t>We currently rely, and for the foreseeable future will continue to rely, in substantial part on certain independent contractors, advisors, and consultants to provide certain services. There can be no assurance that the services of these independent contractors, advisors, and consultants will continue to be available to us on a timely basis when needed, or that we can find qualified replacements. In addition, if we are unable to effectively manage our outsourced activities or if the quality or accuracy of the services provided is compromised for any reason, our research, preclinical development and clinical trials may be negatively impacted, and we may not be able to advance our programs or obtain regulatory approval of or successfully commercialize our product candidates or otherwise advance our business. There can be no assurance that we will be able to manage our existing independent contractors, advisors or consultants or find other competent outside contractors and consultants on economically reasonable terms, if at all.</w:t>
      </w:r>
    </w:p>
    <w:p>
      <w:pPr>
        <w:spacing w:after="0" w:line="110" w:lineRule="exact"/>
        <w:rPr>
          <w:sz w:val="20"/>
          <w:szCs w:val="20"/>
          <w:color w:val="auto"/>
        </w:rPr>
      </w:pPr>
    </w:p>
    <w:p>
      <w:pPr>
        <w:ind w:right="40" w:firstLine="490"/>
        <w:spacing w:after="0" w:line="270" w:lineRule="auto"/>
        <w:rPr>
          <w:sz w:val="20"/>
          <w:szCs w:val="20"/>
          <w:color w:val="auto"/>
        </w:rPr>
      </w:pPr>
      <w:r>
        <w:rPr>
          <w:rFonts w:ascii="Arial" w:cs="Arial" w:eastAsia="Arial" w:hAnsi="Arial"/>
          <w:sz w:val="18"/>
          <w:szCs w:val="18"/>
          <w:b w:val="1"/>
          <w:bCs w:val="1"/>
          <w:color w:val="auto"/>
        </w:rPr>
        <w:t>If we are not able to effectively manage our organization by retaining key employees, consultants and contractors, we may not be able to successfully implement the tasks necessary to further our research and preclinical development activities. Moreover, clinical trials may be negatively impacted, and we may not be able to obtain regulatory approval of or successfully commercialize our product candidates. Accordingly, we may not achieve our research, development, and commercialization goals.</w:t>
      </w:r>
    </w:p>
    <w:p>
      <w:pPr>
        <w:spacing w:after="0" w:line="225"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b w:val="1"/>
          <w:bCs w:val="1"/>
          <w:color w:val="auto"/>
        </w:rPr>
        <w:t>We have engaged in strategic collaborations and may in the future engage in acquisitions, collaborations, or strategic partnerships, which may increase our capital requirements, dilute our stockholders, cause us to incur additional debt or assume contingent liabilities, and subject us to other risks.</w:t>
      </w:r>
    </w:p>
    <w:p>
      <w:pPr>
        <w:spacing w:after="0" w:line="100" w:lineRule="exact"/>
        <w:rPr>
          <w:sz w:val="20"/>
          <w:szCs w:val="20"/>
          <w:color w:val="auto"/>
        </w:rPr>
      </w:pPr>
    </w:p>
    <w:p>
      <w:pPr>
        <w:ind w:right="300" w:firstLine="490"/>
        <w:spacing w:after="0" w:line="342" w:lineRule="auto"/>
        <w:rPr>
          <w:sz w:val="20"/>
          <w:szCs w:val="20"/>
          <w:color w:val="auto"/>
        </w:rPr>
      </w:pPr>
      <w:r>
        <w:rPr>
          <w:rFonts w:ascii="Arial" w:cs="Arial" w:eastAsia="Arial" w:hAnsi="Arial"/>
          <w:sz w:val="15"/>
          <w:szCs w:val="15"/>
          <w:b w:val="1"/>
          <w:bCs w:val="1"/>
          <w:color w:val="auto"/>
        </w:rPr>
        <w:t>We have engaged in strategic collaborations in the past, such as our strategic collaborations with GSK, and previously, AbbVie, and 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increased operating expenses and cash requirements;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9360"/>
          </w:cols>
          <w:pgMar w:left="1440" w:top="1440" w:right="1440" w:bottom="181" w:gutter="0" w:footer="0" w:header="0"/>
          <w:type w:val="continuous"/>
        </w:sectPr>
      </w:pPr>
    </w:p>
    <w:bookmarkStart w:id="83" w:name="page84"/>
    <w:bookmarkEnd w:id="83"/>
    <w:p>
      <w:pPr>
        <w:spacing w:after="0" w:line="1" w:lineRule="exact"/>
        <w:rPr>
          <w:sz w:val="20"/>
          <w:szCs w:val="20"/>
          <w:color w:val="auto"/>
        </w:rPr>
      </w:pPr>
    </w:p>
    <w:p>
      <w:pPr>
        <w:ind w:left="1100" w:right="380"/>
        <w:spacing w:after="0" w:line="273" w:lineRule="auto"/>
        <w:rPr>
          <w:sz w:val="20"/>
          <w:szCs w:val="20"/>
          <w:color w:val="auto"/>
        </w:rPr>
      </w:pPr>
      <w:r>
        <w:rPr>
          <w:rFonts w:ascii="Arial" w:cs="Arial" w:eastAsia="Arial" w:hAnsi="Arial"/>
          <w:sz w:val="18"/>
          <w:szCs w:val="18"/>
          <w:b w:val="1"/>
          <w:bCs w:val="1"/>
          <w:color w:val="auto"/>
        </w:rPr>
        <w:t>volatility with respect to the financial reporting related to such arrangements, such as our expected variability in the recognition of revenue each quarter from the GSK Agreement based on the percentage-of-completion basis under the applicable accounting rules;</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assumption of indebtedness or contingent liabilities;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potential goodwill impairment resulting from such acquisitions;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issuance of our equity securities which would result in dilution to our stockholders;</w:t>
      </w:r>
    </w:p>
    <w:p>
      <w:pPr>
        <w:spacing w:after="0" w:line="145" w:lineRule="exact"/>
        <w:rPr>
          <w:sz w:val="20"/>
          <w:szCs w:val="20"/>
          <w:color w:val="auto"/>
        </w:rPr>
      </w:pPr>
    </w:p>
    <w:p>
      <w:pPr>
        <w:ind w:left="1100" w:right="560"/>
        <w:spacing w:after="0" w:line="385" w:lineRule="auto"/>
        <w:rPr>
          <w:sz w:val="20"/>
          <w:szCs w:val="20"/>
          <w:color w:val="auto"/>
        </w:rPr>
      </w:pPr>
      <w:r>
        <w:rPr>
          <w:rFonts w:ascii="Arial" w:cs="Arial" w:eastAsia="Arial" w:hAnsi="Arial"/>
          <w:sz w:val="15"/>
          <w:szCs w:val="15"/>
          <w:b w:val="1"/>
          <w:bCs w:val="1"/>
          <w:color w:val="auto"/>
        </w:rPr>
        <w:t>assimilation of operations, intellectual property, products, and product candidates of an acquired company by our partners, including difficulties associated with integrating new personnel;</w:t>
      </w:r>
    </w:p>
    <w:p>
      <w:pPr>
        <w:spacing w:after="0" w:line="39" w:lineRule="exact"/>
        <w:rPr>
          <w:sz w:val="20"/>
          <w:szCs w:val="20"/>
          <w:color w:val="auto"/>
        </w:rPr>
      </w:pPr>
    </w:p>
    <w:p>
      <w:pPr>
        <w:ind w:left="1100" w:right="740"/>
        <w:spacing w:after="0" w:line="254" w:lineRule="auto"/>
        <w:rPr>
          <w:sz w:val="20"/>
          <w:szCs w:val="20"/>
          <w:color w:val="auto"/>
        </w:rPr>
      </w:pPr>
      <w:r>
        <w:rPr>
          <w:rFonts w:ascii="Arial" w:cs="Arial" w:eastAsia="Arial" w:hAnsi="Arial"/>
          <w:sz w:val="19"/>
          <w:szCs w:val="19"/>
          <w:b w:val="1"/>
          <w:bCs w:val="1"/>
          <w:color w:val="auto"/>
        </w:rPr>
        <w:t>diversion of our management’s attention from our existing product programs and initiatives in pursuing such an acquisition, collaboration or strategic partnership;</w:t>
      </w:r>
    </w:p>
    <w:p>
      <w:pPr>
        <w:spacing w:after="0" w:line="132" w:lineRule="exact"/>
        <w:rPr>
          <w:sz w:val="20"/>
          <w:szCs w:val="20"/>
          <w:color w:val="auto"/>
        </w:rPr>
      </w:pPr>
    </w:p>
    <w:p>
      <w:pPr>
        <w:ind w:left="1100" w:right="620"/>
        <w:spacing w:after="0" w:line="234" w:lineRule="auto"/>
        <w:rPr>
          <w:sz w:val="20"/>
          <w:szCs w:val="20"/>
          <w:color w:val="auto"/>
        </w:rPr>
      </w:pPr>
      <w:r>
        <w:rPr>
          <w:rFonts w:ascii="Arial" w:cs="Arial" w:eastAsia="Arial" w:hAnsi="Arial"/>
          <w:sz w:val="20"/>
          <w:szCs w:val="20"/>
          <w:b w:val="1"/>
          <w:bCs w:val="1"/>
          <w:color w:val="auto"/>
        </w:rPr>
        <w:t>risks of retention of key employees, the loss of key personnel, and uncertainties in our ability to maintain key business relationships;</w:t>
      </w:r>
    </w:p>
    <w:p>
      <w:pPr>
        <w:spacing w:after="0" w:line="146" w:lineRule="exact"/>
        <w:rPr>
          <w:sz w:val="20"/>
          <w:szCs w:val="20"/>
          <w:color w:val="auto"/>
        </w:rPr>
      </w:pPr>
    </w:p>
    <w:p>
      <w:pPr>
        <w:ind w:left="1100" w:right="120"/>
        <w:spacing w:after="0" w:line="273" w:lineRule="auto"/>
        <w:rPr>
          <w:sz w:val="20"/>
          <w:szCs w:val="20"/>
          <w:color w:val="auto"/>
        </w:rPr>
      </w:pPr>
      <w:r>
        <w:rPr>
          <w:rFonts w:ascii="Arial" w:cs="Arial" w:eastAsia="Arial" w:hAnsi="Arial"/>
          <w:sz w:val="18"/>
          <w:szCs w:val="18"/>
          <w:b w:val="1"/>
          <w:bCs w:val="1"/>
          <w:color w:val="auto"/>
        </w:rPr>
        <w:t>risks and uncertainties associated with the other party to such a transaction, including the prospects of that party and their existing products or product candidates and regulatory approvals, that may impact their ability to fulfill their obligations under such transaction;</w:t>
      </w:r>
    </w:p>
    <w:p>
      <w:pPr>
        <w:spacing w:after="0" w:line="116" w:lineRule="exact"/>
        <w:rPr>
          <w:sz w:val="20"/>
          <w:szCs w:val="20"/>
          <w:color w:val="auto"/>
        </w:rPr>
      </w:pPr>
    </w:p>
    <w:p>
      <w:pPr>
        <w:ind w:left="1100" w:right="20"/>
        <w:spacing w:after="0" w:line="234" w:lineRule="auto"/>
        <w:rPr>
          <w:sz w:val="20"/>
          <w:szCs w:val="20"/>
          <w:color w:val="auto"/>
        </w:rPr>
      </w:pPr>
      <w:r>
        <w:rPr>
          <w:rFonts w:ascii="Arial" w:cs="Arial" w:eastAsia="Arial" w:hAnsi="Arial"/>
          <w:sz w:val="20"/>
          <w:szCs w:val="20"/>
          <w:b w:val="1"/>
          <w:bCs w:val="1"/>
          <w:color w:val="auto"/>
        </w:rPr>
        <w:t>risks that the other party to such a transaction may exercise its rights under the applicable agreement in a way that negatively impacts us; and</w:t>
      </w:r>
    </w:p>
    <w:p>
      <w:pPr>
        <w:spacing w:after="0" w:line="146" w:lineRule="exact"/>
        <w:rPr>
          <w:sz w:val="20"/>
          <w:szCs w:val="20"/>
          <w:color w:val="auto"/>
        </w:rPr>
      </w:pPr>
    </w:p>
    <w:p>
      <w:pPr>
        <w:ind w:left="1100" w:right="100"/>
        <w:spacing w:after="0" w:line="236" w:lineRule="auto"/>
        <w:rPr>
          <w:sz w:val="20"/>
          <w:szCs w:val="20"/>
          <w:color w:val="auto"/>
        </w:rPr>
      </w:pPr>
      <w:r>
        <w:rPr>
          <w:rFonts w:ascii="Arial" w:cs="Arial" w:eastAsia="Arial" w:hAnsi="Arial"/>
          <w:sz w:val="20"/>
          <w:szCs w:val="20"/>
          <w:b w:val="1"/>
          <w:bCs w:val="1"/>
          <w:color w:val="auto"/>
        </w:rPr>
        <w:t>our inability to generate revenue from acquired or partnered intellectual property, technology, and/or products sufficient to meet our objectives or even to offset the associated transaction and maintenance costs.</w:t>
      </w:r>
    </w:p>
    <w:p>
      <w:pPr>
        <w:spacing w:after="0" w:line="153" w:lineRule="exact"/>
        <w:rPr>
          <w:sz w:val="20"/>
          <w:szCs w:val="20"/>
          <w:color w:val="auto"/>
        </w:rPr>
      </w:pPr>
    </w:p>
    <w:p>
      <w:pPr>
        <w:ind w:right="620" w:firstLine="490"/>
        <w:spacing w:after="0" w:line="236" w:lineRule="auto"/>
        <w:rPr>
          <w:sz w:val="20"/>
          <w:szCs w:val="20"/>
          <w:color w:val="auto"/>
        </w:rPr>
      </w:pPr>
      <w:r>
        <w:rPr>
          <w:rFonts w:ascii="Arial" w:cs="Arial" w:eastAsia="Arial" w:hAnsi="Arial"/>
          <w:sz w:val="20"/>
          <w:szCs w:val="20"/>
          <w:b w:val="1"/>
          <w:bCs w:val="1"/>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5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color w:val="auto"/>
        </w:rPr>
        <w:t>We have experienced cyberattacks in the past, and our internal computer systems, and those used by third parties with which we engage, such as research institution collaborators, clinical trial sites, and CROs or other vendors, contractors or consultants, may fail or suffer other breakdowns, outages, cyberattacks, information security breaches or releases or loss of sensitive data that could compromise the confidentiality, integrity, and availability of such systems and data, result in material disruptions of our research or development programs and business operations, risk disclosure of confidential, financial, or proprietary information, and affect our reputation.</w:t>
      </w:r>
    </w:p>
    <w:p>
      <w:pPr>
        <w:spacing w:after="0" w:line="92" w:lineRule="exact"/>
        <w:rPr>
          <w:sz w:val="20"/>
          <w:szCs w:val="20"/>
          <w:color w:val="auto"/>
        </w:rPr>
      </w:pPr>
    </w:p>
    <w:p>
      <w:pPr>
        <w:ind w:firstLine="490"/>
        <w:spacing w:after="0" w:line="324" w:lineRule="auto"/>
        <w:rPr>
          <w:sz w:val="20"/>
          <w:szCs w:val="20"/>
          <w:color w:val="auto"/>
        </w:rPr>
      </w:pPr>
      <w:r>
        <w:rPr>
          <w:rFonts w:ascii="Arial" w:cs="Arial" w:eastAsia="Arial" w:hAnsi="Arial"/>
          <w:sz w:val="15"/>
          <w:szCs w:val="15"/>
          <w:b w:val="1"/>
          <w:bCs w:val="1"/>
          <w:color w:val="auto"/>
        </w:rPr>
        <w:t>We have experienced cyberattacks in the past that have not had a material effect on our business operations, and we face the risk of future cyberattacks that may or may not have a material effect. Despite the implementation of security measures, our internal computer systems and those of third parties with which we engage, such as research institution collaborators, clinical trial sites, and CROs and other vendors, contractors and consultants, may be vulnerable to damage, interruption, or other disruption from various causes, including computer viruses and other malicious code, and may be vulnerable to unauthorized access. Likewise, data privacy or security breaches or incidents, or breaches or other incidents undertaken or otherwise caused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As the cyber-threat landscape evolves, especially as certain of our employees have engaged in remote or hybrid work and bad actors use AI to automat attacks, these attacks are growing in frequency, sophistication, and intensity, and are becoming increasingly difficult to detect, mitigate, and defend against.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During times of war and other conflicts, we and our business counterparties, including third parties upon which we rely, may be vulnerable to a heightened risk of these attacks. Such attacks might involve the use of sophisticated malware, including ransomware or various types of service denial tactics. They can be initiated through harmful websites or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82</w:t>
      </w:r>
    </w:p>
    <w:p>
      <w:pPr>
        <w:sectPr>
          <w:pgSz w:w="12240" w:h="15840" w:orient="portrait"/>
          <w:cols w:equalWidth="0" w:num="1">
            <w:col w:w="9360"/>
          </w:cols>
          <w:pgMar w:left="1440" w:top="1440" w:right="1440" w:bottom="181" w:gutter="0" w:footer="0" w:header="0"/>
          <w:type w:val="continuous"/>
        </w:sectPr>
      </w:pPr>
    </w:p>
    <w:bookmarkStart w:id="84" w:name="page85"/>
    <w:bookmarkEnd w:id="84"/>
    <w:p>
      <w:pPr>
        <w:spacing w:after="0" w:line="10"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b w:val="1"/>
          <w:bCs w:val="1"/>
          <w:color w:val="auto"/>
        </w:rPr>
        <w:t>by leveraging phishing strategies, social engineering tactics, or credential stuffing. This might also include brute force attacks, along with other contemporary malicious methods which are always changing.</w:t>
      </w:r>
    </w:p>
    <w:p>
      <w:pPr>
        <w:spacing w:after="0" w:line="70"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If a breakdown, cyberattack, or other information security breach or incident occurs, it could cause damage to or interruptions or other disruptions in our operations or those of third parties, with which we engage, and could result in damage to, the loss or unavailability of, or misappropriation or other unauthorized use or processing of, sensitive data, including personal information and confidential information, such as our intellectual property or financial information, and a material disruption of our research and development programs and our business operations. For example, the loss or unavailability of, or damage to, clinical trial data from completed, ongoing, or future clinical trials could result in delays in our regulatory approval efforts and significantly increase our costs to recover or reproduce the data. Likewise, we rely on third-party research institution collaborators, clinical trial sites, and CROs and other vendors, consultants and contractors for research and development of our product candidates, and we rely on other third parties, such as CDMOs and CROs, to manufacture our product candidates and to conduct clinical trials, respectively. Supply-chain attacks against third-party actors like these have increased in frequency and severity, and we cannot guarantee that third-party infrastructure in our supply chain or our third-party partners’ supply chains have not been compromised. Cyberattacks, security breaches and incidents, and disruptions, interruptions, and similar events relating to their computer systems and operations could also have a material adverse effect on our business.</w:t>
      </w:r>
    </w:p>
    <w:p>
      <w:pPr>
        <w:spacing w:after="0" w:line="102" w:lineRule="exact"/>
        <w:rPr>
          <w:sz w:val="20"/>
          <w:szCs w:val="20"/>
          <w:color w:val="auto"/>
        </w:rPr>
      </w:pPr>
    </w:p>
    <w:p>
      <w:pPr>
        <w:ind w:right="60" w:firstLine="490"/>
        <w:spacing w:after="0" w:line="286" w:lineRule="auto"/>
        <w:rPr>
          <w:sz w:val="20"/>
          <w:szCs w:val="20"/>
          <w:color w:val="auto"/>
        </w:rPr>
      </w:pPr>
      <w:r>
        <w:rPr>
          <w:rFonts w:ascii="Arial" w:cs="Arial" w:eastAsia="Arial" w:hAnsi="Arial"/>
          <w:sz w:val="17"/>
          <w:szCs w:val="17"/>
          <w:b w:val="1"/>
          <w:bCs w:val="1"/>
          <w:color w:val="auto"/>
        </w:rPr>
        <w:t>We and our business counterparties, including third parties on which we rely, may be unable to anticipate or prevent outages or to anticipate or prevent techniques used to obtain unauthorized access to or to compromise our or our business counterparties’ systems because such techniques change frequently and are generally not detected until after an incident has occurred. We may be unable to anticipate or prevent any breakdowns or other outages due to a failure of software, software updates or other events that may cause disruptions to our systems or data. There can be no assurance that we and our business counterparties will be successful in efforts to detect, prevent, or fully recover systems or data from all breakdowns, service interruptions or other disruptions, attacks, or compromises of, or security breaches or incidents impacting, systems that could adversely affect our business and operations and/or result in the loss or unavailability of, or damage to, critical or sensitive data.</w:t>
      </w:r>
    </w:p>
    <w:p>
      <w:pPr>
        <w:spacing w:after="0" w:line="92" w:lineRule="exact"/>
        <w:rPr>
          <w:sz w:val="20"/>
          <w:szCs w:val="20"/>
          <w:color w:val="auto"/>
        </w:rPr>
      </w:pPr>
    </w:p>
    <w:p>
      <w:pPr>
        <w:ind w:right="220" w:firstLine="490"/>
        <w:spacing w:after="0" w:line="284" w:lineRule="auto"/>
        <w:rPr>
          <w:sz w:val="20"/>
          <w:szCs w:val="20"/>
          <w:color w:val="auto"/>
        </w:rPr>
      </w:pPr>
      <w:r>
        <w:rPr>
          <w:rFonts w:ascii="Arial" w:cs="Arial" w:eastAsia="Arial" w:hAnsi="Arial"/>
          <w:sz w:val="17"/>
          <w:szCs w:val="17"/>
          <w:b w:val="1"/>
          <w:bCs w:val="1"/>
          <w:color w:val="auto"/>
        </w:rPr>
        <w:t>Any disruption or security breach or incident resulting in loss or unavailability of, or damage to, our data or systems, or those of third parties on which we rely, or inappropriate use, disclosure, or modification of personal, sensitive, confidential or proprietary information, could result in our being subject to claims, demands, and litigation, investigations and other regulatory proceedings, and fines and other liabilities, as well as in delays to further development and commercialization of our product candidates. While we have invested, and continue to invest, in the protection of our data and information technology infrastructure, there can be no assurance that our efforts will prevent service disruptions, or prevent or identify vulnerabilities or security breaches or incidents, that could adversely affect our business and operations or result in the loss, unavailability, or corruption of, or inappropriate access to or use of, confidential, personal, or other sensitive information or company resources. Any such interruptions, breaches or incidents, or the perception that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103" w:lineRule="exact"/>
        <w:rPr>
          <w:sz w:val="20"/>
          <w:szCs w:val="20"/>
          <w:color w:val="auto"/>
        </w:rPr>
      </w:pPr>
    </w:p>
    <w:p>
      <w:pPr>
        <w:jc w:val="both"/>
        <w:ind w:right="160" w:firstLine="490"/>
        <w:spacing w:after="0" w:line="336" w:lineRule="auto"/>
        <w:rPr>
          <w:sz w:val="20"/>
          <w:szCs w:val="20"/>
          <w:color w:val="auto"/>
        </w:rPr>
      </w:pPr>
      <w:r>
        <w:rPr>
          <w:rFonts w:ascii="Arial" w:cs="Arial" w:eastAsia="Arial" w:hAnsi="Arial"/>
          <w:sz w:val="15"/>
          <w:szCs w:val="15"/>
          <w:b w:val="1"/>
          <w:bCs w:val="1"/>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The use of new and evolving technologies, such as AI, in our operations may require us to expend resources and may present risks and challenges that can impact our business, including by posing security and other risks to our proprietary and personal information, any of which may result in reputational harm and liability, or otherwise adversely affect our business.</w:t>
      </w:r>
    </w:p>
    <w:p>
      <w:pPr>
        <w:spacing w:after="0" w:line="133" w:lineRule="exact"/>
        <w:rPr>
          <w:sz w:val="20"/>
          <w:szCs w:val="20"/>
          <w:color w:val="auto"/>
        </w:rPr>
      </w:pPr>
    </w:p>
    <w:p>
      <w:pPr>
        <w:ind w:right="20" w:firstLine="490"/>
        <w:spacing w:after="0" w:line="341" w:lineRule="auto"/>
        <w:rPr>
          <w:sz w:val="20"/>
          <w:szCs w:val="20"/>
          <w:color w:val="auto"/>
        </w:rPr>
      </w:pPr>
      <w:r>
        <w:rPr>
          <w:rFonts w:ascii="Arial" w:cs="Arial" w:eastAsia="Arial" w:hAnsi="Arial"/>
          <w:sz w:val="15"/>
          <w:szCs w:val="15"/>
          <w:b w:val="1"/>
          <w:bCs w:val="1"/>
          <w:color w:val="auto"/>
        </w:rPr>
        <w:t>We may choose to integrate AI into our operations, and this innovation presents risks and challenges that could affect its adoption, and therefore our business. Although AI has the potential to help advance our business, t here are risks involved in utilizing AI, and no assurance can be provided that the use of AI will enhance our business or assist our business in becoming more efficient or profitable. The use of certain AI technology can give rise to</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9360"/>
          </w:cols>
          <w:pgMar w:left="1440" w:top="1440" w:right="1440" w:bottom="181" w:gutter="0" w:footer="0" w:header="0"/>
          <w:type w:val="continuous"/>
        </w:sectPr>
      </w:pPr>
    </w:p>
    <w:bookmarkStart w:id="85" w:name="page86"/>
    <w:bookmarkEnd w:id="85"/>
    <w:p>
      <w:pPr>
        <w:spacing w:after="0" w:line="10"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color w:val="auto"/>
        </w:rPr>
        <w:t>intellectual property risks, including compromises to proprietary intellectual property and intellectual property infringement and misappropriation. Other known risks of AI currently include inaccuracy, bias, toxicity, data privacy and cybersecurity issues, and data provenance disputes. In addition, AI may have errors or inadequacies that are not easily detectable. AI may also be subject to data herding and interconnectedness (i.e., multiple market participants utilizing the same data).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94"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Additionally, we expect to see increasing government and supranational regulation related to AI use, which may also significantly increase the burden and cost of research, development and compliance in this area. For example, the EU’s Artificial Intelligence Act (AI Act), which imposes significant obligations on providers and deployers of AI systems, entered into force on August 1, 2024 and, with some exceptions, will become effective 24 months thereafter. The rapid evolution of AI will require the expenditure of resources to design, develop, test and/or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personal data. Any such cybersecurity incidents related to our use of AI applications could adversely affect our reputation and results of operations.</w:t>
      </w:r>
    </w:p>
    <w:p>
      <w:pPr>
        <w:spacing w:after="0" w:line="100" w:lineRule="exact"/>
        <w:rPr>
          <w:sz w:val="20"/>
          <w:szCs w:val="20"/>
          <w:color w:val="auto"/>
        </w:rPr>
      </w:pPr>
    </w:p>
    <w:p>
      <w:pPr>
        <w:ind w:right="40" w:firstLine="490"/>
        <w:spacing w:after="0" w:line="287" w:lineRule="auto"/>
        <w:rPr>
          <w:sz w:val="20"/>
          <w:szCs w:val="20"/>
          <w:color w:val="auto"/>
        </w:rPr>
      </w:pPr>
      <w:r>
        <w:rPr>
          <w:rFonts w:ascii="Arial" w:cs="Arial" w:eastAsia="Arial" w:hAnsi="Arial"/>
          <w:sz w:val="17"/>
          <w:szCs w:val="17"/>
          <w:b w:val="1"/>
          <w:bCs w:val="1"/>
          <w:color w:val="auto"/>
        </w:rPr>
        <w:t>Our collaborators or other third-party service providers may also incorporate AI tools into their own offerings, and the providers of those AI tools may not meet existing or rapidly evolving regulatory or industry standards, including with respect to intellectual property, data privacy, and cybersecurity.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or otherwise adversely impact our business.</w:t>
      </w:r>
    </w:p>
    <w:p>
      <w:pPr>
        <w:spacing w:after="0" w:line="214"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b w:val="1"/>
          <w:bCs w:val="1"/>
          <w:color w:val="auto"/>
        </w:rPr>
        <w:t>Business disruptions, including as a result of geopolitical events, could seriously harm our future revenue and financial condition and increase our costs and expenses.</w:t>
      </w:r>
    </w:p>
    <w:p>
      <w:pPr>
        <w:spacing w:after="0" w:line="132" w:lineRule="exact"/>
        <w:rPr>
          <w:sz w:val="20"/>
          <w:szCs w:val="20"/>
          <w:color w:val="auto"/>
        </w:rPr>
      </w:pPr>
    </w:p>
    <w:p>
      <w:pPr>
        <w:ind w:firstLine="490"/>
        <w:spacing w:after="0" w:line="284" w:lineRule="auto"/>
        <w:rPr>
          <w:sz w:val="20"/>
          <w:szCs w:val="20"/>
          <w:color w:val="auto"/>
        </w:rPr>
      </w:pPr>
      <w:r>
        <w:rPr>
          <w:rFonts w:ascii="Arial" w:cs="Arial" w:eastAsia="Arial" w:hAnsi="Arial"/>
          <w:sz w:val="17"/>
          <w:szCs w:val="17"/>
          <w:b w:val="1"/>
          <w:bCs w:val="1"/>
          <w:color w:val="auto"/>
        </w:rPr>
        <w:t>Our operations, and those of our collaborators, CROs, CDMOs, suppliers, and other contractors and consultants, could be subject to events beyond our control, such as pandemics or the spread of disease, earthquakes, power shortages, telecommunications failures, software outages or other system failures, water shortages, floods, hurricanes, typhoons, fires, extreme weather conditions, medical epidemics, pandemics, regional health issues, geopolitical events, including the ongoing conflicts between Russia and Ukraine and in the Middle East, and other natural or man-made disasters or business interruptions, for which we are either totally or partly uninsured. In addition, we rely on our third-party research institution collaborators for conducting research and development of our product candidates, and they may be affected by government shutdowns or withdrawn funding. We rely on third-party manufacturers to produce and process our product candidates. Our ability to obtain supplies of our product candidates could be disrupted if the operations of these suppliers are affected by a man-made or natural disaster, geopolitical events, global pandemics, or other business interruption. The occurrence of any of these business disruptions could seriously harm our operations and financial condition and increase our costs and expenses. Moreover, if there is a significant pandemic or public health outbreak that poses a threat to our ability to conduct our business operations as planned, there can be no assurance that we will be able to avoid a material impact on our business from the pandemic or its consequences.</w:t>
      </w:r>
    </w:p>
    <w:p>
      <w:pPr>
        <w:spacing w:after="0" w:line="219" w:lineRule="exact"/>
        <w:rPr>
          <w:sz w:val="20"/>
          <w:szCs w:val="20"/>
          <w:color w:val="auto"/>
        </w:rPr>
      </w:pPr>
    </w:p>
    <w:p>
      <w:pPr>
        <w:ind w:right="180" w:firstLine="490"/>
        <w:spacing w:after="0" w:line="269" w:lineRule="auto"/>
        <w:rPr>
          <w:sz w:val="20"/>
          <w:szCs w:val="20"/>
          <w:color w:val="auto"/>
        </w:rPr>
      </w:pPr>
      <w:r>
        <w:rPr>
          <w:rFonts w:ascii="Arial" w:cs="Arial" w:eastAsia="Arial" w:hAnsi="Arial"/>
          <w:sz w:val="18"/>
          <w:szCs w:val="18"/>
          <w:b w:val="1"/>
          <w:bCs w:val="1"/>
          <w:color w:val="auto"/>
        </w:rPr>
        <w:t>The majority of our operations including our corporate headquarters are located in a facility in South San Francisco, California. Damage or extended periods of interruption to our corporate, development, or research facilities due to fire, natural disaster, global pandemics, power loss, communications failure, unauthorized entry, earthquakes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84</w:t>
      </w:r>
    </w:p>
    <w:p>
      <w:pPr>
        <w:sectPr>
          <w:pgSz w:w="12240" w:h="15840" w:orient="portrait"/>
          <w:cols w:equalWidth="0" w:num="1">
            <w:col w:w="9360"/>
          </w:cols>
          <w:pgMar w:left="1440" w:top="1440" w:right="1440" w:bottom="181" w:gutter="0" w:footer="0" w:header="0"/>
          <w:type w:val="continuous"/>
        </w:sectPr>
      </w:pPr>
    </w:p>
    <w:bookmarkStart w:id="86" w:name="page87"/>
    <w:bookmarkEnd w:id="86"/>
    <w:p>
      <w:pPr>
        <w:spacing w:after="0" w:line="10" w:lineRule="exact"/>
        <w:rPr>
          <w:sz w:val="20"/>
          <w:szCs w:val="20"/>
          <w:color w:val="auto"/>
        </w:rPr>
      </w:pPr>
    </w:p>
    <w:p>
      <w:pPr>
        <w:ind w:right="940"/>
        <w:spacing w:after="0" w:line="234" w:lineRule="auto"/>
        <w:rPr>
          <w:sz w:val="20"/>
          <w:szCs w:val="20"/>
          <w:color w:val="auto"/>
        </w:rPr>
      </w:pPr>
      <w:r>
        <w:rPr>
          <w:rFonts w:ascii="Arial" w:cs="Arial" w:eastAsia="Arial" w:hAnsi="Arial"/>
          <w:sz w:val="20"/>
          <w:szCs w:val="20"/>
          <w:b w:val="1"/>
          <w:bCs w:val="1"/>
          <w:color w:val="auto"/>
        </w:rPr>
        <w:t>Our business is subject to economic, political, regulatory, and other risks associated with international operations.</w:t>
      </w:r>
    </w:p>
    <w:p>
      <w:pPr>
        <w:spacing w:after="0" w:line="130" w:lineRule="exact"/>
        <w:rPr>
          <w:sz w:val="20"/>
          <w:szCs w:val="20"/>
          <w:color w:val="auto"/>
        </w:rPr>
      </w:pPr>
    </w:p>
    <w:p>
      <w:pPr>
        <w:ind w:right="80" w:firstLine="490"/>
        <w:spacing w:after="0" w:line="236" w:lineRule="auto"/>
        <w:rPr>
          <w:sz w:val="20"/>
          <w:szCs w:val="20"/>
          <w:color w:val="auto"/>
        </w:rPr>
      </w:pPr>
      <w:r>
        <w:rPr>
          <w:rFonts w:ascii="Arial" w:cs="Arial" w:eastAsia="Arial" w:hAnsi="Arial"/>
          <w:sz w:val="20"/>
          <w:szCs w:val="20"/>
          <w:b w:val="1"/>
          <w:bCs w:val="1"/>
          <w:color w:val="auto"/>
        </w:rPr>
        <w:t>Our business is subject to risks associated with conducting business internationally. Some of our CDMOs and clinical trial sites, for example, are located outside the United States. Accordingly, our future results could be harmed by a variety of factors, including:</w:t>
      </w:r>
    </w:p>
    <w:p>
      <w:pPr>
        <w:spacing w:after="0" w:line="124" w:lineRule="exact"/>
        <w:rPr>
          <w:sz w:val="20"/>
          <w:szCs w:val="20"/>
          <w:color w:val="auto"/>
        </w:rPr>
      </w:pPr>
    </w:p>
    <w:p>
      <w:pPr>
        <w:ind w:left="1100" w:right="200"/>
        <w:spacing w:after="0" w:line="234" w:lineRule="auto"/>
        <w:rPr>
          <w:sz w:val="20"/>
          <w:szCs w:val="20"/>
          <w:color w:val="auto"/>
        </w:rPr>
      </w:pPr>
      <w:r>
        <w:rPr>
          <w:rFonts w:ascii="Arial" w:cs="Arial" w:eastAsia="Arial" w:hAnsi="Arial"/>
          <w:sz w:val="20"/>
          <w:szCs w:val="20"/>
          <w:b w:val="1"/>
          <w:bCs w:val="1"/>
          <w:color w:val="auto"/>
        </w:rPr>
        <w:t>economic weakness, including recession, inflation, or political instability in non-U.S. economies and markets;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differing and changing regulatory requirements in non-U.S. countries;</w:t>
      </w:r>
    </w:p>
    <w:p>
      <w:pPr>
        <w:spacing w:after="0" w:line="142" w:lineRule="exact"/>
        <w:rPr>
          <w:sz w:val="20"/>
          <w:szCs w:val="20"/>
          <w:color w:val="auto"/>
        </w:rPr>
      </w:pPr>
    </w:p>
    <w:p>
      <w:pPr>
        <w:ind w:left="1100" w:right="280"/>
        <w:spacing w:after="0" w:line="236" w:lineRule="auto"/>
        <w:rPr>
          <w:sz w:val="20"/>
          <w:szCs w:val="20"/>
          <w:color w:val="auto"/>
        </w:rPr>
      </w:pPr>
      <w:r>
        <w:rPr>
          <w:rFonts w:ascii="Arial" w:cs="Arial" w:eastAsia="Arial" w:hAnsi="Arial"/>
          <w:sz w:val="20"/>
          <w:szCs w:val="20"/>
          <w:b w:val="1"/>
          <w:bCs w:val="1"/>
          <w:color w:val="auto"/>
        </w:rPr>
        <w:t>challenges enforcing our contractual and intellectual property rights, especially in those foreign countries that do not respect and protect intellectual property rights to the same extent as the United States;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difficulties in compliance with non-U.S. laws and regulations;</w:t>
      </w:r>
    </w:p>
    <w:p>
      <w:pPr>
        <w:spacing w:after="0" w:line="145" w:lineRule="exact"/>
        <w:rPr>
          <w:sz w:val="20"/>
          <w:szCs w:val="20"/>
          <w:color w:val="auto"/>
        </w:rPr>
      </w:pPr>
    </w:p>
    <w:p>
      <w:pPr>
        <w:ind w:left="1100" w:right="2520"/>
        <w:spacing w:after="0" w:line="505" w:lineRule="auto"/>
        <w:rPr>
          <w:sz w:val="20"/>
          <w:szCs w:val="20"/>
          <w:color w:val="auto"/>
        </w:rPr>
      </w:pPr>
      <w:r>
        <w:rPr>
          <w:rFonts w:ascii="Arial" w:cs="Arial" w:eastAsia="Arial" w:hAnsi="Arial"/>
          <w:sz w:val="15"/>
          <w:szCs w:val="15"/>
          <w:b w:val="1"/>
          <w:bCs w:val="1"/>
          <w:color w:val="auto"/>
        </w:rPr>
        <w:t>changes in non-U.S. regulations and customs, tariffs, and trade barriers; changes in non-U.S. currency exchange rates and currency controls;</w:t>
      </w:r>
    </w:p>
    <w:p>
      <w:pPr>
        <w:spacing w:after="0" w:line="1" w:lineRule="exact"/>
        <w:rPr>
          <w:sz w:val="20"/>
          <w:szCs w:val="20"/>
          <w:color w:val="auto"/>
        </w:rPr>
      </w:pPr>
    </w:p>
    <w:p>
      <w:pPr>
        <w:ind w:left="1100" w:right="2020"/>
        <w:spacing w:after="0" w:line="369" w:lineRule="auto"/>
        <w:rPr>
          <w:sz w:val="20"/>
          <w:szCs w:val="20"/>
          <w:color w:val="auto"/>
        </w:rPr>
      </w:pPr>
      <w:r>
        <w:rPr>
          <w:rFonts w:ascii="Arial" w:cs="Arial" w:eastAsia="Arial" w:hAnsi="Arial"/>
          <w:sz w:val="20"/>
          <w:szCs w:val="20"/>
          <w:b w:val="1"/>
          <w:bCs w:val="1"/>
          <w:color w:val="auto"/>
        </w:rPr>
        <w:t>changes in a specific country’s or region’s political or economic environment; shipping of biologics/drugs;</w:t>
      </w:r>
    </w:p>
    <w:p>
      <w:pPr>
        <w:spacing w:after="0" w:line="22" w:lineRule="exact"/>
        <w:rPr>
          <w:sz w:val="20"/>
          <w:szCs w:val="20"/>
          <w:color w:val="auto"/>
        </w:rPr>
      </w:pPr>
    </w:p>
    <w:p>
      <w:pPr>
        <w:ind w:left="1100" w:right="320"/>
        <w:spacing w:after="0" w:line="234" w:lineRule="auto"/>
        <w:rPr>
          <w:sz w:val="20"/>
          <w:szCs w:val="20"/>
          <w:color w:val="auto"/>
        </w:rPr>
      </w:pPr>
      <w:r>
        <w:rPr>
          <w:rFonts w:ascii="Arial" w:cs="Arial" w:eastAsia="Arial" w:hAnsi="Arial"/>
          <w:sz w:val="20"/>
          <w:szCs w:val="20"/>
          <w:b w:val="1"/>
          <w:bCs w:val="1"/>
          <w:color w:val="auto"/>
        </w:rPr>
        <w:t>trade protection measures, import or export licensing requirements, trade tariffs, or other restrictive actions by U.S. or non-U.S. governments;</w:t>
      </w:r>
    </w:p>
    <w:p>
      <w:pPr>
        <w:spacing w:after="0" w:line="146" w:lineRule="exact"/>
        <w:rPr>
          <w:sz w:val="20"/>
          <w:szCs w:val="20"/>
          <w:color w:val="auto"/>
        </w:rPr>
      </w:pPr>
    </w:p>
    <w:p>
      <w:pPr>
        <w:ind w:left="1100" w:right="420"/>
        <w:spacing w:after="0" w:line="234" w:lineRule="auto"/>
        <w:rPr>
          <w:sz w:val="20"/>
          <w:szCs w:val="20"/>
          <w:color w:val="auto"/>
        </w:rPr>
      </w:pPr>
      <w:r>
        <w:rPr>
          <w:rFonts w:ascii="Arial" w:cs="Arial" w:eastAsia="Arial" w:hAnsi="Arial"/>
          <w:sz w:val="20"/>
          <w:szCs w:val="20"/>
          <w:b w:val="1"/>
          <w:bCs w:val="1"/>
          <w:color w:val="auto"/>
        </w:rPr>
        <w:t>negative consequences from changes in tax laws; (including the provisions of the recently enacted federal tax legislation titled the Inflation Reduction Act);</w:t>
      </w:r>
    </w:p>
    <w:p>
      <w:pPr>
        <w:spacing w:after="0" w:line="144" w:lineRule="exact"/>
        <w:rPr>
          <w:sz w:val="20"/>
          <w:szCs w:val="20"/>
          <w:color w:val="auto"/>
        </w:rPr>
      </w:pPr>
    </w:p>
    <w:p>
      <w:pPr>
        <w:ind w:left="1100" w:right="500"/>
        <w:spacing w:after="0" w:line="234" w:lineRule="auto"/>
        <w:rPr>
          <w:sz w:val="20"/>
          <w:szCs w:val="20"/>
          <w:color w:val="auto"/>
        </w:rPr>
      </w:pPr>
      <w:r>
        <w:rPr>
          <w:rFonts w:ascii="Arial" w:cs="Arial" w:eastAsia="Arial" w:hAnsi="Arial"/>
          <w:sz w:val="20"/>
          <w:szCs w:val="20"/>
          <w:b w:val="1"/>
          <w:bCs w:val="1"/>
          <w:color w:val="auto"/>
        </w:rPr>
        <w:t>compliance with tax, employment, immigration, and labor laws for employees living or traveling abroad;</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workforce uncertainty in countries where labor unrest is more common than in the United States;</w:t>
      </w:r>
    </w:p>
    <w:p>
      <w:pPr>
        <w:spacing w:after="0" w:line="157" w:lineRule="exact"/>
        <w:rPr>
          <w:sz w:val="20"/>
          <w:szCs w:val="20"/>
          <w:color w:val="auto"/>
        </w:rPr>
      </w:pPr>
    </w:p>
    <w:p>
      <w:pPr>
        <w:ind w:left="1100" w:right="280"/>
        <w:spacing w:after="0" w:line="234" w:lineRule="auto"/>
        <w:rPr>
          <w:sz w:val="20"/>
          <w:szCs w:val="20"/>
          <w:color w:val="auto"/>
        </w:rPr>
      </w:pPr>
      <w:r>
        <w:rPr>
          <w:rFonts w:ascii="Arial" w:cs="Arial" w:eastAsia="Arial" w:hAnsi="Arial"/>
          <w:sz w:val="20"/>
          <w:szCs w:val="20"/>
          <w:b w:val="1"/>
          <w:bCs w:val="1"/>
          <w:color w:val="auto"/>
        </w:rPr>
        <w:t>difficulties associated with staffing and managing international operations, including differing labor relations;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potential liability under the FCPA, UK Bribery Act, or comparable foreign laws; and</w:t>
      </w:r>
    </w:p>
    <w:p>
      <w:pPr>
        <w:spacing w:after="0" w:line="142" w:lineRule="exact"/>
        <w:rPr>
          <w:sz w:val="20"/>
          <w:szCs w:val="20"/>
          <w:color w:val="auto"/>
        </w:rPr>
      </w:pPr>
    </w:p>
    <w:p>
      <w:pPr>
        <w:ind w:left="1100" w:right="460"/>
        <w:spacing w:after="0" w:line="385" w:lineRule="auto"/>
        <w:rPr>
          <w:sz w:val="20"/>
          <w:szCs w:val="20"/>
          <w:color w:val="auto"/>
        </w:rPr>
      </w:pPr>
      <w:r>
        <w:rPr>
          <w:rFonts w:ascii="Arial" w:cs="Arial" w:eastAsia="Arial" w:hAnsi="Arial"/>
          <w:sz w:val="15"/>
          <w:szCs w:val="15"/>
          <w:b w:val="1"/>
          <w:bCs w:val="1"/>
          <w:color w:val="auto"/>
        </w:rPr>
        <w:t>business interruptions resulting from geo-political actions, including war and terrorism, or natural disasters including earthquakes, typhoons, floods, droughts, extreme temperatures, and fires.</w:t>
      </w:r>
    </w:p>
    <w:p>
      <w:pPr>
        <w:spacing w:after="0" w:line="50" w:lineRule="exact"/>
        <w:rPr>
          <w:sz w:val="20"/>
          <w:szCs w:val="20"/>
          <w:color w:val="auto"/>
        </w:rPr>
      </w:pPr>
    </w:p>
    <w:p>
      <w:pPr>
        <w:ind w:right="20" w:firstLine="490"/>
        <w:spacing w:after="0" w:line="324" w:lineRule="auto"/>
        <w:rPr>
          <w:sz w:val="20"/>
          <w:szCs w:val="20"/>
          <w:color w:val="auto"/>
        </w:rPr>
      </w:pPr>
      <w:r>
        <w:rPr>
          <w:rFonts w:ascii="Arial" w:cs="Arial" w:eastAsia="Arial" w:hAnsi="Arial"/>
          <w:sz w:val="15"/>
          <w:szCs w:val="15"/>
          <w:b w:val="1"/>
          <w:bCs w:val="1"/>
          <w:color w:val="auto"/>
        </w:rPr>
        <w:t>These and other risks associated with our planned international operations may materially adversely affect our ability to attain profitable operations. Further, there is currently significant uncertainty about the current presidential administration’s policies and priorities, which could affect future relationships between the United States and various other countries, most significantly China, the European Union, and other trading partners, with respect to trade policies, treaties, tariffs, taxes, and other limitations on cross-border operations. For example, legislation was introduced in Congress in 2024 and amended in 2025 to limit certain U.S. biotechnology companies from using equipment or services produced or provided by select Chinese biotechnology companies. Moreover, both the United States and China have implemented significant trade tariffs against each other’s imports. The current administration has issued an executive order directing the FDA to increase fees for and inspections of foreign drug manufacturing facilities, including facilities in India and China, and further including other measures to promote drug manufacturing in the United States. A Department of Justice rule effective in April 2025, along with subsequent action by the FDA, prohibits or restricts transfer of sensitive personal data, including health data, biometric data, and human genomic data, and patient biological materials to China and other “countries of concern” in the interests of national security.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then our business may be seriously harmed. Likewise, if foreign policy measures, such as those described above, cause broader disruption in drug</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9360"/>
          </w:cols>
          <w:pgMar w:left="1440" w:top="1440" w:right="1440" w:bottom="181" w:gutter="0" w:footer="0" w:header="0"/>
          <w:type w:val="continuous"/>
        </w:sectPr>
      </w:pPr>
    </w:p>
    <w:bookmarkStart w:id="87" w:name="page88"/>
    <w:bookmarkEnd w:id="87"/>
    <w:p>
      <w:pPr>
        <w:spacing w:after="0" w:line="10" w:lineRule="exact"/>
        <w:rPr>
          <w:sz w:val="20"/>
          <w:szCs w:val="20"/>
          <w:color w:val="auto"/>
        </w:rPr>
      </w:pPr>
    </w:p>
    <w:p>
      <w:pPr>
        <w:ind w:right="220"/>
        <w:spacing w:after="0" w:line="235" w:lineRule="auto"/>
        <w:rPr>
          <w:sz w:val="20"/>
          <w:szCs w:val="20"/>
          <w:color w:val="auto"/>
        </w:rPr>
      </w:pPr>
      <w:r>
        <w:rPr>
          <w:rFonts w:ascii="Arial" w:cs="Arial" w:eastAsia="Arial" w:hAnsi="Arial"/>
          <w:sz w:val="20"/>
          <w:szCs w:val="20"/>
          <w:b w:val="1"/>
          <w:bCs w:val="1"/>
          <w:color w:val="auto"/>
        </w:rPr>
        <w:t>manufacturing and related industries that impact drug development, clinical trials, and drug product availability or pricing, then our business, liquidity, financial condition, and/or results of operations would be materially and adversely affected.</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ability to use our net operating loss carryforwards and certain other tax attributes may be limited.</w:t>
      </w:r>
    </w:p>
    <w:p>
      <w:pPr>
        <w:spacing w:after="0" w:line="132"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As of December 31, 2025, we had federal and state net operating loss (NOL) carryforwards of approximately $375.6 million and $419.1 million, respectively. Federal NOL carryforwards have an indefinite life but cannot offset more than 80% of taxable income. Pursuant to Internal Revenue Code Sections 382 and 383, annual use of the Company’s net operating loss and research and development credit carryforwards may be limited in the event that a cumulative change in ownership of more than 50% occurs within a three-year period. We may have experienced such an ownership change in the past, and may also experience ownership changes in the future as a result of subsequent shifts in our stock ownership, some of which are outside our control. As a result, our ability to use our pre-change NOL carryforwards and other pre-change tax attributes to offset post-change taxable income or taxes may be subject to limitation. Additionally, California has recently enacted a temporary suspension on the use of state NOL carryforwards in the taxable years beginning in 2024, 2025, and 2026, which would adversely affect our company if we earn taxable income in the impacted taxable years. Our NOL carryforwards may also be subject to other state tax limitations.</w:t>
      </w:r>
    </w:p>
    <w:p>
      <w:pPr>
        <w:spacing w:after="0" w:line="21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b w:val="1"/>
          <w:bCs w:val="1"/>
          <w:color w:val="auto"/>
        </w:rPr>
        <w:t>Changes in tax laws or in their implementation or interpretation may adversely affect our business and financial condition.</w:t>
      </w:r>
    </w:p>
    <w:p>
      <w:pPr>
        <w:spacing w:after="0" w:line="132"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(TCJA) went into effect that eliminates the option to deduct domestic research and development costs in the year incurred and instead requires taxpayers to amortize such costs over five years for domestic costs and 15 years for foreign costs. The OBBBA, which was enacted on July 4, 2025, made a number of changes to U.S. federal income tax law, including permanently suspending the requirement to capitalize and amortize domestic research and development costs and permitting such deductions on a current basis. The Company is currently assessing the impact of this new legislation, but does not anticipate it will have a material impact on the results of operations. Changes in tax laws, regulations, or rulings, changes in interpretations of existing laws and regulations, or changes in accounting principles could negatively or materially affect our financial position, cash flows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31" w:lineRule="exact"/>
        <w:rPr>
          <w:sz w:val="20"/>
          <w:szCs w:val="20"/>
          <w:color w:val="auto"/>
        </w:rPr>
      </w:pPr>
    </w:p>
    <w:p>
      <w:pPr>
        <w:ind w:right="280"/>
        <w:spacing w:after="0" w:line="233" w:lineRule="auto"/>
        <w:rPr>
          <w:sz w:val="20"/>
          <w:szCs w:val="20"/>
          <w:color w:val="auto"/>
        </w:rPr>
      </w:pPr>
      <w:r>
        <w:rPr>
          <w:rFonts w:ascii="Arial" w:cs="Arial" w:eastAsia="Arial" w:hAnsi="Arial"/>
          <w:sz w:val="20"/>
          <w:szCs w:val="20"/>
          <w:b w:val="1"/>
          <w:bCs w:val="1"/>
          <w:color w:val="auto"/>
        </w:rPr>
        <w:t>The market price of our common stock may continue to be volatile, which could result in substantial losses for investors.</w:t>
      </w:r>
    </w:p>
    <w:p>
      <w:pPr>
        <w:spacing w:after="0" w:line="132" w:lineRule="exact"/>
        <w:rPr>
          <w:sz w:val="20"/>
          <w:szCs w:val="20"/>
          <w:color w:val="auto"/>
        </w:rPr>
      </w:pPr>
    </w:p>
    <w:p>
      <w:pPr>
        <w:ind w:right="100" w:firstLine="490"/>
        <w:spacing w:after="0" w:line="330" w:lineRule="auto"/>
        <w:rPr>
          <w:sz w:val="20"/>
          <w:szCs w:val="20"/>
          <w:color w:val="auto"/>
        </w:rPr>
      </w:pPr>
      <w:r>
        <w:rPr>
          <w:rFonts w:ascii="Arial" w:cs="Arial" w:eastAsia="Arial" w:hAnsi="Arial"/>
          <w:sz w:val="15"/>
          <w:szCs w:val="15"/>
          <w:b w:val="1"/>
          <w:bCs w:val="1"/>
          <w:color w:val="auto"/>
        </w:rPr>
        <w:t>Although our common stock is listed on The Nasdaq Global Select Market, the market for our shares has demonstrated varying levels of trading activity. The trading price of our common stock has been and may continue to be highly volatile and could be subject to wide fluctuations in response to various factors, some of which are beyond our control.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Some of the factors that may cause the market price of our common stock to fluctuate or decline include: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success of existing or new competitive products or technologies;</w:t>
      </w:r>
    </w:p>
    <w:p>
      <w:pPr>
        <w:spacing w:after="0" w:line="145" w:lineRule="exact"/>
        <w:rPr>
          <w:sz w:val="20"/>
          <w:szCs w:val="20"/>
          <w:color w:val="auto"/>
        </w:rPr>
      </w:pPr>
    </w:p>
    <w:p>
      <w:pPr>
        <w:ind w:left="840" w:right="840"/>
        <w:spacing w:after="0" w:line="234" w:lineRule="auto"/>
        <w:rPr>
          <w:sz w:val="20"/>
          <w:szCs w:val="20"/>
          <w:color w:val="auto"/>
        </w:rPr>
      </w:pPr>
      <w:r>
        <w:rPr>
          <w:rFonts w:ascii="Arial" w:cs="Arial" w:eastAsia="Arial" w:hAnsi="Arial"/>
          <w:sz w:val="20"/>
          <w:szCs w:val="20"/>
          <w:b w:val="1"/>
          <w:bCs w:val="1"/>
          <w:color w:val="auto"/>
        </w:rPr>
        <w:t>the timing and results of clinical trials for our current product candidates and any future product candidates that we may develop;</w:t>
      </w:r>
    </w:p>
    <w:p>
      <w:pPr>
        <w:spacing w:after="0" w:line="146" w:lineRule="exact"/>
        <w:rPr>
          <w:sz w:val="20"/>
          <w:szCs w:val="20"/>
          <w:color w:val="auto"/>
        </w:rPr>
      </w:pPr>
    </w:p>
    <w:p>
      <w:pPr>
        <w:jc w:val="both"/>
        <w:ind w:left="840" w:right="340"/>
        <w:spacing w:after="0" w:line="461" w:lineRule="auto"/>
        <w:rPr>
          <w:sz w:val="20"/>
          <w:szCs w:val="20"/>
          <w:color w:val="auto"/>
        </w:rPr>
      </w:pPr>
      <w:r>
        <w:rPr>
          <w:rFonts w:ascii="Arial" w:cs="Arial" w:eastAsia="Arial" w:hAnsi="Arial"/>
          <w:sz w:val="17"/>
          <w:szCs w:val="17"/>
          <w:b w:val="1"/>
          <w:bCs w:val="1"/>
          <w:color w:val="auto"/>
        </w:rPr>
        <w:t>commencement or termination of collaborations for our product development and research programs; failure to achieve development, regulatory, or commercialization milestones under our collaborations; failure or discontinuation of any of our product development and research programs;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86</w:t>
      </w:r>
    </w:p>
    <w:p>
      <w:pPr>
        <w:sectPr>
          <w:pgSz w:w="12240" w:h="15840" w:orient="portrait"/>
          <w:cols w:equalWidth="0" w:num="1">
            <w:col w:w="9360"/>
          </w:cols>
          <w:pgMar w:left="1440" w:top="1440" w:right="1440" w:bottom="181" w:gutter="0" w:footer="0" w:header="0"/>
          <w:type w:val="continuous"/>
        </w:sectPr>
      </w:pPr>
    </w:p>
    <w:bookmarkStart w:id="88" w:name="page89"/>
    <w:bookmarkEnd w:id="88"/>
    <w:p>
      <w:pPr>
        <w:spacing w:after="0" w:line="1" w:lineRule="exact"/>
        <w:rPr>
          <w:sz w:val="20"/>
          <w:szCs w:val="20"/>
          <w:color w:val="auto"/>
        </w:rPr>
      </w:pPr>
    </w:p>
    <w:p>
      <w:pPr>
        <w:ind w:left="840" w:right="260"/>
        <w:spacing w:after="0" w:line="386" w:lineRule="auto"/>
        <w:rPr>
          <w:sz w:val="20"/>
          <w:szCs w:val="20"/>
          <w:color w:val="auto"/>
        </w:rPr>
      </w:pPr>
      <w:r>
        <w:rPr>
          <w:rFonts w:ascii="Arial" w:cs="Arial" w:eastAsia="Arial" w:hAnsi="Arial"/>
          <w:sz w:val="15"/>
          <w:szCs w:val="15"/>
          <w:b w:val="1"/>
          <w:bCs w:val="1"/>
          <w:color w:val="auto"/>
        </w:rPr>
        <w:t>results of preclinical studies, clinical trials, or regulatory approvals of product candidates of our competitors, or announcements about new research programs or product candidates of our competitors;</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regulatory or legal developments in the United States and other countries;</w:t>
      </w:r>
    </w:p>
    <w:p>
      <w:pPr>
        <w:spacing w:after="0" w:line="145" w:lineRule="exact"/>
        <w:rPr>
          <w:sz w:val="20"/>
          <w:szCs w:val="20"/>
          <w:color w:val="auto"/>
        </w:rPr>
      </w:pPr>
    </w:p>
    <w:p>
      <w:pPr>
        <w:ind w:left="840" w:right="540"/>
        <w:spacing w:after="0" w:line="369" w:lineRule="auto"/>
        <w:rPr>
          <w:sz w:val="20"/>
          <w:szCs w:val="20"/>
          <w:color w:val="auto"/>
        </w:rPr>
      </w:pPr>
      <w:r>
        <w:rPr>
          <w:rFonts w:ascii="Arial" w:cs="Arial" w:eastAsia="Arial" w:hAnsi="Arial"/>
          <w:sz w:val="20"/>
          <w:szCs w:val="20"/>
          <w:b w:val="1"/>
          <w:bCs w:val="1"/>
          <w:color w:val="auto"/>
        </w:rPr>
        <w:t>developments or disputes concerning patent applications, issued patents, or other proprietary rights; the recruitment or departure of key personnel;</w:t>
      </w:r>
    </w:p>
    <w:p>
      <w:pPr>
        <w:spacing w:after="0" w:line="22" w:lineRule="exact"/>
        <w:rPr>
          <w:sz w:val="20"/>
          <w:szCs w:val="20"/>
          <w:color w:val="auto"/>
        </w:rPr>
      </w:pPr>
    </w:p>
    <w:p>
      <w:pPr>
        <w:ind w:left="840" w:right="140"/>
        <w:spacing w:after="0" w:line="234" w:lineRule="auto"/>
        <w:rPr>
          <w:sz w:val="20"/>
          <w:szCs w:val="20"/>
          <w:color w:val="auto"/>
        </w:rPr>
      </w:pPr>
      <w:r>
        <w:rPr>
          <w:rFonts w:ascii="Arial" w:cs="Arial" w:eastAsia="Arial" w:hAnsi="Arial"/>
          <w:sz w:val="20"/>
          <w:szCs w:val="20"/>
          <w:b w:val="1"/>
          <w:bCs w:val="1"/>
          <w:color w:val="auto"/>
        </w:rPr>
        <w:t>the level of expenses related to any of our research programs, clinical development programs, or product candidates that we may develop;</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results of our efforts to develop additional product candidates or products;</w:t>
      </w:r>
    </w:p>
    <w:p>
      <w:pPr>
        <w:spacing w:after="0" w:line="142" w:lineRule="exact"/>
        <w:rPr>
          <w:sz w:val="20"/>
          <w:szCs w:val="20"/>
          <w:color w:val="auto"/>
        </w:rPr>
      </w:pPr>
    </w:p>
    <w:p>
      <w:pPr>
        <w:ind w:left="840" w:right="1260"/>
        <w:spacing w:after="0" w:line="234" w:lineRule="auto"/>
        <w:rPr>
          <w:sz w:val="20"/>
          <w:szCs w:val="20"/>
          <w:color w:val="auto"/>
        </w:rPr>
      </w:pPr>
      <w:r>
        <w:rPr>
          <w:rFonts w:ascii="Arial" w:cs="Arial" w:eastAsia="Arial" w:hAnsi="Arial"/>
          <w:sz w:val="20"/>
          <w:szCs w:val="20"/>
          <w:b w:val="1"/>
          <w:bCs w:val="1"/>
          <w:color w:val="auto"/>
        </w:rPr>
        <w:t>actual or anticipated changes in estimates as to financial results, development timelines, or recommendations by securities analysts;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announcement or expectation of additional financing efforts;</w:t>
      </w:r>
    </w:p>
    <w:p>
      <w:pPr>
        <w:spacing w:after="0" w:line="145" w:lineRule="exact"/>
        <w:rPr>
          <w:sz w:val="20"/>
          <w:szCs w:val="20"/>
          <w:color w:val="auto"/>
        </w:rPr>
      </w:pPr>
    </w:p>
    <w:p>
      <w:pPr>
        <w:ind w:left="840" w:right="160"/>
        <w:spacing w:after="0" w:line="234" w:lineRule="auto"/>
        <w:rPr>
          <w:sz w:val="20"/>
          <w:szCs w:val="20"/>
          <w:color w:val="auto"/>
        </w:rPr>
      </w:pPr>
      <w:r>
        <w:rPr>
          <w:rFonts w:ascii="Arial" w:cs="Arial" w:eastAsia="Arial" w:hAnsi="Arial"/>
          <w:sz w:val="20"/>
          <w:szCs w:val="20"/>
          <w:b w:val="1"/>
          <w:bCs w:val="1"/>
          <w:color w:val="auto"/>
        </w:rPr>
        <w:t>sales of our common stock by us, our insiders, or other stockholders, such as if we use our at-the-market facility;</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expiration of market standoff or lock-up agreements;</w:t>
      </w:r>
    </w:p>
    <w:p>
      <w:pPr>
        <w:spacing w:after="0" w:line="142" w:lineRule="exact"/>
        <w:rPr>
          <w:sz w:val="20"/>
          <w:szCs w:val="20"/>
          <w:color w:val="auto"/>
        </w:rPr>
      </w:pPr>
    </w:p>
    <w:p>
      <w:pPr>
        <w:ind w:left="840" w:right="1060"/>
        <w:spacing w:after="0" w:line="423" w:lineRule="auto"/>
        <w:rPr>
          <w:sz w:val="20"/>
          <w:szCs w:val="20"/>
          <w:color w:val="auto"/>
        </w:rPr>
      </w:pPr>
      <w:r>
        <w:rPr>
          <w:rFonts w:ascii="Arial" w:cs="Arial" w:eastAsia="Arial" w:hAnsi="Arial"/>
          <w:sz w:val="18"/>
          <w:szCs w:val="18"/>
          <w:b w:val="1"/>
          <w:bCs w:val="1"/>
          <w:color w:val="auto"/>
        </w:rPr>
        <w:t>variations in our financial results or those of companies that are perceived to be similar to us; changes in estimates or recommendations by securities analysts, if any, that cover our stock; changes in the structure of healthcare payment systems;</w:t>
      </w:r>
    </w:p>
    <w:p>
      <w:pPr>
        <w:ind w:left="480"/>
        <w:spacing w:after="0"/>
        <w:rPr>
          <w:sz w:val="20"/>
          <w:szCs w:val="20"/>
          <w:color w:val="auto"/>
        </w:rPr>
      </w:pPr>
      <w:r>
        <w:rPr>
          <w:rFonts w:ascii="Arial" w:cs="Arial" w:eastAsia="Arial" w:hAnsi="Arial"/>
          <w:sz w:val="20"/>
          <w:szCs w:val="20"/>
          <w:b w:val="1"/>
          <w:bCs w:val="1"/>
          <w:color w:val="auto"/>
        </w:rPr>
        <w:t>market conditions in the pharmaceutical and biotechnology sectors;</w:t>
      </w:r>
    </w:p>
    <w:p>
      <w:pPr>
        <w:spacing w:after="0" w:line="145" w:lineRule="exact"/>
        <w:rPr>
          <w:sz w:val="20"/>
          <w:szCs w:val="20"/>
          <w:color w:val="auto"/>
        </w:rPr>
      </w:pPr>
    </w:p>
    <w:p>
      <w:pPr>
        <w:ind w:left="840" w:right="560"/>
        <w:spacing w:after="0" w:line="234" w:lineRule="auto"/>
        <w:rPr>
          <w:sz w:val="20"/>
          <w:szCs w:val="20"/>
          <w:color w:val="auto"/>
        </w:rPr>
      </w:pPr>
      <w:r>
        <w:rPr>
          <w:rFonts w:ascii="Arial" w:cs="Arial" w:eastAsia="Arial" w:hAnsi="Arial"/>
          <w:sz w:val="20"/>
          <w:szCs w:val="20"/>
          <w:b w:val="1"/>
          <w:bCs w:val="1"/>
          <w:color w:val="auto"/>
        </w:rPr>
        <w:t>general economic, political, industry, and market conditions, including a rising rate of inflation or a period of economic recession; and</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other factors described in this “Risk Factors” section.</w:t>
      </w:r>
    </w:p>
    <w:p>
      <w:pPr>
        <w:spacing w:after="0" w:line="154" w:lineRule="exact"/>
        <w:rPr>
          <w:sz w:val="20"/>
          <w:szCs w:val="20"/>
          <w:color w:val="auto"/>
        </w:rPr>
      </w:pPr>
    </w:p>
    <w:p>
      <w:pPr>
        <w:ind w:right="140" w:firstLine="490"/>
        <w:spacing w:after="0" w:line="268" w:lineRule="auto"/>
        <w:rPr>
          <w:sz w:val="20"/>
          <w:szCs w:val="20"/>
          <w:color w:val="auto"/>
        </w:rPr>
      </w:pPr>
      <w:r>
        <w:rPr>
          <w:rFonts w:ascii="Arial" w:cs="Arial" w:eastAsia="Arial" w:hAnsi="Arial"/>
          <w:sz w:val="18"/>
          <w:szCs w:val="18"/>
          <w:b w:val="1"/>
          <w:bCs w:val="1"/>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such as inflationary concerns,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3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If securities analysts do not publish research or reports about our business or if they publish negative evaluations of our stock, the price of our stock could decline.</w:t>
      </w:r>
    </w:p>
    <w:p>
      <w:pPr>
        <w:spacing w:after="0" w:line="130" w:lineRule="exact"/>
        <w:rPr>
          <w:sz w:val="20"/>
          <w:szCs w:val="20"/>
          <w:color w:val="auto"/>
        </w:rPr>
      </w:pPr>
    </w:p>
    <w:p>
      <w:pPr>
        <w:ind w:right="20" w:firstLine="490"/>
        <w:spacing w:after="0" w:line="290" w:lineRule="auto"/>
        <w:rPr>
          <w:sz w:val="20"/>
          <w:szCs w:val="20"/>
          <w:color w:val="auto"/>
        </w:rPr>
      </w:pPr>
      <w:r>
        <w:rPr>
          <w:rFonts w:ascii="Arial" w:cs="Arial" w:eastAsia="Arial" w:hAnsi="Arial"/>
          <w:sz w:val="17"/>
          <w:szCs w:val="17"/>
          <w:b w:val="1"/>
          <w:bCs w:val="1"/>
          <w:color w:val="auto"/>
        </w:rPr>
        <w:t>The trading market for our common stock relies in part on the research and reports that industry or financial analysts publish about us or our business. If one or more of the analysts covering our business cease to cover us or downgrade their evaluations of our stock or if we fail to meet their operating results estimates for us, the price of our stock could decline. If one or more of these analysts cease to cover our stock, we could lose visibility in the market for our stock, which in turn could cause our stock price to decline.</w:t>
      </w:r>
    </w:p>
    <w:p>
      <w:pPr>
        <w:spacing w:after="0" w:line="211"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b w:val="1"/>
          <w:bCs w:val="1"/>
          <w:color w:val="auto"/>
        </w:rPr>
        <w:t>Sales of substantial amounts of our common stock in the public markets, or the perception that such sales might occur, could cause the market price of our common stock to decline significantly, even if our business is doing well.</w:t>
      </w:r>
    </w:p>
    <w:p>
      <w:pPr>
        <w:spacing w:after="0" w:line="133" w:lineRule="exact"/>
        <w:rPr>
          <w:sz w:val="20"/>
          <w:szCs w:val="20"/>
          <w:color w:val="auto"/>
        </w:rPr>
      </w:pPr>
    </w:p>
    <w:p>
      <w:pPr>
        <w:ind w:right="40" w:firstLine="490"/>
        <w:spacing w:after="0" w:line="297" w:lineRule="auto"/>
        <w:rPr>
          <w:sz w:val="20"/>
          <w:szCs w:val="20"/>
          <w:color w:val="auto"/>
        </w:rPr>
      </w:pPr>
      <w:r>
        <w:rPr>
          <w:rFonts w:ascii="Arial" w:cs="Arial" w:eastAsia="Arial" w:hAnsi="Arial"/>
          <w:sz w:val="17"/>
          <w:szCs w:val="17"/>
          <w:b w:val="1"/>
          <w:bCs w:val="1"/>
          <w:color w:val="auto"/>
        </w:rPr>
        <w:t>Sales of a substantial number of shares of our common stock in the public market could occur at any time. If our stockholders sell, or the market perceives that our stockholders intend to sell, substantial amount of our common stock in the public market, the market price of our common stock could decline significantly.</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9360"/>
          </w:cols>
          <w:pgMar w:left="1440" w:top="1440" w:right="1440" w:bottom="181" w:gutter="0" w:footer="0" w:header="0"/>
          <w:type w:val="continuous"/>
        </w:sectPr>
      </w:pPr>
    </w:p>
    <w:bookmarkStart w:id="89" w:name="page90"/>
    <w:bookmarkEnd w:id="89"/>
    <w:p>
      <w:pPr>
        <w:spacing w:after="0" w:line="10" w:lineRule="exact"/>
        <w:rPr>
          <w:sz w:val="20"/>
          <w:szCs w:val="20"/>
          <w:color w:val="auto"/>
        </w:rPr>
      </w:pPr>
    </w:p>
    <w:p>
      <w:pPr>
        <w:ind w:right="120" w:firstLine="490"/>
        <w:spacing w:after="0" w:line="252" w:lineRule="auto"/>
        <w:rPr>
          <w:sz w:val="20"/>
          <w:szCs w:val="20"/>
          <w:color w:val="auto"/>
        </w:rPr>
      </w:pPr>
      <w:r>
        <w:rPr>
          <w:rFonts w:ascii="Arial" w:cs="Arial" w:eastAsia="Arial" w:hAnsi="Arial"/>
          <w:sz w:val="19"/>
          <w:szCs w:val="19"/>
          <w:b w:val="1"/>
          <w:bCs w:val="1"/>
          <w:color w:val="auto"/>
        </w:rPr>
        <w:t>Certain holders of shares of our common stock may, in the future, have rights that may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244" w:lineRule="exact"/>
        <w:rPr>
          <w:sz w:val="20"/>
          <w:szCs w:val="20"/>
          <w:color w:val="auto"/>
        </w:rPr>
      </w:pPr>
    </w:p>
    <w:p>
      <w:pPr>
        <w:jc w:val="both"/>
        <w:ind w:right="340"/>
        <w:spacing w:after="0" w:line="235" w:lineRule="auto"/>
        <w:rPr>
          <w:sz w:val="20"/>
          <w:szCs w:val="20"/>
          <w:color w:val="auto"/>
        </w:rPr>
      </w:pPr>
      <w:r>
        <w:rPr>
          <w:rFonts w:ascii="Arial" w:cs="Arial" w:eastAsia="Arial" w:hAnsi="Arial"/>
          <w:sz w:val="20"/>
          <w:szCs w:val="20"/>
          <w:b w:val="1"/>
          <w:b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33" w:lineRule="exact"/>
        <w:rPr>
          <w:sz w:val="20"/>
          <w:szCs w:val="20"/>
          <w:color w:val="auto"/>
        </w:rPr>
      </w:pPr>
    </w:p>
    <w:p>
      <w:pPr>
        <w:ind w:right="180" w:firstLine="490"/>
        <w:spacing w:after="0" w:line="332" w:lineRule="auto"/>
        <w:rPr>
          <w:sz w:val="20"/>
          <w:szCs w:val="20"/>
          <w:color w:val="auto"/>
        </w:rPr>
      </w:pPr>
      <w:r>
        <w:rPr>
          <w:rFonts w:ascii="Arial" w:cs="Arial" w:eastAsia="Arial" w:hAnsi="Arial"/>
          <w:sz w:val="15"/>
          <w:szCs w:val="15"/>
          <w:b w:val="1"/>
          <w:bCs w:val="1"/>
          <w:color w:val="auto"/>
        </w:rPr>
        <w:t>Our common stock is currently listed for trading on The Nasdaq Global Select Market. We must satisfy Nasdaq’s continued listing requirements, including a minimum bid price for our common stock of $1.00 per share. Given the current market environment and despite our cash position, our common stock has traded for less than $1.00 per share, during the second quarter of 2025, and our aggregate market capitalization over the last several quarters has valued below the total value of our cash, cash equivalents, and investments. If we do not meet these requirements, we risk possible delisting from Nasdaq, which could have a material adverse effect on our business.</w:t>
      </w:r>
    </w:p>
    <w:p>
      <w:pPr>
        <w:spacing w:after="0" w:line="68" w:lineRule="exact"/>
        <w:rPr>
          <w:sz w:val="20"/>
          <w:szCs w:val="20"/>
          <w:color w:val="auto"/>
        </w:rPr>
      </w:pPr>
    </w:p>
    <w:p>
      <w:pPr>
        <w:ind w:right="60" w:firstLine="490"/>
        <w:spacing w:after="0" w:line="342" w:lineRule="auto"/>
        <w:rPr>
          <w:sz w:val="20"/>
          <w:szCs w:val="20"/>
          <w:color w:val="auto"/>
        </w:rPr>
      </w:pPr>
      <w:r>
        <w:rPr>
          <w:rFonts w:ascii="Arial" w:cs="Arial" w:eastAsia="Arial" w:hAnsi="Arial"/>
          <w:sz w:val="15"/>
          <w:szCs w:val="15"/>
          <w:b w:val="1"/>
          <w:bCs w:val="1"/>
          <w:color w:val="auto"/>
        </w:rPr>
        <w:t>A delisting could make it more difficult to buy or sell our securities and to obtain accurate quotations, and the price of our common stock could be adversely affected. In addition, a delisting would impair our ability to raise capital through the public markets, could deter broker-dealers from making a market in or otherwise seeking or generating interest in our securities, and might deter certain institutions and persons from investing in our securities.</w:t>
      </w:r>
    </w:p>
    <w:p>
      <w:pPr>
        <w:spacing w:after="0" w:line="178"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Raising additional capital may cause dilution to our existing stockholders, restrict our operations, or require us to relinquish rights to our technologies or product candidates.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We may seek additional capital through a combination of public and private equity offerings, debt financings,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partnerships and alliances, and licensing arrangements. We, and indirectly, our stockholders, will bear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issuing and servicing such securities. Because our decision to issue debt or equity securities in any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will depend on market conditions and other factors beyond our control, we cannot predict or estimate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 timing, or nature of any future offerings. To the extent that we raise additional capital through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or debt securities, the ownership interest of stockholders will be diluted, and the terms may include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or other preferences that adversely affect the rights of stockholders. The incurrence of indebtedness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would result in increased fixed payment obligations and could involve restrictive covenants, such as limitations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incur additional debt, limitations on our ability to acquire, sell, or license intellectual property rights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and other operating restrictions that could adversely impact our ability to conduct our business. We have an omnibus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shelf registration statement on Form S-3 with the SEC, which became effective on May 1, 2023, which permits us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up to $400 million in common stock, other equity securities and/or debt securities. On November 7, 2023, we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entered into an at-the-market sales agreement with TD Securities (USA) LLC (TD Securities, formerly known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Cowen and Company, LLC) pursuant to which we may offer and sell from time to time through TD Securities up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$125,000,000 of shares of our common stock, in such share amounts as we may specify by notice to TD Securities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Sales Agreement). As of December 31, 2025, we have issued 7,110,162 shares and received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 million in net proceeds from the sale of securities pursuant to the Sales Agreement. On January 17, 2024, we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entered into an underwriting agreement with Cantor, pursuant to which we offered and sold 10,869,566 shares of the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Company’s common stock at a price per share of $6.57 paid by Cantor. Additionally, any future collaborations we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 into with third parties may provide capital in the near term but limit our potential cash flow and revenue in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future. If we raise additional funds through strategic partnerships and alliances and licensing arrangements with third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 we may have to relinquish valuable rights to our technologies or product candidates, or grant licenses 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unfavorable to us.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Additionally, on November 14, 2024, we entered into the Loan Agreement with Lenders and Hercules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which we may access up to two tranches of term loans in an aggregate principal amount of up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$50,000,000. The initial tranche of Term Loans provides for an aggregate principal amount of up to $25,000,000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through June 30, 2026, subject to the satisfaction of certain conditions. The second tranche of Term Loans provides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up to $25,000,000 and is available at the sole discretion of the Lenders. We borrowed $10,000,000 principal</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 of the initial tranche of Term Loans on the closing date of the Loan Agreement.</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88</w:t>
      </w:r>
    </w:p>
    <w:p>
      <w:pPr>
        <w:sectPr>
          <w:pgSz w:w="12240" w:h="15840" w:orient="portrait"/>
          <w:cols w:equalWidth="0" w:num="1">
            <w:col w:w="9360"/>
          </w:cols>
          <w:pgMar w:left="1440" w:top="1440" w:right="1440" w:bottom="181" w:gutter="0" w:footer="0" w:header="0"/>
          <w:type w:val="continuous"/>
        </w:sectPr>
      </w:pPr>
    </w:p>
    <w:bookmarkStart w:id="90" w:name="page91"/>
    <w:bookmarkEnd w:id="90"/>
    <w:p>
      <w:pPr>
        <w:spacing w:after="0" w:line="10" w:lineRule="exact"/>
        <w:rPr>
          <w:sz w:val="20"/>
          <w:szCs w:val="20"/>
          <w:color w:val="auto"/>
        </w:rPr>
      </w:pPr>
    </w:p>
    <w:p>
      <w:pPr>
        <w:ind w:right="680"/>
        <w:spacing w:after="0" w:line="234" w:lineRule="auto"/>
        <w:rPr>
          <w:sz w:val="20"/>
          <w:szCs w:val="20"/>
          <w:color w:val="auto"/>
        </w:rPr>
      </w:pPr>
      <w:r>
        <w:rPr>
          <w:rFonts w:ascii="Arial" w:cs="Arial" w:eastAsia="Arial" w:hAnsi="Arial"/>
          <w:sz w:val="20"/>
          <w:szCs w:val="20"/>
          <w:b w:val="1"/>
          <w:bCs w:val="1"/>
          <w:color w:val="auto"/>
        </w:rPr>
        <w:t>Our principal stockholders and management own a significant percentage of our stock and will be able to exercise significant influence over matters subject to stockholder approval.</w:t>
      </w:r>
    </w:p>
    <w:p>
      <w:pPr>
        <w:spacing w:after="0" w:line="130" w:lineRule="exact"/>
        <w:rPr>
          <w:sz w:val="20"/>
          <w:szCs w:val="20"/>
          <w:color w:val="auto"/>
        </w:rPr>
      </w:pPr>
    </w:p>
    <w:p>
      <w:pPr>
        <w:ind w:firstLine="490"/>
        <w:spacing w:after="0" w:line="287" w:lineRule="auto"/>
        <w:rPr>
          <w:sz w:val="20"/>
          <w:szCs w:val="20"/>
          <w:color w:val="auto"/>
        </w:rPr>
      </w:pPr>
      <w:r>
        <w:rPr>
          <w:rFonts w:ascii="Arial" w:cs="Arial" w:eastAsia="Arial" w:hAnsi="Arial"/>
          <w:sz w:val="17"/>
          <w:szCs w:val="17"/>
          <w:b w:val="1"/>
          <w:bCs w:val="1"/>
          <w:color w:val="auto"/>
        </w:rPr>
        <w:t>Our directors, executive officers, holders of more than 5% of our outstanding stock and their respective affiliates beneficially own 29.4% of our outstanding common stock as of February 20, 2026.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14" w:lineRule="exact"/>
        <w:rPr>
          <w:sz w:val="20"/>
          <w:szCs w:val="20"/>
          <w:color w:val="auto"/>
        </w:rPr>
      </w:pPr>
    </w:p>
    <w:p>
      <w:pPr>
        <w:jc w:val="both"/>
        <w:ind w:right="480"/>
        <w:spacing w:after="0" w:line="236" w:lineRule="auto"/>
        <w:rPr>
          <w:sz w:val="20"/>
          <w:szCs w:val="20"/>
          <w:color w:val="auto"/>
        </w:rPr>
      </w:pPr>
      <w:r>
        <w:rPr>
          <w:rFonts w:ascii="Arial" w:cs="Arial" w:eastAsia="Arial" w:hAnsi="Arial"/>
          <w:sz w:val="20"/>
          <w:szCs w:val="20"/>
          <w:b w:val="1"/>
          <w:bCs w:val="1"/>
          <w:color w:val="auto"/>
        </w:rPr>
        <w:t>We have incurred and will continue to incur significant additional costs as a result of operating as a public company, and our management will be required to devote substantial time to new compliance initiatives and corporate governance practices.</w:t>
      </w:r>
    </w:p>
    <w:p>
      <w:pPr>
        <w:spacing w:after="0" w:line="133" w:lineRule="exact"/>
        <w:rPr>
          <w:sz w:val="20"/>
          <w:szCs w:val="20"/>
          <w:color w:val="auto"/>
        </w:rPr>
      </w:pPr>
    </w:p>
    <w:p>
      <w:pPr>
        <w:ind w:right="20" w:firstLine="490"/>
        <w:spacing w:after="0" w:line="284" w:lineRule="auto"/>
        <w:rPr>
          <w:sz w:val="20"/>
          <w:szCs w:val="20"/>
          <w:color w:val="auto"/>
        </w:rPr>
      </w:pPr>
      <w:r>
        <w:rPr>
          <w:rFonts w:ascii="Arial" w:cs="Arial" w:eastAsia="Arial" w:hAnsi="Arial"/>
          <w:sz w:val="17"/>
          <w:szCs w:val="17"/>
          <w:b w:val="1"/>
          <w:bCs w:val="1"/>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hired, and expect that we will need to continue to hire, additional accounting, finance, and other personnel in connection with our being, and our efforts to comply with the requirements of being, a public company, and our management and other personnel have devoted and will continue to devote a substantial amount of time towards maintaining compliance with these requirements. These requirements have increased and will continue to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6"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If we are unable to maintain effective internal controls, our business, financial position, and results of operations could be adversely affected.</w:t>
      </w:r>
    </w:p>
    <w:p>
      <w:pPr>
        <w:spacing w:after="0" w:line="130" w:lineRule="exact"/>
        <w:rPr>
          <w:sz w:val="20"/>
          <w:szCs w:val="20"/>
          <w:color w:val="auto"/>
        </w:rPr>
      </w:pPr>
    </w:p>
    <w:p>
      <w:pPr>
        <w:ind w:right="40" w:firstLine="490"/>
        <w:spacing w:after="0" w:line="292" w:lineRule="auto"/>
        <w:rPr>
          <w:sz w:val="20"/>
          <w:szCs w:val="20"/>
          <w:color w:val="auto"/>
        </w:rPr>
      </w:pPr>
      <w:r>
        <w:rPr>
          <w:rFonts w:ascii="Arial" w:cs="Arial" w:eastAsia="Arial" w:hAnsi="Arial"/>
          <w:sz w:val="17"/>
          <w:szCs w:val="17"/>
          <w:b w:val="1"/>
          <w:bCs w:val="1"/>
          <w:color w:val="auto"/>
        </w:rPr>
        <w:t>As a public company, we are subject to reporting and other obligations under the Exchange Act, including the requirements of Sarbanes-Oxley Act Section 404(a), which require annual management assessments of the effectiveness of our internal control over financial reporting. Section 404(b) of the Sarbanes-Oxley Act also requires our independent auditors to attest to, and report on, this management assessment.</w:t>
      </w:r>
    </w:p>
    <w:p>
      <w:pPr>
        <w:spacing w:after="0" w:line="90"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operations are subject to the effects of inflation.</w:t>
      </w:r>
    </w:p>
    <w:p>
      <w:pPr>
        <w:spacing w:after="0" w:line="131" w:lineRule="exact"/>
        <w:rPr>
          <w:sz w:val="20"/>
          <w:szCs w:val="20"/>
          <w:color w:val="auto"/>
        </w:rPr>
      </w:pPr>
    </w:p>
    <w:p>
      <w:pPr>
        <w:ind w:firstLine="490"/>
        <w:spacing w:after="0" w:line="386" w:lineRule="auto"/>
        <w:rPr>
          <w:sz w:val="20"/>
          <w:szCs w:val="20"/>
          <w:color w:val="auto"/>
        </w:rPr>
      </w:pPr>
      <w:r>
        <w:rPr>
          <w:rFonts w:ascii="Arial" w:cs="Arial" w:eastAsia="Arial" w:hAnsi="Arial"/>
          <w:sz w:val="15"/>
          <w:szCs w:val="15"/>
          <w:b w:val="1"/>
          <w:bCs w:val="1"/>
          <w:color w:val="auto"/>
        </w:rPr>
        <w:t>The United States has previously experienced historically high levels of inflation. If the inflation rate increases in the future, particularly due to trade tariffs imposed by the United States on global trade partners, it will affect our</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9360"/>
          </w:cols>
          <w:pgMar w:left="1440" w:top="1440" w:right="1440" w:bottom="181" w:gutter="0" w:footer="0" w:header="0"/>
          <w:type w:val="continuous"/>
        </w:sectPr>
      </w:pPr>
    </w:p>
    <w:bookmarkStart w:id="91" w:name="page92"/>
    <w:bookmarkEnd w:id="91"/>
    <w:p>
      <w:pPr>
        <w:spacing w:after="0" w:line="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expenses, such as employee compensation and research and development charges. Even if the rate of inflation does not increase, past inflation may still affect our expenses, such as employee compensation and research and development charges. Research and development expenses account for a significant portion of our operating expenses. Such increased charges may not be readily recoverable during the period of time that we are bringing the product candidates to market. Additionally, the United States is experiencing an acute workforce shortage, which in turn, may impact wages and the Company’s operating costs. To the extent inflation results in rising interest rates and has other adverse effects on the market, it may adversely affect our consolidated financial condition and results of operations.</w:t>
      </w:r>
    </w:p>
    <w:p>
      <w:pPr>
        <w:spacing w:after="0" w:line="229" w:lineRule="exact"/>
        <w:rPr>
          <w:sz w:val="20"/>
          <w:szCs w:val="20"/>
          <w:color w:val="auto"/>
        </w:rPr>
      </w:pPr>
    </w:p>
    <w:p>
      <w:pPr>
        <w:ind w:right="320"/>
        <w:spacing w:after="0" w:line="386" w:lineRule="auto"/>
        <w:rPr>
          <w:sz w:val="20"/>
          <w:szCs w:val="20"/>
          <w:color w:val="auto"/>
        </w:rPr>
      </w:pPr>
      <w:r>
        <w:rPr>
          <w:rFonts w:ascii="Arial" w:cs="Arial" w:eastAsia="Arial" w:hAnsi="Arial"/>
          <w:sz w:val="15"/>
          <w:szCs w:val="15"/>
          <w:b w:val="1"/>
          <w:bCs w:val="1"/>
          <w:color w:val="auto"/>
        </w:rPr>
        <w:t>Market conditions and changing circumstances, some of which may be beyond our control, could impair our ability to access our existing cash, cash equivalents and investments and to timely pay key vendors and others.</w:t>
      </w:r>
    </w:p>
    <w:p>
      <w:pPr>
        <w:spacing w:after="0" w:line="26" w:lineRule="exact"/>
        <w:rPr>
          <w:sz w:val="20"/>
          <w:szCs w:val="20"/>
          <w:color w:val="auto"/>
        </w:rPr>
      </w:pPr>
    </w:p>
    <w:p>
      <w:pPr>
        <w:ind w:right="40" w:firstLine="490"/>
        <w:spacing w:after="0" w:line="285" w:lineRule="auto"/>
        <w:rPr>
          <w:sz w:val="20"/>
          <w:szCs w:val="20"/>
          <w:color w:val="auto"/>
        </w:rPr>
      </w:pPr>
      <w:r>
        <w:rPr>
          <w:rFonts w:ascii="Arial" w:cs="Arial" w:eastAsia="Arial" w:hAnsi="Arial"/>
          <w:sz w:val="17"/>
          <w:szCs w:val="17"/>
          <w:b w:val="1"/>
          <w:bCs w:val="1"/>
          <w:color w:val="auto"/>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immaterial deposit accounts at the time,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spacing w:after="0" w:line="214"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b w:val="1"/>
          <w:bCs w:val="1"/>
          <w:color w:val="auto"/>
        </w:rPr>
        <w:t>We do not expect to pay any dividends for the foreseeable future. Investors may never obtain a return on their investment.</w:t>
      </w:r>
    </w:p>
    <w:p>
      <w:pPr>
        <w:spacing w:after="0" w:line="132"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Investors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We are also prohibited from declaring or paying any cash dividends under our Loan Agreement. As a result, investors seeking cash dividends should not purchase our common stock.</w:t>
      </w:r>
    </w:p>
    <w:p>
      <w:pPr>
        <w:spacing w:after="0" w:line="229"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133" w:lineRule="exact"/>
        <w:rPr>
          <w:sz w:val="20"/>
          <w:szCs w:val="20"/>
          <w:color w:val="auto"/>
        </w:rPr>
      </w:pPr>
    </w:p>
    <w:p>
      <w:pPr>
        <w:ind w:right="200" w:firstLine="490"/>
        <w:spacing w:after="0" w:line="238" w:lineRule="auto"/>
        <w:rPr>
          <w:sz w:val="20"/>
          <w:szCs w:val="20"/>
          <w:color w:val="auto"/>
        </w:rPr>
      </w:pPr>
      <w:r>
        <w:rPr>
          <w:rFonts w:ascii="Arial" w:cs="Arial" w:eastAsia="Arial" w:hAnsi="Arial"/>
          <w:sz w:val="20"/>
          <w:szCs w:val="20"/>
          <w:b w:val="1"/>
          <w:bCs w:val="1"/>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123" w:lineRule="exact"/>
        <w:rPr>
          <w:sz w:val="20"/>
          <w:szCs w:val="20"/>
          <w:color w:val="auto"/>
        </w:rPr>
      </w:pPr>
    </w:p>
    <w:p>
      <w:pPr>
        <w:ind w:left="1100" w:right="240"/>
        <w:spacing w:after="0" w:line="234" w:lineRule="auto"/>
        <w:rPr>
          <w:sz w:val="20"/>
          <w:szCs w:val="20"/>
          <w:color w:val="auto"/>
        </w:rPr>
      </w:pPr>
      <w:r>
        <w:rPr>
          <w:rFonts w:ascii="Arial" w:cs="Arial" w:eastAsia="Arial" w:hAnsi="Arial"/>
          <w:sz w:val="20"/>
          <w:szCs w:val="20"/>
          <w:b w:val="1"/>
          <w:bCs w:val="1"/>
          <w:color w:val="auto"/>
        </w:rPr>
        <w:t>establish that our board of directors is divided into three classes, Class I, Class II, and Class III, with each class serving staggered three-year terms;</w:t>
      </w:r>
    </w:p>
    <w:p>
      <w:pPr>
        <w:spacing w:after="0" w:line="146" w:lineRule="exact"/>
        <w:rPr>
          <w:sz w:val="20"/>
          <w:szCs w:val="20"/>
          <w:color w:val="auto"/>
        </w:rPr>
      </w:pPr>
    </w:p>
    <w:p>
      <w:pPr>
        <w:ind w:left="1100" w:right="240"/>
        <w:spacing w:after="0" w:line="233" w:lineRule="auto"/>
        <w:rPr>
          <w:sz w:val="20"/>
          <w:szCs w:val="20"/>
          <w:color w:val="auto"/>
        </w:rPr>
      </w:pPr>
      <w:r>
        <w:rPr>
          <w:rFonts w:ascii="Arial" w:cs="Arial" w:eastAsia="Arial" w:hAnsi="Arial"/>
          <w:sz w:val="20"/>
          <w:szCs w:val="20"/>
          <w:b w:val="1"/>
          <w:bCs w:val="1"/>
          <w:color w:val="auto"/>
        </w:rPr>
        <w:t>provide that vacancies on our board of directors may be filled only by a majority of directors then in office, even though less than a quorum;</w:t>
      </w:r>
    </w:p>
    <w:p>
      <w:pPr>
        <w:spacing w:after="0" w:line="146" w:lineRule="exact"/>
        <w:rPr>
          <w:sz w:val="20"/>
          <w:szCs w:val="20"/>
          <w:color w:val="auto"/>
        </w:rPr>
      </w:pPr>
    </w:p>
    <w:p>
      <w:pPr>
        <w:ind w:left="1100" w:right="3620"/>
        <w:spacing w:after="0" w:line="572" w:lineRule="auto"/>
        <w:rPr>
          <w:sz w:val="20"/>
          <w:szCs w:val="20"/>
          <w:color w:val="auto"/>
        </w:rPr>
      </w:pPr>
      <w:r>
        <w:rPr>
          <w:rFonts w:ascii="Arial" w:cs="Arial" w:eastAsia="Arial" w:hAnsi="Arial"/>
          <w:sz w:val="15"/>
          <w:szCs w:val="15"/>
          <w:b w:val="1"/>
          <w:bCs w:val="1"/>
          <w:color w:val="auto"/>
        </w:rPr>
        <w:t>provide that our directors may only be removed for cause; eliminate cumulative voting in the election of directors;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w:t>
      </w:r>
    </w:p>
    <w:p>
      <w:pPr>
        <w:sectPr>
          <w:pgSz w:w="12240" w:h="15840" w:orient="portrait"/>
          <w:cols w:equalWidth="0" w:num="1">
            <w:col w:w="9360"/>
          </w:cols>
          <w:pgMar w:left="1440" w:top="1440" w:right="1440" w:bottom="181" w:gutter="0" w:footer="0" w:header="0"/>
          <w:type w:val="continuous"/>
        </w:sectPr>
      </w:pPr>
    </w:p>
    <w:bookmarkStart w:id="92" w:name="page93"/>
    <w:bookmarkEnd w:id="92"/>
    <w:p>
      <w:pPr>
        <w:spacing w:after="0" w:line="1" w:lineRule="exact"/>
        <w:rPr>
          <w:sz w:val="20"/>
          <w:szCs w:val="20"/>
          <w:color w:val="auto"/>
        </w:rPr>
      </w:pPr>
    </w:p>
    <w:p>
      <w:pPr>
        <w:ind w:left="1100" w:right="320"/>
        <w:spacing w:after="0" w:line="386" w:lineRule="auto"/>
        <w:rPr>
          <w:sz w:val="20"/>
          <w:szCs w:val="20"/>
          <w:color w:val="auto"/>
        </w:rPr>
      </w:pPr>
      <w:r>
        <w:rPr>
          <w:rFonts w:ascii="Arial" w:cs="Arial" w:eastAsia="Arial" w:hAnsi="Arial"/>
          <w:sz w:val="15"/>
          <w:szCs w:val="15"/>
          <w:b w:val="1"/>
          <w:bCs w:val="1"/>
          <w:color w:val="auto"/>
        </w:rPr>
        <w:t>authorize our board of directors to issue shares of preferred stock and determine the price and other terms of those shares, including preferences and voting rights, without stockholder approval;</w:t>
      </w:r>
    </w:p>
    <w:p>
      <w:pPr>
        <w:spacing w:after="0" w:line="38" w:lineRule="exact"/>
        <w:rPr>
          <w:sz w:val="20"/>
          <w:szCs w:val="20"/>
          <w:color w:val="auto"/>
        </w:rPr>
      </w:pPr>
    </w:p>
    <w:p>
      <w:pPr>
        <w:ind w:left="1100" w:right="400"/>
        <w:spacing w:after="0" w:line="234" w:lineRule="auto"/>
        <w:rPr>
          <w:sz w:val="20"/>
          <w:szCs w:val="20"/>
          <w:color w:val="auto"/>
        </w:rPr>
      </w:pPr>
      <w:r>
        <w:rPr>
          <w:rFonts w:ascii="Arial" w:cs="Arial" w:eastAsia="Arial" w:hAnsi="Arial"/>
          <w:sz w:val="20"/>
          <w:szCs w:val="20"/>
          <w:b w:val="1"/>
          <w:bCs w:val="1"/>
          <w:color w:val="auto"/>
        </w:rPr>
        <w:t>provide our board of directors with the exclusive right to elect a director to fill a vacancy or newly created directorship;</w:t>
      </w:r>
    </w:p>
    <w:p>
      <w:pPr>
        <w:spacing w:after="0" w:line="146" w:lineRule="exact"/>
        <w:rPr>
          <w:sz w:val="20"/>
          <w:szCs w:val="20"/>
          <w:color w:val="auto"/>
        </w:rPr>
      </w:pPr>
    </w:p>
    <w:p>
      <w:pPr>
        <w:ind w:left="1100" w:right="200"/>
        <w:spacing w:after="0" w:line="234" w:lineRule="auto"/>
        <w:rPr>
          <w:sz w:val="20"/>
          <w:szCs w:val="20"/>
          <w:color w:val="auto"/>
        </w:rPr>
      </w:pPr>
      <w:r>
        <w:rPr>
          <w:rFonts w:ascii="Arial" w:cs="Arial" w:eastAsia="Arial" w:hAnsi="Arial"/>
          <w:sz w:val="20"/>
          <w:szCs w:val="20"/>
          <w:b w:val="1"/>
          <w:bCs w:val="1"/>
          <w:color w:val="auto"/>
        </w:rPr>
        <w:t>permit stockholders to only take actions at a duly called annual or special meeting and not by written consent;</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prohibit stockholders from calling a special meeting of stockholders;</w:t>
      </w:r>
    </w:p>
    <w:p>
      <w:pPr>
        <w:spacing w:after="0" w:line="145" w:lineRule="exact"/>
        <w:rPr>
          <w:sz w:val="20"/>
          <w:szCs w:val="20"/>
          <w:color w:val="auto"/>
        </w:rPr>
      </w:pPr>
    </w:p>
    <w:p>
      <w:pPr>
        <w:ind w:left="1100" w:right="1000"/>
        <w:spacing w:after="0" w:line="233" w:lineRule="auto"/>
        <w:rPr>
          <w:sz w:val="20"/>
          <w:szCs w:val="20"/>
          <w:color w:val="auto"/>
        </w:rPr>
      </w:pPr>
      <w:r>
        <w:rPr>
          <w:rFonts w:ascii="Arial" w:cs="Arial" w:eastAsia="Arial" w:hAnsi="Arial"/>
          <w:sz w:val="20"/>
          <w:szCs w:val="20"/>
          <w:b w:val="1"/>
          <w:bCs w:val="1"/>
          <w:color w:val="auto"/>
        </w:rPr>
        <w:t>require that stockholders give advance notice to nominate directors or submit proposals for consideration at stockholder meetings;</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authorize our board of directors, by a majority vote, to amend the bylaws; and</w:t>
      </w:r>
    </w:p>
    <w:p>
      <w:pPr>
        <w:spacing w:after="0" w:line="145" w:lineRule="exact"/>
        <w:rPr>
          <w:sz w:val="20"/>
          <w:szCs w:val="20"/>
          <w:color w:val="auto"/>
        </w:rPr>
      </w:pPr>
    </w:p>
    <w:p>
      <w:pPr>
        <w:ind w:left="1100" w:right="160"/>
        <w:spacing w:after="0" w:line="234" w:lineRule="auto"/>
        <w:rPr>
          <w:sz w:val="20"/>
          <w:szCs w:val="20"/>
          <w:color w:val="auto"/>
        </w:rPr>
      </w:pPr>
      <w:r>
        <w:rPr>
          <w:rFonts w:ascii="Arial" w:cs="Arial" w:eastAsia="Arial" w:hAnsi="Arial"/>
          <w:sz w:val="20"/>
          <w:szCs w:val="20"/>
          <w:b w:val="1"/>
          <w:bCs w:val="1"/>
          <w:color w:val="auto"/>
        </w:rPr>
        <w:t>require the affirmative vote of at least 66 2/3% or more of the outstanding shares of common stock to amend many of the provisions described above.</w:t>
      </w:r>
    </w:p>
    <w:p>
      <w:pPr>
        <w:spacing w:after="0" w:line="155" w:lineRule="exact"/>
        <w:rPr>
          <w:sz w:val="20"/>
          <w:szCs w:val="20"/>
          <w:color w:val="auto"/>
        </w:rPr>
      </w:pPr>
    </w:p>
    <w:p>
      <w:pPr>
        <w:ind w:right="320" w:firstLine="490"/>
        <w:spacing w:after="0" w:line="289" w:lineRule="auto"/>
        <w:rPr>
          <w:sz w:val="20"/>
          <w:szCs w:val="20"/>
          <w:color w:val="auto"/>
        </w:rPr>
      </w:pPr>
      <w:r>
        <w:rPr>
          <w:rFonts w:ascii="Arial" w:cs="Arial" w:eastAsia="Arial" w:hAnsi="Arial"/>
          <w:sz w:val="17"/>
          <w:szCs w:val="17"/>
          <w:b w:val="1"/>
          <w:bCs w:val="1"/>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3" w:lineRule="exact"/>
        <w:rPr>
          <w:sz w:val="20"/>
          <w:szCs w:val="20"/>
          <w:color w:val="auto"/>
        </w:rPr>
      </w:pPr>
    </w:p>
    <w:p>
      <w:pPr>
        <w:ind w:right="340" w:firstLine="490"/>
        <w:spacing w:after="0" w:line="252" w:lineRule="auto"/>
        <w:rPr>
          <w:sz w:val="20"/>
          <w:szCs w:val="20"/>
          <w:color w:val="auto"/>
        </w:rPr>
      </w:pPr>
      <w:r>
        <w:rPr>
          <w:rFonts w:ascii="Arial" w:cs="Arial" w:eastAsia="Arial" w:hAnsi="Arial"/>
          <w:sz w:val="19"/>
          <w:szCs w:val="19"/>
          <w:b w:val="1"/>
          <w:bCs w:val="1"/>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42"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b w:val="1"/>
          <w:bCs w:val="1"/>
          <w:color w:val="auto"/>
        </w:rPr>
        <w:t>Our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firstLine="490"/>
        <w:spacing w:after="0" w:line="252" w:lineRule="auto"/>
        <w:rPr>
          <w:sz w:val="20"/>
          <w:szCs w:val="20"/>
          <w:color w:val="auto"/>
        </w:rPr>
      </w:pPr>
      <w:r>
        <w:rPr>
          <w:rFonts w:ascii="Arial" w:cs="Arial" w:eastAsia="Arial" w:hAnsi="Arial"/>
          <w:sz w:val="19"/>
          <w:szCs w:val="19"/>
          <w:b w:val="1"/>
          <w:bCs w:val="1"/>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16" w:lineRule="exact"/>
        <w:rPr>
          <w:sz w:val="20"/>
          <w:szCs w:val="20"/>
          <w:color w:val="auto"/>
        </w:rPr>
      </w:pPr>
    </w:p>
    <w:p>
      <w:pPr>
        <w:ind w:left="1100" w:right="3600"/>
        <w:spacing w:after="0" w:line="505" w:lineRule="auto"/>
        <w:rPr>
          <w:sz w:val="20"/>
          <w:szCs w:val="20"/>
          <w:color w:val="auto"/>
        </w:rPr>
      </w:pPr>
      <w:r>
        <w:rPr>
          <w:rFonts w:ascii="Arial" w:cs="Arial" w:eastAsia="Arial" w:hAnsi="Arial"/>
          <w:sz w:val="15"/>
          <w:szCs w:val="15"/>
          <w:b w:val="1"/>
          <w:bCs w:val="1"/>
          <w:color w:val="auto"/>
        </w:rPr>
        <w:t>any derivative action or proceeding brought on our behalf; any action asserting a claim of breach of fiduciary duty;</w:t>
      </w:r>
    </w:p>
    <w:p>
      <w:pPr>
        <w:spacing w:after="0" w:line="1" w:lineRule="exact"/>
        <w:rPr>
          <w:sz w:val="20"/>
          <w:szCs w:val="20"/>
          <w:color w:val="auto"/>
        </w:rPr>
      </w:pPr>
    </w:p>
    <w:p>
      <w:pPr>
        <w:ind w:left="1100" w:right="220"/>
        <w:spacing w:after="0" w:line="234" w:lineRule="auto"/>
        <w:rPr>
          <w:sz w:val="20"/>
          <w:szCs w:val="20"/>
          <w:color w:val="auto"/>
        </w:rPr>
      </w:pPr>
      <w:r>
        <w:rPr>
          <w:rFonts w:ascii="Arial" w:cs="Arial" w:eastAsia="Arial" w:hAnsi="Arial"/>
          <w:sz w:val="20"/>
          <w:szCs w:val="20"/>
          <w:b w:val="1"/>
          <w:bCs w:val="1"/>
          <w:color w:val="auto"/>
        </w:rPr>
        <w:t>any action asserting a claim against us arising under the DGCL, our amended and restated certificate of incorporation or our amended and restated bylaws; and</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any action asserting a claim against us that is governed by the internal-affairs doctrine.</w:t>
      </w:r>
    </w:p>
    <w:p>
      <w:pPr>
        <w:spacing w:after="0" w:line="154" w:lineRule="exact"/>
        <w:rPr>
          <w:sz w:val="20"/>
          <w:szCs w:val="20"/>
          <w:color w:val="auto"/>
        </w:rPr>
      </w:pPr>
    </w:p>
    <w:p>
      <w:pPr>
        <w:ind w:right="200" w:firstLine="490"/>
        <w:spacing w:after="0" w:line="234" w:lineRule="auto"/>
        <w:rPr>
          <w:sz w:val="20"/>
          <w:szCs w:val="20"/>
          <w:color w:val="auto"/>
        </w:rPr>
      </w:pPr>
      <w:r>
        <w:rPr>
          <w:rFonts w:ascii="Arial" w:cs="Arial" w:eastAsia="Arial" w:hAnsi="Arial"/>
          <w:sz w:val="20"/>
          <w:szCs w:val="20"/>
          <w:b w:val="1"/>
          <w:bCs w:val="1"/>
          <w:color w:val="auto"/>
        </w:rPr>
        <w:t>This provision would not apply to suits brought to enforce a duty or liability created by the Exchange Act or any other claim for which the U.S. federal courts have exclusive jurisdiction.</w:t>
      </w:r>
    </w:p>
    <w:p>
      <w:pPr>
        <w:spacing w:after="0" w:line="130" w:lineRule="exact"/>
        <w:rPr>
          <w:sz w:val="20"/>
          <w:szCs w:val="20"/>
          <w:color w:val="auto"/>
        </w:rPr>
      </w:pPr>
    </w:p>
    <w:p>
      <w:pPr>
        <w:ind w:right="140" w:firstLine="490"/>
        <w:spacing w:after="0" w:line="329" w:lineRule="auto"/>
        <w:rPr>
          <w:sz w:val="20"/>
          <w:szCs w:val="20"/>
          <w:color w:val="auto"/>
        </w:rPr>
      </w:pPr>
      <w:r>
        <w:rPr>
          <w:rFonts w:ascii="Arial" w:cs="Arial" w:eastAsia="Arial" w:hAnsi="Arial"/>
          <w:sz w:val="15"/>
          <w:szCs w:val="15"/>
          <w:b w:val="1"/>
          <w:bCs w:val="1"/>
          <w:color w:val="auto"/>
        </w:rPr>
        <w:t>Our amended and restated bylaws further provide that the federal district courts of the United States will be the exclusive forum for resolving any complaint asserting a cause of action arising under the Securities Act.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9360"/>
          </w:cols>
          <w:pgMar w:left="1440" w:top="1440" w:right="1440" w:bottom="181" w:gutter="0" w:footer="0" w:header="0"/>
          <w:type w:val="continuous"/>
        </w:sectPr>
      </w:pPr>
    </w:p>
    <w:bookmarkStart w:id="93" w:name="page94"/>
    <w:bookmarkEnd w:id="93"/>
    <w:p>
      <w:pPr>
        <w:spacing w:after="0" w:line="10"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color w:val="auto"/>
        </w:rPr>
        <w:t>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29" w:lineRule="exact"/>
        <w:rPr>
          <w:sz w:val="20"/>
          <w:szCs w:val="20"/>
          <w:color w:val="auto"/>
        </w:rPr>
      </w:pPr>
    </w:p>
    <w:p>
      <w:pPr>
        <w:ind w:right="60" w:firstLine="490"/>
        <w:spacing w:after="0" w:line="269" w:lineRule="auto"/>
        <w:rPr>
          <w:sz w:val="20"/>
          <w:szCs w:val="20"/>
          <w:color w:val="auto"/>
        </w:rPr>
      </w:pPr>
      <w:r>
        <w:rPr>
          <w:rFonts w:ascii="Arial" w:cs="Arial" w:eastAsia="Arial" w:hAnsi="Arial"/>
          <w:sz w:val="18"/>
          <w:szCs w:val="18"/>
          <w:b w:val="1"/>
          <w:bCs w:val="1"/>
          <w:color w:val="auto"/>
        </w:rPr>
        <w:t>We have established policies and processes for assessing, identifying, and managing material risk from cybersecurity threats, using widely recognized industry frameworks. We use risk management strategies that focus on vital areas such as data protection, access control, incident response, and vulnerability management, and we have integrated these processes into our overall risk management program.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06" w:lineRule="exact"/>
        <w:rPr>
          <w:sz w:val="20"/>
          <w:szCs w:val="20"/>
          <w:color w:val="auto"/>
        </w:rPr>
      </w:pPr>
    </w:p>
    <w:p>
      <w:pPr>
        <w:ind w:firstLine="490"/>
        <w:spacing w:after="0" w:line="271" w:lineRule="auto"/>
        <w:rPr>
          <w:sz w:val="20"/>
          <w:szCs w:val="20"/>
          <w:color w:val="auto"/>
        </w:rPr>
      </w:pPr>
      <w:r>
        <w:rPr>
          <w:rFonts w:ascii="Arial" w:cs="Arial" w:eastAsia="Arial" w:hAnsi="Arial"/>
          <w:sz w:val="18"/>
          <w:szCs w:val="18"/>
          <w:b w:val="1"/>
          <w:bCs w:val="1"/>
          <w:color w:val="auto"/>
        </w:rPr>
        <w:t>We have implemented a multi-faceted cybersecurity program in accordance with globally recognized standards to protect the confidentiality, integrity, and availability of our information assets. The primary aims of this program are to devise, initiate, and maintain a cybersecurity approach that safeguards our systems, services, and data from unauthorized access, outages, exposure, modification, damage, and loss.</w:t>
      </w:r>
    </w:p>
    <w:p>
      <w:pPr>
        <w:spacing w:after="0" w:line="107" w:lineRule="exact"/>
        <w:rPr>
          <w:sz w:val="20"/>
          <w:szCs w:val="20"/>
          <w:color w:val="auto"/>
        </w:rPr>
      </w:pPr>
    </w:p>
    <w:p>
      <w:pPr>
        <w:ind w:right="240" w:firstLine="490"/>
        <w:spacing w:after="0" w:line="291" w:lineRule="auto"/>
        <w:rPr>
          <w:sz w:val="20"/>
          <w:szCs w:val="20"/>
          <w:color w:val="auto"/>
        </w:rPr>
      </w:pPr>
      <w:r>
        <w:rPr>
          <w:rFonts w:ascii="Arial" w:cs="Arial" w:eastAsia="Arial" w:hAnsi="Arial"/>
          <w:sz w:val="17"/>
          <w:szCs w:val="17"/>
          <w:b w:val="1"/>
          <w:bCs w:val="1"/>
          <w:color w:val="auto"/>
        </w:rPr>
        <w:t>We have implemented a range of logical and technical controls to appropriately restrict physical and logical access. We maintain authentication controls in line with industry-recognized standards, including audit trails and logs for access. Access privileges are updated following any change in personnel or system, and are reviewed periodically, with the frequency determined by the associated risk of the application or system.</w:t>
      </w:r>
    </w:p>
    <w:p>
      <w:pPr>
        <w:spacing w:after="0" w:line="91" w:lineRule="exact"/>
        <w:rPr>
          <w:sz w:val="20"/>
          <w:szCs w:val="20"/>
          <w:color w:val="auto"/>
        </w:rPr>
      </w:pPr>
    </w:p>
    <w:p>
      <w:pPr>
        <w:ind w:right="20" w:firstLine="490"/>
        <w:spacing w:after="0" w:line="289" w:lineRule="auto"/>
        <w:rPr>
          <w:sz w:val="20"/>
          <w:szCs w:val="20"/>
          <w:color w:val="auto"/>
        </w:rPr>
      </w:pPr>
      <w:r>
        <w:rPr>
          <w:rFonts w:ascii="Arial" w:cs="Arial" w:eastAsia="Arial" w:hAnsi="Arial"/>
          <w:sz w:val="17"/>
          <w:szCs w:val="17"/>
          <w:b w:val="1"/>
          <w:bCs w:val="1"/>
          <w:color w:val="auto"/>
        </w:rPr>
        <w:t>We engage the expertise of third-party organizations to assist us to design and implement our cybersecurity procedures, as well as to monitor and test our safeguards in the context of recognized industry standards and practices. This process aims to confirm that our security infrastructure is robust and efficient, and that it is designed to resist diverse security threats. We use the critical insights gained from these third-party assessments to continue to improve our security controls and protect our systems and data.</w:t>
      </w:r>
    </w:p>
    <w:p>
      <w:pPr>
        <w:spacing w:after="0" w:line="93" w:lineRule="exact"/>
        <w:rPr>
          <w:sz w:val="20"/>
          <w:szCs w:val="20"/>
          <w:color w:val="auto"/>
        </w:rPr>
      </w:pPr>
    </w:p>
    <w:p>
      <w:pPr>
        <w:ind w:right="300" w:firstLine="490"/>
        <w:spacing w:after="0" w:line="281" w:lineRule="auto"/>
        <w:rPr>
          <w:sz w:val="20"/>
          <w:szCs w:val="20"/>
          <w:color w:val="auto"/>
        </w:rPr>
      </w:pPr>
      <w:r>
        <w:rPr>
          <w:rFonts w:ascii="Arial" w:cs="Arial" w:eastAsia="Arial" w:hAnsi="Arial"/>
          <w:sz w:val="18"/>
          <w:szCs w:val="18"/>
          <w:b w:val="1"/>
          <w:bCs w:val="1"/>
          <w:color w:val="auto"/>
        </w:rPr>
        <w:t>We evaluate potential cybersecurity risks associated with third-party service providers, including through a periodic vendor security review process overseen by our Head of Cybersecurity.</w:t>
      </w:r>
    </w:p>
    <w:p>
      <w:pPr>
        <w:spacing w:after="0" w:line="96" w:lineRule="exact"/>
        <w:rPr>
          <w:sz w:val="20"/>
          <w:szCs w:val="20"/>
          <w:color w:val="auto"/>
        </w:rPr>
      </w:pPr>
    </w:p>
    <w:p>
      <w:pPr>
        <w:ind w:right="40" w:firstLine="490"/>
        <w:spacing w:after="0" w:line="237" w:lineRule="auto"/>
        <w:rPr>
          <w:sz w:val="20"/>
          <w:szCs w:val="20"/>
          <w:color w:val="auto"/>
        </w:rPr>
      </w:pPr>
      <w:r>
        <w:rPr>
          <w:rFonts w:ascii="Arial" w:cs="Arial" w:eastAsia="Arial" w:hAnsi="Arial"/>
          <w:sz w:val="20"/>
          <w:szCs w:val="20"/>
          <w:b w:val="1"/>
          <w:bCs w:val="1"/>
          <w:color w:val="auto"/>
        </w:rPr>
        <w:t>We have not encountered any cybersecurity threats or incidents to date that have materially affected, or that are reasonably likely to materially affect, our business, strategy, results of operations or financial condition. For additional information regarding cybersecurity risks and their potential impacts on our company, including our business strategy, results of operations, or financial condition, please refer to Item 1A, “Risk Factors,” in this annual report on Form 10-K.</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31" w:lineRule="exact"/>
        <w:rPr>
          <w:sz w:val="20"/>
          <w:szCs w:val="20"/>
          <w:color w:val="auto"/>
        </w:rPr>
      </w:pPr>
    </w:p>
    <w:p>
      <w:pPr>
        <w:ind w:right="300" w:firstLine="490"/>
        <w:spacing w:after="0" w:line="269" w:lineRule="auto"/>
        <w:rPr>
          <w:sz w:val="20"/>
          <w:szCs w:val="20"/>
          <w:color w:val="auto"/>
        </w:rPr>
      </w:pPr>
      <w:r>
        <w:rPr>
          <w:rFonts w:ascii="Arial" w:cs="Arial" w:eastAsia="Arial" w:hAnsi="Arial"/>
          <w:sz w:val="18"/>
          <w:szCs w:val="18"/>
          <w:b w:val="1"/>
          <w:bCs w:val="1"/>
          <w:color w:val="auto"/>
        </w:rPr>
        <w:t>Our Associate Director of IT serves as our Head of Cybersecurity and is responsible for developing and executing our cybersecurity strategy and program. This individual, who reports to our Chief People and Places Officer, works closely with external cybersecurity and information technology service providers who support our security operations. We also maintain a team of cybersecurity professionals who are responsible for security operations and report to the Head of Cybersecurity, who has more than 18 years’ experience in cybersecurity and information technology infrastructure and operations.</w:t>
      </w:r>
    </w:p>
    <w:p>
      <w:pPr>
        <w:spacing w:after="0" w:line="108" w:lineRule="exact"/>
        <w:rPr>
          <w:sz w:val="20"/>
          <w:szCs w:val="20"/>
          <w:color w:val="auto"/>
        </w:rPr>
      </w:pPr>
    </w:p>
    <w:p>
      <w:pPr>
        <w:ind w:right="100" w:firstLine="490"/>
        <w:spacing w:after="0" w:line="336" w:lineRule="auto"/>
        <w:rPr>
          <w:sz w:val="20"/>
          <w:szCs w:val="20"/>
          <w:color w:val="auto"/>
        </w:rPr>
      </w:pPr>
      <w:r>
        <w:rPr>
          <w:rFonts w:ascii="Arial" w:cs="Arial" w:eastAsia="Arial" w:hAnsi="Arial"/>
          <w:sz w:val="15"/>
          <w:szCs w:val="15"/>
          <w:b w:val="1"/>
          <w:bCs w:val="1"/>
          <w:color w:val="auto"/>
        </w:rPr>
        <w:t>Our Head of Cybersecurity is regularly informed about developments in cybersecurity, including potential threats and innovative risk management techniques in the interest of effective prevention, detection, mitigation, and remediation of cybersecurity incidents. The Head of Cybersecurity oversees the processes for monitoring our information systems, including periodic system audits to identify potential vulnerabilities and third-party audits and evaluations. In the event of a cybersecurity incident, the Head of Cybersecurity, together with our external service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92</w:t>
      </w:r>
    </w:p>
    <w:p>
      <w:pPr>
        <w:sectPr>
          <w:pgSz w:w="12240" w:h="15840" w:orient="portrait"/>
          <w:cols w:equalWidth="0" w:num="1">
            <w:col w:w="9360"/>
          </w:cols>
          <w:pgMar w:left="1440" w:top="1440" w:right="1440" w:bottom="181" w:gutter="0" w:footer="0" w:header="0"/>
          <w:type w:val="continuous"/>
        </w:sectPr>
      </w:pPr>
    </w:p>
    <w:bookmarkStart w:id="94" w:name="page95"/>
    <w:bookmarkEnd w:id="94"/>
    <w:p>
      <w:pPr>
        <w:spacing w:after="0" w:line="10"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b w:val="1"/>
          <w:bCs w:val="1"/>
          <w:color w:val="auto"/>
        </w:rPr>
        <w:t>providers, implements an incident response plan. This plan includes immediate actions to mitigate the impact of incidents and strategies for remediation of future incidents. The Head of Cybersecurity is responsible for reporting information about cybersecurity risks and incidents to our Chief People and Places Officer and other members of executive management.</w:t>
      </w:r>
    </w:p>
    <w:p>
      <w:pPr>
        <w:spacing w:after="0" w:line="135" w:lineRule="exact"/>
        <w:rPr>
          <w:sz w:val="20"/>
          <w:szCs w:val="20"/>
          <w:color w:val="auto"/>
        </w:rPr>
      </w:pPr>
    </w:p>
    <w:p>
      <w:pPr>
        <w:ind w:right="40" w:firstLine="490"/>
        <w:spacing w:after="0" w:line="252" w:lineRule="auto"/>
        <w:rPr>
          <w:sz w:val="20"/>
          <w:szCs w:val="20"/>
          <w:color w:val="auto"/>
        </w:rPr>
      </w:pPr>
      <w:r>
        <w:rPr>
          <w:rFonts w:ascii="Arial" w:cs="Arial" w:eastAsia="Arial" w:hAnsi="Arial"/>
          <w:sz w:val="19"/>
          <w:szCs w:val="19"/>
          <w:b w:val="1"/>
          <w:bCs w:val="1"/>
          <w:color w:val="auto"/>
        </w:rPr>
        <w:t>Our board of directors oversees our enterprise risk management, including our management of cybersecurity risks. The audit committee of our board of directors has primary responsibility for the oversight of risks from cybersecurity threats. The Head of Cybersecurity, or a delegate, provides quarterly reports to the audit committee on the effectiveness and overall status of our cybersecurity program, and is responsible for reporting to the audit committee information about our company’s cybersecurity risks and activities, including any recent cybersecurity incidents and related responses.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31" w:lineRule="exact"/>
        <w:rPr>
          <w:sz w:val="20"/>
          <w:szCs w:val="20"/>
          <w:color w:val="auto"/>
        </w:rPr>
      </w:pPr>
    </w:p>
    <w:p>
      <w:pPr>
        <w:ind w:right="60" w:firstLine="490"/>
        <w:spacing w:after="0" w:line="267" w:lineRule="auto"/>
        <w:rPr>
          <w:sz w:val="20"/>
          <w:szCs w:val="20"/>
          <w:color w:val="auto"/>
        </w:rPr>
      </w:pPr>
      <w:r>
        <w:rPr>
          <w:rFonts w:ascii="Arial" w:cs="Arial" w:eastAsia="Arial" w:hAnsi="Arial"/>
          <w:sz w:val="18"/>
          <w:szCs w:val="18"/>
          <w:b w:val="1"/>
          <w:bCs w:val="1"/>
          <w:color w:val="auto"/>
        </w:rPr>
        <w:t>Our corporate headquarters are currently located in South San Francisco, California, where we lease approximately 105,000 square feet of office and laboratory space. The term of the lease agreement expires in May 2029, with an option to extend the term of the lease for an additional 10 years. The lease agreement also provides us a right of first offer to expand into available office space in the building. We subleased approximately 9,300 square feet of our corporate headquarters in February 2023 with a lease term that expired in July 2025. We also subleased approximately 13,000 square feet of the corporate headquarters in February 2025 and expanded the sublease to 15,200 square feet in August 2025, with a lease term that will expire in March 2029. We also subleased approximately 7,700 square feet of the corporate headquarters in December 2025, with a lease term that will expire in July 2027. We lease approximately 18,700 square feet of additional office and laboratory space in Newark, California. In August 2024, we approved a plan to transition operations from our laboratory and office space in Newark, California to our South San Francisco headquarters. Our intention is to sublease the Newark facility. If required, we believe that suitable additional or alternative space would be available in the future on commercially reasonable terms.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31" w:lineRule="exact"/>
        <w:rPr>
          <w:sz w:val="20"/>
          <w:szCs w:val="20"/>
          <w:color w:val="auto"/>
        </w:rPr>
      </w:pPr>
    </w:p>
    <w:p>
      <w:pPr>
        <w:ind w:right="280" w:firstLine="490"/>
        <w:spacing w:after="0" w:line="341" w:lineRule="auto"/>
        <w:rPr>
          <w:sz w:val="20"/>
          <w:szCs w:val="20"/>
          <w:color w:val="auto"/>
        </w:rPr>
      </w:pPr>
      <w:r>
        <w:rPr>
          <w:rFonts w:ascii="Arial" w:cs="Arial" w:eastAsia="Arial" w:hAnsi="Arial"/>
          <w:sz w:val="15"/>
          <w:szCs w:val="15"/>
          <w:b w:val="1"/>
          <w:bCs w:val="1"/>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or other legal proceedings can have an adverse impact on us because of legal fees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9360"/>
          </w:cols>
          <w:pgMar w:left="1440" w:top="1440" w:right="1440" w:bottom="181"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PART II</w:t>
      </w:r>
    </w:p>
    <w:p>
      <w:pPr>
        <w:spacing w:after="0" w:line="251" w:lineRule="exact"/>
        <w:rPr>
          <w:sz w:val="20"/>
          <w:szCs w:val="20"/>
          <w:color w:val="auto"/>
        </w:rPr>
      </w:pPr>
    </w:p>
    <w:p>
      <w:pPr>
        <w:ind w:right="560"/>
        <w:spacing w:after="0" w:line="233"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common stock is publicly traded on the Nasdaq Global Select Market under the symbol ”ALEC.”</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31" w:lineRule="exact"/>
        <w:rPr>
          <w:sz w:val="20"/>
          <w:szCs w:val="20"/>
          <w:color w:val="auto"/>
        </w:rPr>
      </w:pPr>
    </w:p>
    <w:p>
      <w:pPr>
        <w:ind w:right="80" w:firstLine="490"/>
        <w:spacing w:after="0" w:line="272" w:lineRule="auto"/>
        <w:rPr>
          <w:sz w:val="20"/>
          <w:szCs w:val="20"/>
          <w:color w:val="auto"/>
        </w:rPr>
      </w:pPr>
      <w:r>
        <w:rPr>
          <w:rFonts w:ascii="Arial" w:cs="Arial" w:eastAsia="Arial" w:hAnsi="Arial"/>
          <w:sz w:val="18"/>
          <w:szCs w:val="18"/>
          <w:b w:val="1"/>
          <w:bCs w:val="1"/>
          <w:color w:val="auto"/>
        </w:rPr>
        <w:t>As of February 20, 2026, there were approximately 6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31" w:lineRule="exact"/>
        <w:rPr>
          <w:sz w:val="20"/>
          <w:szCs w:val="20"/>
          <w:color w:val="auto"/>
        </w:rPr>
      </w:pPr>
    </w:p>
    <w:p>
      <w:pPr>
        <w:ind w:right="20" w:firstLine="490"/>
        <w:spacing w:after="0" w:line="269" w:lineRule="auto"/>
        <w:rPr>
          <w:sz w:val="20"/>
          <w:szCs w:val="20"/>
          <w:color w:val="auto"/>
        </w:rPr>
      </w:pPr>
      <w:r>
        <w:rPr>
          <w:rFonts w:ascii="Arial" w:cs="Arial" w:eastAsia="Arial" w:hAnsi="Arial"/>
          <w:sz w:val="18"/>
          <w:szCs w:val="18"/>
          <w:b w:val="1"/>
          <w:bCs w:val="1"/>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We are also prohibited from declaring or paying any cash dividends under our Loan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1" w:lineRule="exact"/>
        <w:rPr>
          <w:sz w:val="20"/>
          <w:szCs w:val="20"/>
          <w:color w:val="auto"/>
        </w:rPr>
      </w:pPr>
    </w:p>
    <w:p>
      <w:pPr>
        <w:ind w:right="60" w:firstLine="490"/>
        <w:spacing w:after="0" w:line="287" w:lineRule="auto"/>
        <w:rPr>
          <w:sz w:val="20"/>
          <w:szCs w:val="20"/>
          <w:color w:val="auto"/>
        </w:rPr>
      </w:pPr>
      <w:r>
        <w:rPr>
          <w:rFonts w:ascii="Arial" w:cs="Arial" w:eastAsia="Arial" w:hAnsi="Arial"/>
          <w:sz w:val="17"/>
          <w:szCs w:val="17"/>
          <w:b w:val="1"/>
          <w:b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ind w:right="240" w:firstLine="490"/>
        <w:spacing w:after="0" w:line="351" w:lineRule="auto"/>
        <w:rPr>
          <w:sz w:val="20"/>
          <w:szCs w:val="20"/>
          <w:color w:val="auto"/>
        </w:rPr>
      </w:pPr>
      <w:r>
        <w:rPr>
          <w:rFonts w:ascii="Arial" w:cs="Arial" w:eastAsia="Arial" w:hAnsi="Arial"/>
          <w:sz w:val="15"/>
          <w:szCs w:val="15"/>
          <w:b w:val="1"/>
          <w:bCs w:val="1"/>
          <w:color w:val="auto"/>
        </w:rPr>
        <w:t>We are a clinical-stage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w:t>
      </w:r>
    </w:p>
    <w:p>
      <w:pPr>
        <w:spacing w:after="0" w:line="52" w:lineRule="exact"/>
        <w:rPr>
          <w:sz w:val="20"/>
          <w:szCs w:val="20"/>
          <w:color w:val="auto"/>
        </w:rPr>
      </w:pPr>
    </w:p>
    <w:p>
      <w:pPr>
        <w:ind w:firstLine="490"/>
        <w:spacing w:after="0" w:line="253" w:lineRule="auto"/>
        <w:rPr>
          <w:sz w:val="20"/>
          <w:szCs w:val="20"/>
          <w:color w:val="auto"/>
        </w:rPr>
      </w:pPr>
      <w:r>
        <w:rPr>
          <w:rFonts w:ascii="Arial" w:cs="Arial" w:eastAsia="Arial" w:hAnsi="Arial"/>
          <w:sz w:val="19"/>
          <w:szCs w:val="19"/>
          <w:b w:val="1"/>
          <w:bCs w:val="1"/>
          <w:color w:val="auto"/>
        </w:rPr>
        <w:t>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experience in drug development, protein engineering, and antibody discovery.</w:t>
      </w:r>
    </w:p>
    <w:p>
      <w:pPr>
        <w:spacing w:after="0" w:line="118" w:lineRule="exact"/>
        <w:rPr>
          <w:sz w:val="20"/>
          <w:szCs w:val="20"/>
          <w:color w:val="auto"/>
        </w:rPr>
      </w:pPr>
    </w:p>
    <w:p>
      <w:pPr>
        <w:ind w:right="140" w:firstLine="490"/>
        <w:spacing w:after="0" w:line="290" w:lineRule="auto"/>
        <w:rPr>
          <w:sz w:val="20"/>
          <w:szCs w:val="20"/>
          <w:color w:val="auto"/>
        </w:rPr>
      </w:pPr>
      <w:r>
        <w:rPr>
          <w:rFonts w:ascii="Arial" w:cs="Arial" w:eastAsia="Arial" w:hAnsi="Arial"/>
          <w:sz w:val="17"/>
          <w:szCs w:val="17"/>
          <w:b w:val="1"/>
          <w:bCs w:val="1"/>
          <w:color w:val="auto"/>
        </w:rPr>
        <w:t>A key component of our strategy is the development and application of our Alector Brain Carrier (ABC) platform, a proprietary blood-brain barrier (BBB) delivery technology designed to improve central nervous system exposure across multiple therapeutic modalities. We continue to refine and expand this platform to enable effective brain delivery at clinically practical doses of antibodies, enzymes, and siRNA therapeutics. In parallel, we are investing in biomarkers and biomarker assays to guide patient selection, demonstrate target and pathway</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94</w:t>
      </w:r>
    </w:p>
    <w:p>
      <w:pPr>
        <w:sectPr>
          <w:pgSz w:w="12240" w:h="15840" w:orient="portrait"/>
          <w:cols w:equalWidth="0" w:num="1">
            <w:col w:w="9360"/>
          </w:cols>
          <w:pgMar w:left="1440" w:top="1439" w:right="1440" w:bottom="181" w:gutter="0" w:footer="0" w:header="0"/>
          <w:type w:val="continuous"/>
        </w:sectPr>
      </w:pPr>
    </w:p>
    <w:bookmarkStart w:id="96" w:name="page97"/>
    <w:bookmarkEnd w:id="96"/>
    <w:p>
      <w:pPr>
        <w:spacing w:after="0" w:line="10"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b w:val="1"/>
          <w:bCs w:val="1"/>
          <w:color w:val="auto"/>
        </w:rPr>
        <w:t>engagement, and assess biological impact in the clinic, with the goal of improving development efficiency and the likelihood of technical success.</w:t>
      </w:r>
    </w:p>
    <w:p>
      <w:pPr>
        <w:spacing w:after="0" w:line="130" w:lineRule="exact"/>
        <w:rPr>
          <w:sz w:val="20"/>
          <w:szCs w:val="20"/>
          <w:color w:val="auto"/>
        </w:rPr>
      </w:pPr>
    </w:p>
    <w:p>
      <w:pPr>
        <w:ind w:right="140" w:firstLine="490"/>
        <w:spacing w:after="0" w:line="237" w:lineRule="auto"/>
        <w:rPr>
          <w:sz w:val="20"/>
          <w:szCs w:val="20"/>
          <w:color w:val="auto"/>
        </w:rPr>
      </w:pPr>
      <w:r>
        <w:rPr>
          <w:rFonts w:ascii="Arial" w:cs="Arial" w:eastAsia="Arial" w:hAnsi="Arial"/>
          <w:sz w:val="20"/>
          <w:szCs w:val="20"/>
          <w:b w:val="1"/>
          <w:bCs w:val="1"/>
          <w:color w:val="auto"/>
        </w:rPr>
        <w:t>Our portfolio includes nivisnebart (formerly AL101/GSK4527226), an investigational PGRN-elevating antibody that has completed enrollment in a placebo-controlled, double-blinded Phase 2 study in early Alzheimer’s disease under our July 2021 Collaboration and License Agreement (GSK Agreement) with Glaxo Wellcome UK Limited, a subsidiary of GlaxoSmithKline plc (GSK).</w:t>
      </w:r>
    </w:p>
    <w:p>
      <w:pPr>
        <w:spacing w:after="0" w:line="133" w:lineRule="exact"/>
        <w:rPr>
          <w:sz w:val="20"/>
          <w:szCs w:val="20"/>
          <w:color w:val="auto"/>
        </w:rPr>
      </w:pPr>
    </w:p>
    <w:p>
      <w:pPr>
        <w:ind w:right="20" w:firstLine="490"/>
        <w:spacing w:after="0" w:line="252" w:lineRule="auto"/>
        <w:rPr>
          <w:sz w:val="20"/>
          <w:szCs w:val="20"/>
          <w:color w:val="auto"/>
        </w:rPr>
      </w:pPr>
      <w:r>
        <w:rPr>
          <w:rFonts w:ascii="Arial" w:cs="Arial" w:eastAsia="Arial" w:hAnsi="Arial"/>
          <w:sz w:val="19"/>
          <w:szCs w:val="19"/>
          <w:b w:val="1"/>
          <w:bCs w:val="1"/>
          <w:color w:val="auto"/>
        </w:rPr>
        <w:t xml:space="preserve">In addition, our wholly owned programs include lead candidates in preclinical development for a brain-penetrant anti-amyloid beta antibody for Alzheimer’s disease (AD) and a brain-penetrant GCase enzyme replacement therapy for Parkinson’s disease (PD). We are also advancing brain-penetrant siRNA programs targeting tau for Alzheimer’s disease, </w:t>
      </w:r>
      <w:r>
        <w:rPr>
          <w:sz w:val="1"/>
          <w:szCs w:val="1"/>
          <w:color w:val="auto"/>
        </w:rPr>
        <w:drawing>
          <wp:inline distT="0" distB="0" distL="0" distR="0">
            <wp:extent cx="124460" cy="863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460" cy="86360"/>
                    </a:xfrm>
                    <a:prstGeom prst="rect">
                      <a:avLst/>
                    </a:prstGeom>
                    <a:noFill/>
                    <a:ln>
                      <a:noFill/>
                    </a:ln>
                  </pic:spPr>
                </pic:pic>
              </a:graphicData>
            </a:graphic>
          </wp:inline>
        </w:drawing>
      </w:r>
      <w:r>
        <w:rPr>
          <w:rFonts w:ascii="Arial" w:cs="Arial" w:eastAsia="Arial" w:hAnsi="Arial"/>
          <w:sz w:val="19"/>
          <w:szCs w:val="19"/>
          <w:b w:val="1"/>
          <w:bCs w:val="1"/>
          <w:color w:val="auto"/>
        </w:rPr>
        <w:t>synuclein for Parkinson’s disease, and NLRP3, with potential applications across multiple neurodegenerative conditions.</w:t>
      </w:r>
    </w:p>
    <w:p>
      <w:pPr>
        <w:spacing w:after="0" w:line="243" w:lineRule="exact"/>
        <w:rPr>
          <w:sz w:val="20"/>
          <w:szCs w:val="20"/>
          <w:color w:val="auto"/>
        </w:rPr>
      </w:pPr>
    </w:p>
    <w:p>
      <w:pPr>
        <w:ind w:right="100" w:firstLine="490"/>
        <w:spacing w:after="0" w:line="236" w:lineRule="auto"/>
        <w:rPr>
          <w:sz w:val="20"/>
          <w:szCs w:val="20"/>
          <w:color w:val="auto"/>
        </w:rPr>
      </w:pPr>
      <w:r>
        <w:rPr>
          <w:rFonts w:ascii="Arial" w:cs="Arial" w:eastAsia="Arial" w:hAnsi="Arial"/>
          <w:sz w:val="20"/>
          <w:szCs w:val="20"/>
          <w:b w:val="1"/>
          <w:bCs w:val="1"/>
          <w:color w:val="auto"/>
        </w:rPr>
        <w:t>Our operations have been financed primarily through our collaboration with GSK, our previous collaboration with AbbVie, entered into in October 2017 and terminated in February 2025, the issuance and sale of convertible preferred stock and of common stock upon the completion of our initial public offering (IPO), and follow-on equity financings.</w:t>
      </w:r>
    </w:p>
    <w:p>
      <w:pPr>
        <w:spacing w:after="0" w:line="135" w:lineRule="exact"/>
        <w:rPr>
          <w:sz w:val="20"/>
          <w:szCs w:val="20"/>
          <w:color w:val="auto"/>
        </w:rPr>
      </w:pPr>
    </w:p>
    <w:p>
      <w:pPr>
        <w:ind w:firstLine="490"/>
        <w:spacing w:after="0" w:line="285" w:lineRule="auto"/>
        <w:rPr>
          <w:sz w:val="20"/>
          <w:szCs w:val="20"/>
          <w:color w:val="auto"/>
        </w:rPr>
      </w:pPr>
      <w:r>
        <w:rPr>
          <w:rFonts w:ascii="Arial" w:cs="Arial" w:eastAsia="Arial" w:hAnsi="Arial"/>
          <w:sz w:val="17"/>
          <w:szCs w:val="17"/>
          <w:b w:val="1"/>
          <w:bCs w:val="1"/>
          <w:color w:val="auto"/>
        </w:rPr>
        <w:t>To date, we have not had any products approved for sale and have not generated any product or royalty revenue from product sales. Further, we do not expect to generate revenue from product sales until such time, if ever, that we are able to successfully complete the development and obtain marketing approval for one of our product candidates. We will continue to require additional capital to develop our product candidates, advance our research and preclinical programs, and fund operations for the foreseeable future. We have incurred net losses in each year since inception, and we expect to continue to incur net losses for the foreseeable future. Our ability to generate product revenue will depend on the successful development and eventual commercialization of one or more of our product candidates. Our net losses were $142.9 million and $119.0 million for the years ended December 31, 2025 and 2024, respectively. As of December 31, 2025, we had an accumulated deficit of $972.1 million. Substantially all of our net losses have resulted from costs incurred in connection with our research and development programs and from general and administrative costs associated with our operations. We expect our expenses will increase substantially in connection with our ongoing activities, as we:</w:t>
      </w:r>
    </w:p>
    <w:p>
      <w:pPr>
        <w:spacing w:after="0" w:line="86" w:lineRule="exact"/>
        <w:rPr>
          <w:sz w:val="20"/>
          <w:szCs w:val="20"/>
          <w:color w:val="auto"/>
        </w:rPr>
      </w:pPr>
    </w:p>
    <w:p>
      <w:pPr>
        <w:ind w:left="840" w:right="2640"/>
        <w:spacing w:after="0" w:line="400" w:lineRule="auto"/>
        <w:rPr>
          <w:sz w:val="20"/>
          <w:szCs w:val="20"/>
          <w:color w:val="auto"/>
        </w:rPr>
      </w:pPr>
      <w:r>
        <w:rPr>
          <w:rFonts w:ascii="Arial" w:cs="Arial" w:eastAsia="Arial" w:hAnsi="Arial"/>
          <w:sz w:val="19"/>
          <w:szCs w:val="19"/>
          <w:b w:val="1"/>
          <w:bCs w:val="1"/>
          <w:color w:val="auto"/>
        </w:rPr>
        <w:t>advance product candidates through preclinical studies and clinical trials; pursue regulatory approval of product candidates;</w:t>
      </w:r>
    </w:p>
    <w:p>
      <w:pPr>
        <w:ind w:left="480"/>
        <w:spacing w:after="0"/>
        <w:rPr>
          <w:sz w:val="20"/>
          <w:szCs w:val="20"/>
          <w:color w:val="auto"/>
        </w:rPr>
      </w:pPr>
      <w:r>
        <w:rPr>
          <w:rFonts w:ascii="Arial" w:cs="Arial" w:eastAsia="Arial" w:hAnsi="Arial"/>
          <w:sz w:val="20"/>
          <w:szCs w:val="20"/>
          <w:b w:val="1"/>
          <w:bCs w:val="1"/>
          <w:color w:val="auto"/>
        </w:rPr>
        <w:t>discover, validate, and develop additional product candidates;</w:t>
      </w:r>
    </w:p>
    <w:p>
      <w:pPr>
        <w:spacing w:after="0" w:line="145" w:lineRule="exact"/>
        <w:rPr>
          <w:sz w:val="20"/>
          <w:szCs w:val="20"/>
          <w:color w:val="auto"/>
        </w:rPr>
      </w:pPr>
    </w:p>
    <w:p>
      <w:pPr>
        <w:ind w:left="840" w:right="700"/>
        <w:spacing w:after="0" w:line="369" w:lineRule="auto"/>
        <w:rPr>
          <w:sz w:val="20"/>
          <w:szCs w:val="20"/>
          <w:color w:val="auto"/>
        </w:rPr>
      </w:pPr>
      <w:r>
        <w:rPr>
          <w:rFonts w:ascii="Arial" w:cs="Arial" w:eastAsia="Arial" w:hAnsi="Arial"/>
          <w:sz w:val="20"/>
          <w:szCs w:val="20"/>
          <w:b w:val="1"/>
          <w:bCs w:val="1"/>
          <w:color w:val="auto"/>
        </w:rPr>
        <w:t>require the manufacture of drug supply for our research, preclinical studies and clinical trials; and obtain, maintain, and protect our intellectual property portfolio.</w:t>
      </w:r>
    </w:p>
    <w:p>
      <w:pPr>
        <w:spacing w:after="0" w:line="28"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b w:val="1"/>
          <w:bCs w:val="1"/>
          <w:color w:val="auto"/>
        </w:rPr>
        <w:t>On March 7, 2025, we committed to a plan to reduce our workforce by approximately 13% to better align our resources with our strategic priorities including advancing our preclinical and research pipeline. We initiated such reduction in force impacting approximately 25 employees across the organization. On October 21, 2025, we initiated a reduce in force that impacted approximately 47% our workforce in order to align resources with the Company’s strategic priorities following the results of the Phase 3 INFRONT-3 clinical trial evaluating the safety and efficacy of latozinemab in individuals with frontotemporal dementia due to a progranulin gene mutation (FTD-GRN). As of December 31, 2025, we had cash, cash equivalents, and marketable securities of $256.0 million, which we anticipate provides runway at least through 2027.</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31" w:lineRule="exact"/>
        <w:rPr>
          <w:sz w:val="20"/>
          <w:szCs w:val="20"/>
          <w:color w:val="auto"/>
        </w:rPr>
      </w:pPr>
    </w:p>
    <w:p>
      <w:pPr>
        <w:ind w:right="120" w:firstLine="490"/>
        <w:spacing w:after="0" w:line="333" w:lineRule="auto"/>
        <w:rPr>
          <w:sz w:val="20"/>
          <w:szCs w:val="20"/>
          <w:color w:val="auto"/>
        </w:rPr>
      </w:pPr>
      <w:r>
        <w:rPr>
          <w:rFonts w:ascii="Arial" w:cs="Arial" w:eastAsia="Arial" w:hAnsi="Arial"/>
          <w:sz w:val="15"/>
          <w:szCs w:val="15"/>
          <w:b w:val="1"/>
          <w:bCs w:val="1"/>
          <w:color w:val="auto"/>
        </w:rPr>
        <w:t>We have not generated any product or royalty revenue from product sales and do not expect to do so in the near future. Our revenue to date has been primarily related to the AbbVie Agreement and GSK Agreement for the license and co-development of product candidates with those parties. We recognized revenue from the upfront payments and the milestone payment received from AbbVie over time as services were provided. We recognize revenue from the upfront payments from GSK at a point in time for a development license and over time for research and development services. Revenues for research and development services are recognized as the program</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9360"/>
          </w:cols>
          <w:pgMar w:left="1440" w:top="1440" w:right="1440" w:bottom="181" w:gutter="0" w:footer="0" w:header="0"/>
          <w:type w:val="continuous"/>
        </w:sectPr>
      </w:pPr>
    </w:p>
    <w:bookmarkStart w:id="97" w:name="page98"/>
    <w:bookmarkEnd w:id="97"/>
    <w:p>
      <w:pPr>
        <w:spacing w:after="0" w:line="10"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b w:val="1"/>
          <w:bCs w:val="1"/>
          <w:color w:val="auto"/>
        </w:rPr>
        <w:t>costs are incurred by measuring actual costs incurred to date compared to the overall total expected costs to satisfy the performance obligation.</w:t>
      </w:r>
    </w:p>
    <w:p>
      <w:pPr>
        <w:spacing w:after="0" w:line="130" w:lineRule="exact"/>
        <w:rPr>
          <w:sz w:val="20"/>
          <w:szCs w:val="20"/>
          <w:color w:val="auto"/>
        </w:rPr>
      </w:pPr>
    </w:p>
    <w:p>
      <w:pPr>
        <w:ind w:firstLine="490"/>
        <w:spacing w:after="0" w:line="269" w:lineRule="auto"/>
        <w:rPr>
          <w:sz w:val="20"/>
          <w:szCs w:val="20"/>
          <w:color w:val="auto"/>
        </w:rPr>
      </w:pPr>
      <w:r>
        <w:rPr>
          <w:rFonts w:ascii="Arial" w:cs="Arial" w:eastAsia="Arial" w:hAnsi="Arial"/>
          <w:sz w:val="18"/>
          <w:szCs w:val="18"/>
          <w:b w:val="1"/>
          <w:bCs w:val="1"/>
          <w:color w:val="auto"/>
        </w:rPr>
        <w:t>Under the terms of the GSK Agreement, we received $700 million in upfront payments, of which $500 million was received in August 2021 and $200 million was received in January 2022. In addition, we may be eligible to receive up to an additional $1.5 billion in clinical development, regulatory, and commercial launch-related milestone payments, subject to successful advancement and commercialization of product candidates in multiple indications under the agreement. Alector and GSK are conducting development jointly. Under the current terms of the GSK Agreement, we are responsible for funding GSK’s and our development costs up to $140.5 million for the conduct of the initial Phase 2 clinical trial of nivisnebart in AD.</w:t>
      </w:r>
    </w:p>
    <w:p>
      <w:pPr>
        <w:spacing w:after="0" w:line="106" w:lineRule="exact"/>
        <w:rPr>
          <w:sz w:val="20"/>
          <w:szCs w:val="20"/>
          <w:color w:val="auto"/>
        </w:rPr>
      </w:pPr>
    </w:p>
    <w:p>
      <w:pPr>
        <w:ind w:right="140" w:firstLine="490"/>
        <w:spacing w:after="0" w:line="287" w:lineRule="auto"/>
        <w:rPr>
          <w:sz w:val="20"/>
          <w:szCs w:val="20"/>
          <w:color w:val="auto"/>
        </w:rPr>
      </w:pPr>
      <w:r>
        <w:rPr>
          <w:rFonts w:ascii="Arial" w:cs="Arial" w:eastAsia="Arial" w:hAnsi="Arial"/>
          <w:sz w:val="17"/>
          <w:szCs w:val="17"/>
          <w:b w:val="1"/>
          <w:bCs w:val="1"/>
          <w:color w:val="auto"/>
        </w:rPr>
        <w:t>In the United States, Alector and GSK agreed to equally share profits and losses from commercialization of product candidates under the agreement. We may opt out of the sharing of development costs and of profit and losses from commercialization in the United States on a product-by-product basis. In such case, we will no longer conduct development or commercialization of that product, we will receive royalties on net sales of the product in the United States instead of a share of profits, and certain milestones will be reduced. Outside of the United States, GSK agreed to responsible for commercialization of latozinemab and nivisnebart for all indications, and we will be eligible for double-digit tiered royalties.</w:t>
      </w:r>
    </w:p>
    <w:p>
      <w:pPr>
        <w:spacing w:after="0" w:line="94" w:lineRule="exact"/>
        <w:rPr>
          <w:sz w:val="20"/>
          <w:szCs w:val="20"/>
          <w:color w:val="auto"/>
        </w:rPr>
      </w:pPr>
    </w:p>
    <w:p>
      <w:pPr>
        <w:ind w:right="20" w:firstLine="490"/>
        <w:spacing w:after="0" w:line="292" w:lineRule="auto"/>
        <w:rPr>
          <w:sz w:val="20"/>
          <w:szCs w:val="20"/>
          <w:color w:val="auto"/>
        </w:rPr>
      </w:pPr>
      <w:r>
        <w:rPr>
          <w:rFonts w:ascii="Arial" w:cs="Arial" w:eastAsia="Arial" w:hAnsi="Arial"/>
          <w:sz w:val="17"/>
          <w:szCs w:val="17"/>
          <w:b w:val="1"/>
          <w:bCs w:val="1"/>
          <w:color w:val="auto"/>
        </w:rPr>
        <w:t>We expect that our revenue for the next several years will be derived primarily from the GSK Agreement. The balance of deferred revenue was $171.2 million as of December 31, 2025, related to the GSK Agreement. The deferred revenue is expected to be recognized over the research and development period of the programs through the completion of the initial Phase 2 clinical trials for specified indications for latozinemab and nivisnebart.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31" w:lineRule="exact"/>
        <w:rPr>
          <w:sz w:val="20"/>
          <w:szCs w:val="20"/>
          <w:color w:val="auto"/>
        </w:rPr>
      </w:pPr>
    </w:p>
    <w:p>
      <w:pPr>
        <w:ind w:right="280" w:firstLine="490"/>
        <w:spacing w:after="0" w:line="297" w:lineRule="auto"/>
        <w:rPr>
          <w:sz w:val="20"/>
          <w:szCs w:val="20"/>
          <w:color w:val="auto"/>
        </w:rPr>
      </w:pPr>
      <w:r>
        <w:rPr>
          <w:rFonts w:ascii="Arial" w:cs="Arial" w:eastAsia="Arial" w:hAnsi="Arial"/>
          <w:sz w:val="17"/>
          <w:szCs w:val="17"/>
          <w:b w:val="1"/>
          <w:bCs w:val="1"/>
          <w:color w:val="auto"/>
        </w:rPr>
        <w:t>Research and development expenses account for a significant portion of our operating expenses. We record research and development expenses as incurred. Research and development expenses consist primarily of costs incurred for the discovery and development of our product candidates, which include:</w:t>
      </w:r>
    </w:p>
    <w:p>
      <w:pPr>
        <w:spacing w:after="0" w:line="77" w:lineRule="exact"/>
        <w:rPr>
          <w:sz w:val="20"/>
          <w:szCs w:val="20"/>
          <w:color w:val="auto"/>
        </w:rPr>
      </w:pPr>
    </w:p>
    <w:p>
      <w:pPr>
        <w:ind w:left="840" w:right="940"/>
        <w:spacing w:after="0" w:line="234" w:lineRule="auto"/>
        <w:rPr>
          <w:sz w:val="20"/>
          <w:szCs w:val="20"/>
          <w:color w:val="auto"/>
        </w:rPr>
      </w:pPr>
      <w:r>
        <w:rPr>
          <w:rFonts w:ascii="Arial" w:cs="Arial" w:eastAsia="Arial" w:hAnsi="Arial"/>
          <w:sz w:val="20"/>
          <w:szCs w:val="20"/>
          <w:b w:val="1"/>
          <w:bCs w:val="1"/>
          <w:color w:val="auto"/>
        </w:rPr>
        <w:t>expenses incurred under agreements with third-party contract organizations, preclinical testing organizations, and consultants;</w:t>
      </w:r>
    </w:p>
    <w:p>
      <w:pPr>
        <w:spacing w:after="0" w:line="144" w:lineRule="exact"/>
        <w:rPr>
          <w:sz w:val="20"/>
          <w:szCs w:val="20"/>
          <w:color w:val="auto"/>
        </w:rPr>
      </w:pPr>
    </w:p>
    <w:p>
      <w:pPr>
        <w:ind w:left="840" w:right="180"/>
        <w:spacing w:after="0" w:line="234" w:lineRule="auto"/>
        <w:rPr>
          <w:sz w:val="20"/>
          <w:szCs w:val="20"/>
          <w:color w:val="auto"/>
        </w:rPr>
      </w:pPr>
      <w:r>
        <w:rPr>
          <w:rFonts w:ascii="Arial" w:cs="Arial" w:eastAsia="Arial" w:hAnsi="Arial"/>
          <w:sz w:val="20"/>
          <w:szCs w:val="20"/>
          <w:b w:val="1"/>
          <w:bCs w:val="1"/>
          <w:color w:val="auto"/>
        </w:rPr>
        <w:t>costs related to production of research, preclinical, and clinical materials, including fees paid to contract manufacturers;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laboratory and vendor expenses related to the execution of research, preclinical studies and clinical trials;</w:t>
      </w:r>
    </w:p>
    <w:p>
      <w:pPr>
        <w:spacing w:after="0" w:line="169" w:lineRule="exact"/>
        <w:rPr>
          <w:sz w:val="20"/>
          <w:szCs w:val="20"/>
          <w:color w:val="auto"/>
        </w:rPr>
      </w:pPr>
    </w:p>
    <w:p>
      <w:pPr>
        <w:ind w:left="840" w:right="460"/>
        <w:spacing w:after="0" w:line="234" w:lineRule="auto"/>
        <w:rPr>
          <w:sz w:val="20"/>
          <w:szCs w:val="20"/>
          <w:color w:val="auto"/>
        </w:rPr>
      </w:pPr>
      <w:r>
        <w:rPr>
          <w:rFonts w:ascii="Arial" w:cs="Arial" w:eastAsia="Arial" w:hAnsi="Arial"/>
          <w:sz w:val="20"/>
          <w:szCs w:val="20"/>
          <w:b w:val="1"/>
          <w:bCs w:val="1"/>
          <w:color w:val="auto"/>
        </w:rPr>
        <w:t>personnel-related expenses, including salaries, benefits, and stock-based compensation for personnel engaged in research and development functions;</w:t>
      </w:r>
    </w:p>
    <w:p>
      <w:pPr>
        <w:spacing w:after="0" w:line="146" w:lineRule="exact"/>
        <w:rPr>
          <w:sz w:val="20"/>
          <w:szCs w:val="20"/>
          <w:color w:val="auto"/>
        </w:rPr>
      </w:pPr>
    </w:p>
    <w:p>
      <w:pPr>
        <w:ind w:left="840" w:right="3880"/>
        <w:spacing w:after="0" w:line="367" w:lineRule="auto"/>
        <w:rPr>
          <w:sz w:val="20"/>
          <w:szCs w:val="20"/>
          <w:color w:val="auto"/>
        </w:rPr>
      </w:pPr>
      <w:r>
        <w:rPr>
          <w:rFonts w:ascii="Arial" w:cs="Arial" w:eastAsia="Arial" w:hAnsi="Arial"/>
          <w:sz w:val="20"/>
          <w:szCs w:val="20"/>
          <w:b w:val="1"/>
          <w:bCs w:val="1"/>
          <w:color w:val="auto"/>
        </w:rPr>
        <w:t>costs related to the preparation of regulatory submissions; third-party license fees; and</w:t>
      </w:r>
    </w:p>
    <w:p>
      <w:pPr>
        <w:spacing w:after="0" w:line="23" w:lineRule="exact"/>
        <w:rPr>
          <w:sz w:val="20"/>
          <w:szCs w:val="20"/>
          <w:color w:val="auto"/>
        </w:rPr>
      </w:pPr>
    </w:p>
    <w:p>
      <w:pPr>
        <w:ind w:left="840" w:right="160"/>
        <w:spacing w:after="0" w:line="234" w:lineRule="auto"/>
        <w:rPr>
          <w:sz w:val="20"/>
          <w:szCs w:val="20"/>
          <w:color w:val="auto"/>
        </w:rPr>
      </w:pPr>
      <w:r>
        <w:rPr>
          <w:rFonts w:ascii="Arial" w:cs="Arial" w:eastAsia="Arial" w:hAnsi="Arial"/>
          <w:sz w:val="20"/>
          <w:szCs w:val="20"/>
          <w:b w:val="1"/>
          <w:bCs w:val="1"/>
          <w:color w:val="auto"/>
        </w:rPr>
        <w:t>facilities and other expenses, which include expenses for rent and maintenance of facilities, depreciation and amortization expense, and other supplies.</w:t>
      </w:r>
    </w:p>
    <w:p>
      <w:pPr>
        <w:spacing w:after="0" w:line="155" w:lineRule="exact"/>
        <w:rPr>
          <w:sz w:val="20"/>
          <w:szCs w:val="20"/>
          <w:color w:val="auto"/>
        </w:rPr>
      </w:pPr>
    </w:p>
    <w:p>
      <w:pPr>
        <w:ind w:right="80" w:firstLine="490"/>
        <w:spacing w:after="0" w:line="269" w:lineRule="auto"/>
        <w:rPr>
          <w:sz w:val="20"/>
          <w:szCs w:val="20"/>
          <w:color w:val="auto"/>
        </w:rPr>
      </w:pPr>
      <w:r>
        <w:rPr>
          <w:rFonts w:ascii="Arial" w:cs="Arial" w:eastAsia="Arial" w:hAnsi="Arial"/>
          <w:sz w:val="18"/>
          <w:szCs w:val="18"/>
          <w:b w:val="1"/>
          <w:bCs w:val="1"/>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capitalized. The capitalized amounts are then expensed as the related goods are delivered and as services are performed.</w:t>
      </w:r>
    </w:p>
    <w:p>
      <w:pPr>
        <w:spacing w:after="0" w:line="108" w:lineRule="exact"/>
        <w:rPr>
          <w:sz w:val="20"/>
          <w:szCs w:val="20"/>
          <w:color w:val="auto"/>
        </w:rPr>
      </w:pPr>
    </w:p>
    <w:p>
      <w:pPr>
        <w:ind w:right="80" w:firstLine="490"/>
        <w:spacing w:after="0" w:line="252" w:lineRule="auto"/>
        <w:rPr>
          <w:sz w:val="20"/>
          <w:szCs w:val="20"/>
          <w:color w:val="auto"/>
        </w:rPr>
      </w:pPr>
      <w:r>
        <w:rPr>
          <w:rFonts w:ascii="Arial" w:cs="Arial" w:eastAsia="Arial" w:hAnsi="Arial"/>
          <w:sz w:val="19"/>
          <w:szCs w:val="19"/>
          <w:b w:val="1"/>
          <w:bCs w:val="1"/>
          <w:color w:val="auto"/>
        </w:rPr>
        <w:t>Specific program expenses include expenses associated with the development of our most advanced product candidate, nivisnebart, which is being studied in the PROGRESS-AD Phase 2 clinical trial. We also have expenses related to the research and development of future product candidates and separately tracked expenses related to programs that we expect to move out of preclinical studies and into Phase 1 clinical trials. These expenses primarily relate to salaries and benefits, stock-based compensation, facility expenses, including depreciation, and lab consumables.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96</w:t>
      </w:r>
    </w:p>
    <w:p>
      <w:pPr>
        <w:sectPr>
          <w:pgSz w:w="12240" w:h="15840" w:orient="portrait"/>
          <w:cols w:equalWidth="0" w:num="1">
            <w:col w:w="9360"/>
          </w:cols>
          <w:pgMar w:left="1440" w:top="1440" w:right="1440" w:bottom="181" w:gutter="0" w:footer="0" w:header="0"/>
          <w:type w:val="continuous"/>
        </w:sectPr>
      </w:pPr>
    </w:p>
    <w:bookmarkStart w:id="98" w:name="page99"/>
    <w:bookmarkEnd w:id="98"/>
    <w:p>
      <w:pPr>
        <w:spacing w:after="0" w:line="10" w:lineRule="exact"/>
        <w:rPr>
          <w:sz w:val="20"/>
          <w:szCs w:val="20"/>
          <w:color w:val="auto"/>
        </w:rPr>
      </w:pPr>
    </w:p>
    <w:p>
      <w:pPr>
        <w:ind w:right="920" w:firstLine="490"/>
        <w:spacing w:after="0" w:line="312" w:lineRule="auto"/>
        <w:rPr>
          <w:sz w:val="20"/>
          <w:szCs w:val="20"/>
          <w:color w:val="auto"/>
        </w:rPr>
      </w:pPr>
      <w:r>
        <w:rPr>
          <w:rFonts w:ascii="Arial" w:cs="Arial" w:eastAsia="Arial" w:hAnsi="Arial"/>
          <w:sz w:val="17"/>
          <w:szCs w:val="17"/>
          <w:b w:val="1"/>
          <w:bCs w:val="1"/>
          <w:color w:val="auto"/>
        </w:rPr>
        <w:t>Where we share costs with our collaboration partners, such as in our GSK Agreement, research and development expenses may include reimbursements from, or payments to, our partner.</w:t>
      </w:r>
    </w:p>
    <w:p>
      <w:pPr>
        <w:spacing w:after="0" w:line="70" w:lineRule="exact"/>
        <w:rPr>
          <w:sz w:val="20"/>
          <w:szCs w:val="20"/>
          <w:color w:val="auto"/>
        </w:rPr>
      </w:pPr>
    </w:p>
    <w:p>
      <w:pPr>
        <w:ind w:right="20" w:firstLine="490"/>
        <w:spacing w:after="0" w:line="288" w:lineRule="auto"/>
        <w:rPr>
          <w:sz w:val="20"/>
          <w:szCs w:val="20"/>
          <w:color w:val="auto"/>
        </w:rPr>
      </w:pPr>
      <w:r>
        <w:rPr>
          <w:rFonts w:ascii="Arial" w:cs="Arial" w:eastAsia="Arial" w:hAnsi="Arial"/>
          <w:sz w:val="17"/>
          <w:szCs w:val="17"/>
          <w:b w:val="1"/>
          <w:bCs w:val="1"/>
          <w:color w:val="auto"/>
        </w:rPr>
        <w:t>At this time, we cannot reasonably estimate or know the nature, timing, and estimated costs of the efforts that will be necessary to complete the development of, and obtain regulatory approval for, any of our product candidates. We expect our research and development expenses relating to latozinemab and AL002 to decrease in the foreseeable future as a result of the discontinuation and wind-down of clinical trials for latozinemab and AL002. However, we continue to invest in research and development activities related to programs in our research and preclinical pipeline and to the advancement of those programs into clinical trials.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Expenses</w:t>
      </w:r>
    </w:p>
    <w:p>
      <w:pPr>
        <w:spacing w:after="0" w:line="131" w:lineRule="exact"/>
        <w:rPr>
          <w:sz w:val="20"/>
          <w:szCs w:val="20"/>
          <w:color w:val="auto"/>
        </w:rPr>
      </w:pPr>
    </w:p>
    <w:p>
      <w:pPr>
        <w:ind w:right="40" w:firstLine="490"/>
        <w:spacing w:after="0" w:line="290" w:lineRule="auto"/>
        <w:rPr>
          <w:sz w:val="20"/>
          <w:szCs w:val="20"/>
          <w:color w:val="auto"/>
        </w:rPr>
      </w:pPr>
      <w:r>
        <w:rPr>
          <w:rFonts w:ascii="Arial" w:cs="Arial" w:eastAsia="Arial" w:hAnsi="Arial"/>
          <w:sz w:val="17"/>
          <w:szCs w:val="17"/>
          <w:b w:val="1"/>
          <w:bCs w:val="1"/>
          <w:color w:val="auto"/>
        </w:rPr>
        <w:t>General and administrative expenses consist primarily of personnel-related costs, including stock-based compensation, for our personnel in executive, legal, finance and accounting, information technology, human resources, and other administrative functions. General and administrative expenses also include legal fees relating to intellectual property and corporate matters, professional fees paid for accounting, auditing, consulting, and tax services, insurance costs, and facility costs not otherwise included in research and development expenses.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Other income, net consists primarily of interest earned on our cash equivalents and marketable securities.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Income tax expense consists of federal and state income tax provisions.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31" w:lineRule="exact"/>
        <w:rPr>
          <w:sz w:val="20"/>
          <w:szCs w:val="20"/>
          <w:color w:val="auto"/>
        </w:rPr>
      </w:pPr>
    </w:p>
    <w:p>
      <w:pPr>
        <w:jc w:val="both"/>
        <w:ind w:right="60" w:firstLine="490"/>
        <w:spacing w:after="0" w:line="235" w:lineRule="auto"/>
        <w:rPr>
          <w:sz w:val="20"/>
          <w:szCs w:val="20"/>
          <w:color w:val="auto"/>
        </w:rPr>
      </w:pPr>
      <w:r>
        <w:rPr>
          <w:rFonts w:ascii="Arial" w:cs="Arial" w:eastAsia="Arial" w:hAnsi="Arial"/>
          <w:sz w:val="20"/>
          <w:szCs w:val="20"/>
          <w:b w:val="1"/>
          <w:bCs w:val="1"/>
          <w:color w:val="auto"/>
        </w:rPr>
        <w:t>The following table sets forth selected consolidated statements of operations data for the fiscal years indicated and the percentage change in such data from year to year. These historical operating results may not be indicative of the results for any future period.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2025 and 2024</w:t>
      </w: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3"/>
          </w:tcPr>
          <w:p>
            <w:pPr>
              <w:jc w:val="right"/>
              <w:ind w:right="642"/>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3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3"/>
          </w:tcPr>
          <w:p>
            <w:pPr>
              <w:jc w:val="right"/>
              <w:ind w:right="582"/>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840" w:type="dxa"/>
            <w:vAlign w:val="bottom"/>
          </w:tcPr>
          <w:p>
            <w:pPr>
              <w:jc w:val="right"/>
              <w:ind w:right="204"/>
              <w:spacing w:after="0"/>
              <w:rPr>
                <w:sz w:val="20"/>
                <w:szCs w:val="20"/>
                <w:color w:val="auto"/>
              </w:rPr>
            </w:pPr>
            <w:r>
              <w:rPr>
                <w:rFonts w:ascii="Arial" w:cs="Arial" w:eastAsia="Arial" w:hAnsi="Arial"/>
                <w:sz w:val="16"/>
                <w:szCs w:val="16"/>
                <w:b w:val="1"/>
                <w:bCs w:val="1"/>
                <w:color w:val="auto"/>
              </w:rPr>
              <w:t>Dollar</w:t>
            </w:r>
          </w:p>
        </w:tc>
      </w:tr>
      <w:tr>
        <w:trPr>
          <w:trHeight w:val="199"/>
        </w:trPr>
        <w:tc>
          <w:tcPr>
            <w:tcW w:w="3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ind w:right="305"/>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7"/>
                <w:szCs w:val="17"/>
                <w:color w:val="auto"/>
              </w:rPr>
            </w:pPr>
          </w:p>
        </w:tc>
        <w:tc>
          <w:tcPr>
            <w:tcW w:w="900" w:type="dxa"/>
            <w:vAlign w:val="bottom"/>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6"/>
                <w:szCs w:val="16"/>
                <w:b w:val="1"/>
                <w:bCs w:val="1"/>
                <w:color w:val="auto"/>
                <w:w w:val="95"/>
              </w:rPr>
              <w:t>Change</w:t>
            </w:r>
          </w:p>
        </w:tc>
      </w:tr>
      <w:tr>
        <w:trPr>
          <w:trHeight w:val="199"/>
        </w:trPr>
        <w:tc>
          <w:tcPr>
            <w:tcW w:w="3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2"/>
              </w:rPr>
              <w:t>(In thousands)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3320" w:type="dxa"/>
            <w:vAlign w:val="bottom"/>
          </w:tcPr>
          <w:p>
            <w:pPr>
              <w:spacing w:after="0" w:line="229" w:lineRule="exact"/>
              <w:rPr>
                <w:sz w:val="20"/>
                <w:szCs w:val="20"/>
                <w:color w:val="auto"/>
              </w:rPr>
            </w:pPr>
            <w:r>
              <w:rPr>
                <w:rFonts w:ascii="Arial" w:cs="Arial" w:eastAsia="Arial" w:hAnsi="Arial"/>
                <w:sz w:val="20"/>
                <w:szCs w:val="20"/>
                <w:b w:val="1"/>
                <w:bCs w:val="1"/>
                <w:color w:val="auto"/>
              </w:rPr>
              <w:t>Collaboration revenue</w:t>
            </w:r>
          </w:p>
        </w:tc>
        <w:tc>
          <w:tcPr>
            <w:tcW w:w="10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ind w:right="5"/>
              <w:spacing w:after="0" w:line="229" w:lineRule="exact"/>
              <w:rPr>
                <w:sz w:val="20"/>
                <w:szCs w:val="20"/>
                <w:color w:val="auto"/>
              </w:rPr>
            </w:pPr>
            <w:r>
              <w:rPr>
                <w:rFonts w:ascii="Arial" w:cs="Arial" w:eastAsia="Arial" w:hAnsi="Arial"/>
                <w:sz w:val="20"/>
                <w:szCs w:val="20"/>
                <w:b w:val="1"/>
                <w:bCs w:val="1"/>
                <w:color w:val="auto"/>
              </w:rPr>
              <w:t>21,045</w:t>
            </w:r>
          </w:p>
        </w:tc>
        <w:tc>
          <w:tcPr>
            <w:tcW w:w="2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42"/>
              <w:spacing w:after="0" w:line="229" w:lineRule="exact"/>
              <w:rPr>
                <w:sz w:val="20"/>
                <w:szCs w:val="20"/>
                <w:color w:val="auto"/>
              </w:rPr>
            </w:pPr>
            <w:r>
              <w:rPr>
                <w:rFonts w:ascii="Arial" w:cs="Arial" w:eastAsia="Arial" w:hAnsi="Arial"/>
                <w:sz w:val="20"/>
                <w:szCs w:val="20"/>
                <w:b w:val="1"/>
                <w:bCs w:val="1"/>
                <w:color w:val="auto"/>
              </w:rPr>
              <w:t>100,558</w:t>
            </w:r>
          </w:p>
        </w:tc>
        <w:tc>
          <w:tcPr>
            <w:tcW w:w="2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(79,513)</w:t>
            </w:r>
          </w:p>
        </w:tc>
      </w:tr>
      <w:tr>
        <w:trPr>
          <w:trHeight w:val="230"/>
        </w:trPr>
        <w:tc>
          <w:tcPr>
            <w:tcW w:w="332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108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Arial" w:cs="Arial" w:eastAsia="Arial" w:hAnsi="Arial"/>
                <w:sz w:val="20"/>
                <w:szCs w:val="20"/>
                <w:b w:val="1"/>
                <w:bCs w:val="1"/>
                <w:color w:val="auto"/>
              </w:rPr>
              <w:t>123,065</w:t>
            </w:r>
          </w:p>
        </w:tc>
        <w:tc>
          <w:tcPr>
            <w:tcW w:w="2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b w:val="1"/>
                <w:bCs w:val="1"/>
                <w:color w:val="auto"/>
              </w:rPr>
              <w:t>185,940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(62,875)</w:t>
            </w:r>
          </w:p>
        </w:tc>
      </w:tr>
      <w:tr>
        <w:trPr>
          <w:trHeight w:val="230"/>
        </w:trPr>
        <w:tc>
          <w:tcPr>
            <w:tcW w:w="3320" w:type="dxa"/>
            <w:vAlign w:val="bottom"/>
          </w:tcPr>
          <w:p>
            <w:pPr>
              <w:ind w:left="200"/>
              <w:spacing w:after="0"/>
              <w:rPr>
                <w:sz w:val="20"/>
                <w:szCs w:val="20"/>
                <w:color w:val="auto"/>
              </w:rPr>
            </w:pPr>
            <w:r>
              <w:rPr>
                <w:rFonts w:ascii="Arial" w:cs="Arial" w:eastAsia="Arial" w:hAnsi="Arial"/>
                <w:sz w:val="20"/>
                <w:szCs w:val="20"/>
                <w:b w:val="1"/>
                <w:bCs w:val="1"/>
                <w:color w:val="auto"/>
              </w:rPr>
              <w:t>General and administrative</w:t>
            </w:r>
          </w:p>
        </w:tc>
        <w:tc>
          <w:tcPr>
            <w:tcW w:w="108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Arial" w:cs="Arial" w:eastAsia="Arial" w:hAnsi="Arial"/>
                <w:sz w:val="20"/>
                <w:szCs w:val="20"/>
                <w:b w:val="1"/>
                <w:bCs w:val="1"/>
                <w:color w:val="auto"/>
              </w:rPr>
              <w:t>53,987</w:t>
            </w:r>
          </w:p>
        </w:tc>
        <w:tc>
          <w:tcPr>
            <w:tcW w:w="2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b w:val="1"/>
                <w:bCs w:val="1"/>
                <w:color w:val="auto"/>
              </w:rPr>
              <w:t>59,615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(5,628)</w:t>
            </w:r>
          </w:p>
        </w:tc>
      </w:tr>
      <w:tr>
        <w:trPr>
          <w:trHeight w:val="245"/>
        </w:trPr>
        <w:tc>
          <w:tcPr>
            <w:tcW w:w="3320" w:type="dxa"/>
            <w:vAlign w:val="bottom"/>
          </w:tcPr>
          <w:p>
            <w:pPr>
              <w:ind w:left="400"/>
              <w:spacing w:after="0"/>
              <w:rPr>
                <w:sz w:val="20"/>
                <w:szCs w:val="20"/>
                <w:color w:val="auto"/>
              </w:rPr>
            </w:pPr>
            <w:r>
              <w:rPr>
                <w:rFonts w:ascii="Arial" w:cs="Arial" w:eastAsia="Arial" w:hAnsi="Arial"/>
                <w:sz w:val="20"/>
                <w:szCs w:val="20"/>
                <w:b w:val="1"/>
                <w:bCs w:val="1"/>
                <w:color w:val="auto"/>
              </w:rPr>
              <w:t>Total operating expenses</w:t>
            </w:r>
          </w:p>
        </w:tc>
        <w:tc>
          <w:tcPr>
            <w:tcW w:w="1080" w:type="dxa"/>
            <w:vAlign w:val="bottom"/>
          </w:tcPr>
          <w:p>
            <w:pPr>
              <w:spacing w:after="0"/>
              <w:rPr>
                <w:sz w:val="21"/>
                <w:szCs w:val="21"/>
                <w:color w:val="auto"/>
              </w:rPr>
            </w:pPr>
          </w:p>
        </w:tc>
        <w:tc>
          <w:tcPr>
            <w:tcW w:w="880" w:type="dxa"/>
            <w:vAlign w:val="bottom"/>
          </w:tcPr>
          <w:p>
            <w:pPr>
              <w:jc w:val="right"/>
              <w:ind w:right="5"/>
              <w:spacing w:after="0"/>
              <w:rPr>
                <w:sz w:val="20"/>
                <w:szCs w:val="20"/>
                <w:color w:val="auto"/>
              </w:rPr>
            </w:pPr>
            <w:r>
              <w:rPr>
                <w:rFonts w:ascii="Arial" w:cs="Arial" w:eastAsia="Arial" w:hAnsi="Arial"/>
                <w:sz w:val="20"/>
                <w:szCs w:val="20"/>
                <w:b w:val="1"/>
                <w:bCs w:val="1"/>
                <w:color w:val="auto"/>
              </w:rPr>
              <w:t>177,052</w:t>
            </w:r>
          </w:p>
        </w:tc>
        <w:tc>
          <w:tcPr>
            <w:tcW w:w="24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b w:val="1"/>
                <w:bCs w:val="1"/>
                <w:color w:val="auto"/>
              </w:rPr>
              <w:t>245,555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(68,503)</w:t>
            </w:r>
          </w:p>
        </w:tc>
      </w:tr>
      <w:tr>
        <w:trPr>
          <w:trHeight w:val="245"/>
        </w:trPr>
        <w:tc>
          <w:tcPr>
            <w:tcW w:w="3320" w:type="dxa"/>
            <w:vAlign w:val="bottom"/>
          </w:tcPr>
          <w:p>
            <w:pPr>
              <w:spacing w:after="0"/>
              <w:rPr>
                <w:sz w:val="20"/>
                <w:szCs w:val="20"/>
                <w:color w:val="auto"/>
              </w:rPr>
            </w:pPr>
            <w:r>
              <w:rPr>
                <w:rFonts w:ascii="Arial" w:cs="Arial" w:eastAsia="Arial" w:hAnsi="Arial"/>
                <w:sz w:val="20"/>
                <w:szCs w:val="20"/>
                <w:b w:val="1"/>
                <w:bCs w:val="1"/>
                <w:color w:val="auto"/>
              </w:rPr>
              <w:t>Loss from operations</w:t>
            </w:r>
          </w:p>
        </w:tc>
        <w:tc>
          <w:tcPr>
            <w:tcW w:w="10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95"/>
              </w:rPr>
              <w:t>(156,007)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95"/>
              </w:rPr>
              <w:t>(144,997)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(11,010)</w:t>
            </w:r>
          </w:p>
        </w:tc>
      </w:tr>
      <w:tr>
        <w:trPr>
          <w:trHeight w:val="230"/>
        </w:trPr>
        <w:tc>
          <w:tcPr>
            <w:tcW w:w="3320" w:type="dxa"/>
            <w:vAlign w:val="bottom"/>
          </w:tcPr>
          <w:p>
            <w:pPr>
              <w:spacing w:after="0"/>
              <w:rPr>
                <w:sz w:val="20"/>
                <w:szCs w:val="20"/>
                <w:color w:val="auto"/>
              </w:rPr>
            </w:pPr>
            <w:r>
              <w:rPr>
                <w:rFonts w:ascii="Arial" w:cs="Arial" w:eastAsia="Arial" w:hAnsi="Arial"/>
                <w:sz w:val="20"/>
                <w:szCs w:val="20"/>
                <w:b w:val="1"/>
                <w:bCs w:val="1"/>
                <w:color w:val="auto"/>
              </w:rPr>
              <w:t>Other income, net</w:t>
            </w:r>
          </w:p>
        </w:tc>
        <w:tc>
          <w:tcPr>
            <w:tcW w:w="108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Arial" w:cs="Arial" w:eastAsia="Arial" w:hAnsi="Arial"/>
                <w:sz w:val="20"/>
                <w:szCs w:val="20"/>
                <w:b w:val="1"/>
                <w:bCs w:val="1"/>
                <w:color w:val="auto"/>
              </w:rPr>
              <w:t>13,246</w:t>
            </w:r>
          </w:p>
        </w:tc>
        <w:tc>
          <w:tcPr>
            <w:tcW w:w="2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b w:val="1"/>
                <w:bCs w:val="1"/>
                <w:color w:val="auto"/>
              </w:rPr>
              <w:t>26,076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(12,830)</w:t>
            </w:r>
          </w:p>
        </w:tc>
      </w:tr>
      <w:tr>
        <w:trPr>
          <w:trHeight w:val="245"/>
        </w:trPr>
        <w:tc>
          <w:tcPr>
            <w:tcW w:w="332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10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95"/>
              </w:rPr>
              <w:t>(142,761)</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95"/>
              </w:rPr>
              <w:t>(118,921)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(23,840)</w:t>
            </w:r>
          </w:p>
        </w:tc>
      </w:tr>
      <w:tr>
        <w:trPr>
          <w:trHeight w:val="230"/>
        </w:trPr>
        <w:tc>
          <w:tcPr>
            <w:tcW w:w="3320" w:type="dxa"/>
            <w:vAlign w:val="bottom"/>
          </w:tcPr>
          <w:p>
            <w:pPr>
              <w:spacing w:after="0"/>
              <w:rPr>
                <w:sz w:val="20"/>
                <w:szCs w:val="20"/>
                <w:color w:val="auto"/>
              </w:rPr>
            </w:pPr>
            <w:r>
              <w:rPr>
                <w:rFonts w:ascii="Arial" w:cs="Arial" w:eastAsia="Arial" w:hAnsi="Arial"/>
                <w:sz w:val="20"/>
                <w:szCs w:val="20"/>
                <w:b w:val="1"/>
                <w:bCs w:val="1"/>
                <w:color w:val="auto"/>
              </w:rPr>
              <w:t>Income tax expense</w:t>
            </w:r>
          </w:p>
        </w:tc>
        <w:tc>
          <w:tcPr>
            <w:tcW w:w="108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Arial" w:cs="Arial" w:eastAsia="Arial" w:hAnsi="Arial"/>
                <w:sz w:val="20"/>
                <w:szCs w:val="20"/>
                <w:b w:val="1"/>
                <w:bCs w:val="1"/>
                <w:color w:val="auto"/>
              </w:rPr>
              <w:t>168</w:t>
            </w:r>
          </w:p>
        </w:tc>
        <w:tc>
          <w:tcPr>
            <w:tcW w:w="2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b w:val="1"/>
                <w:bCs w:val="1"/>
                <w:color w:val="auto"/>
              </w:rPr>
              <w:t>128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245"/>
        </w:trPr>
        <w:tc>
          <w:tcPr>
            <w:tcW w:w="332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95"/>
              </w:rPr>
              <w:t>(142,929)</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95"/>
              </w:rPr>
              <w:t>(119,049)</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(23,880)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-1764030</wp:posOffset>
            </wp:positionV>
            <wp:extent cx="4783455" cy="1805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83455" cy="180530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31" w:lineRule="exact"/>
        <w:rPr>
          <w:sz w:val="20"/>
          <w:szCs w:val="20"/>
          <w:color w:val="auto"/>
        </w:rPr>
      </w:pPr>
    </w:p>
    <w:p>
      <w:pPr>
        <w:ind w:right="160" w:firstLine="490"/>
        <w:spacing w:after="0" w:line="269" w:lineRule="auto"/>
        <w:rPr>
          <w:sz w:val="20"/>
          <w:szCs w:val="20"/>
          <w:color w:val="auto"/>
        </w:rPr>
      </w:pPr>
      <w:r>
        <w:rPr>
          <w:rFonts w:ascii="Arial" w:cs="Arial" w:eastAsia="Arial" w:hAnsi="Arial"/>
          <w:sz w:val="18"/>
          <w:szCs w:val="18"/>
          <w:b w:val="1"/>
          <w:bCs w:val="1"/>
          <w:color w:val="auto"/>
        </w:rPr>
        <w:t>Collaboration revenue was $21.0 million for the year ended December 31, 2025, compared to $100.6 million for the year ended December 31, 2024. The decrease of $79.6 million in revenue was primarily due to the satisfaction of the performance obligations associated with the AL002 program and the latozinemab FTD-C9orf72 Phase 2 trial in the fourth quarter of 2024, resulting in lower revenue recognized in 2025. Revenues are recognized as the program costs are incurred by measuring actual costs incurred to date compared to the overall total expected costs to satisfy the performance obligation.</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9360"/>
          </w:cols>
          <w:pgMar w:left="1440" w:top="1440" w:right="1440" w:bottom="181"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31" w:lineRule="exact"/>
        <w:rPr>
          <w:sz w:val="20"/>
          <w:szCs w:val="20"/>
          <w:color w:val="auto"/>
        </w:rPr>
      </w:pPr>
    </w:p>
    <w:p>
      <w:pPr>
        <w:ind w:right="60" w:firstLine="490"/>
        <w:spacing w:after="0" w:line="236" w:lineRule="auto"/>
        <w:rPr>
          <w:sz w:val="20"/>
          <w:szCs w:val="20"/>
          <w:color w:val="auto"/>
        </w:rPr>
      </w:pPr>
      <w:r>
        <w:rPr>
          <w:rFonts w:ascii="Arial" w:cs="Arial" w:eastAsia="Arial" w:hAnsi="Arial"/>
          <w:sz w:val="20"/>
          <w:szCs w:val="20"/>
          <w:b w:val="1"/>
          <w:bCs w:val="1"/>
          <w:color w:val="auto"/>
        </w:rPr>
        <w:t>Research and development expenses were $123.1 million for the year ended December 31, 2025, compared to $185.9 million for the year ended December 31, 2024. The decrease of $62.8 million was mainly due to a decrease in research and development expenses for the AL002 program as well as a decrease in personnel related costs as a result of the reductions in force.</w:t>
      </w:r>
    </w:p>
    <w:p>
      <w:pPr>
        <w:spacing w:after="0" w:line="200" w:lineRule="exact"/>
        <w:rPr>
          <w:sz w:val="20"/>
          <w:szCs w:val="20"/>
          <w:color w:val="auto"/>
        </w:rPr>
      </w:pPr>
    </w:p>
    <w:p>
      <w:pPr>
        <w:spacing w:after="0" w:line="265"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3"/>
          </w:tcPr>
          <w:p>
            <w:pPr>
              <w:jc w:val="right"/>
              <w:ind w:right="623"/>
              <w:spacing w:after="0"/>
              <w:rPr>
                <w:sz w:val="20"/>
                <w:szCs w:val="20"/>
                <w:color w:val="auto"/>
              </w:rPr>
            </w:pPr>
            <w:r>
              <w:rPr>
                <w:rFonts w:ascii="Arial" w:cs="Arial" w:eastAsia="Arial" w:hAnsi="Arial"/>
                <w:sz w:val="16"/>
                <w:szCs w:val="16"/>
                <w:b w:val="1"/>
                <w:bCs w:val="1"/>
                <w:color w:val="auto"/>
              </w:rPr>
              <w:t>Year Ended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4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3"/>
          </w:tcPr>
          <w:p>
            <w:pPr>
              <w:jc w:val="right"/>
              <w:ind w:right="563"/>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840" w:type="dxa"/>
            <w:vAlign w:val="bottom"/>
          </w:tcPr>
          <w:p>
            <w:pPr>
              <w:jc w:val="right"/>
              <w:ind w:right="205"/>
              <w:spacing w:after="0"/>
              <w:rPr>
                <w:sz w:val="20"/>
                <w:szCs w:val="20"/>
                <w:color w:val="auto"/>
              </w:rPr>
            </w:pPr>
            <w:r>
              <w:rPr>
                <w:rFonts w:ascii="Arial" w:cs="Arial" w:eastAsia="Arial" w:hAnsi="Arial"/>
                <w:sz w:val="16"/>
                <w:szCs w:val="16"/>
                <w:b w:val="1"/>
                <w:bCs w:val="1"/>
                <w:color w:val="auto"/>
              </w:rPr>
              <w:t>Dollar</w:t>
            </w:r>
          </w:p>
        </w:tc>
      </w:tr>
      <w:tr>
        <w:trPr>
          <w:trHeight w:val="199"/>
        </w:trPr>
        <w:tc>
          <w:tcPr>
            <w:tcW w:w="4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840" w:type="dxa"/>
            <w:vAlign w:val="bottom"/>
          </w:tcPr>
          <w:p>
            <w:pPr>
              <w:jc w:val="right"/>
              <w:ind w:right="165"/>
              <w:spacing w:after="0"/>
              <w:rPr>
                <w:sz w:val="20"/>
                <w:szCs w:val="20"/>
                <w:color w:val="auto"/>
              </w:rPr>
            </w:pPr>
            <w:r>
              <w:rPr>
                <w:rFonts w:ascii="Arial" w:cs="Arial" w:eastAsia="Arial" w:hAnsi="Arial"/>
                <w:sz w:val="16"/>
                <w:szCs w:val="16"/>
                <w:b w:val="1"/>
                <w:bCs w:val="1"/>
                <w:color w:val="auto"/>
                <w:w w:val="95"/>
              </w:rPr>
              <w:t>Change</w:t>
            </w:r>
          </w:p>
        </w:tc>
      </w:tr>
      <w:tr>
        <w:trPr>
          <w:trHeight w:val="199"/>
        </w:trPr>
        <w:tc>
          <w:tcPr>
            <w:tcW w:w="4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(In thousands)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4000" w:type="dxa"/>
            <w:vAlign w:val="bottom"/>
          </w:tcPr>
          <w:p>
            <w:pPr>
              <w:spacing w:after="0" w:line="229" w:lineRule="exact"/>
              <w:rPr>
                <w:sz w:val="20"/>
                <w:szCs w:val="20"/>
                <w:color w:val="auto"/>
              </w:rPr>
            </w:pPr>
            <w:r>
              <w:rPr>
                <w:rFonts w:ascii="Arial" w:cs="Arial" w:eastAsia="Arial" w:hAnsi="Arial"/>
                <w:sz w:val="20"/>
                <w:szCs w:val="20"/>
                <w:b w:val="1"/>
                <w:bCs w:val="1"/>
                <w:color w:val="auto"/>
                <w:w w:val="96"/>
              </w:rPr>
              <w:t>Direct research and development expenses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20"/>
                <w:szCs w:val="20"/>
                <w:b w:val="1"/>
                <w:bCs w:val="1"/>
                <w:color w:val="auto"/>
              </w:rPr>
              <w:t>Latozinemab</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14,824</w:t>
            </w:r>
          </w:p>
        </w:tc>
        <w:tc>
          <w:tcPr>
            <w:tcW w:w="30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13,909</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915</w:t>
            </w:r>
          </w:p>
        </w:tc>
      </w:tr>
      <w:tr>
        <w:trPr>
          <w:trHeight w:val="228"/>
        </w:trPr>
        <w:tc>
          <w:tcPr>
            <w:tcW w:w="400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Nivisnebart</w:t>
            </w:r>
          </w:p>
        </w:tc>
        <w:tc>
          <w:tcPr>
            <w:tcW w:w="4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6,418</w:t>
            </w:r>
          </w:p>
        </w:tc>
        <w:tc>
          <w:tcPr>
            <w:tcW w:w="300" w:type="dxa"/>
            <w:vAlign w:val="bottom"/>
          </w:tcPr>
          <w:p>
            <w:pPr>
              <w:spacing w:after="0"/>
              <w:rPr>
                <w:sz w:val="19"/>
                <w:szCs w:val="19"/>
                <w:color w:val="auto"/>
              </w:rPr>
            </w:pPr>
          </w:p>
        </w:tc>
        <w:tc>
          <w:tcPr>
            <w:tcW w:w="840" w:type="dxa"/>
            <w:vAlign w:val="bottom"/>
          </w:tcPr>
          <w:p>
            <w:pPr>
              <w:jc w:val="right"/>
              <w:ind w:right="3"/>
              <w:spacing w:after="0" w:line="228" w:lineRule="exact"/>
              <w:rPr>
                <w:sz w:val="20"/>
                <w:szCs w:val="20"/>
                <w:color w:val="auto"/>
              </w:rPr>
            </w:pPr>
            <w:r>
              <w:rPr>
                <w:rFonts w:ascii="Arial" w:cs="Arial" w:eastAsia="Arial" w:hAnsi="Arial"/>
                <w:sz w:val="20"/>
                <w:szCs w:val="20"/>
                <w:b w:val="1"/>
                <w:bCs w:val="1"/>
                <w:color w:val="auto"/>
              </w:rPr>
              <w:t>4,656</w:t>
            </w:r>
          </w:p>
        </w:tc>
        <w:tc>
          <w:tcPr>
            <w:tcW w:w="22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1,762</w:t>
            </w:r>
          </w:p>
        </w:tc>
      </w:tr>
      <w:tr>
        <w:trPr>
          <w:trHeight w:val="230"/>
        </w:trPr>
        <w:tc>
          <w:tcPr>
            <w:tcW w:w="4000" w:type="dxa"/>
            <w:vAlign w:val="bottom"/>
          </w:tcPr>
          <w:p>
            <w:pPr>
              <w:ind w:left="200"/>
              <w:spacing w:after="0"/>
              <w:rPr>
                <w:sz w:val="20"/>
                <w:szCs w:val="20"/>
                <w:color w:val="auto"/>
              </w:rPr>
            </w:pPr>
            <w:r>
              <w:rPr>
                <w:rFonts w:ascii="Arial" w:cs="Arial" w:eastAsia="Arial" w:hAnsi="Arial"/>
                <w:sz w:val="20"/>
                <w:szCs w:val="20"/>
                <w:b w:val="1"/>
                <w:bCs w:val="1"/>
                <w:color w:val="auto"/>
              </w:rPr>
              <w:t>AL002</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6,429</w:t>
            </w:r>
          </w:p>
        </w:tc>
        <w:tc>
          <w:tcPr>
            <w:tcW w:w="3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50,222</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(43,793)</w:t>
            </w:r>
          </w:p>
        </w:tc>
      </w:tr>
      <w:tr>
        <w:trPr>
          <w:trHeight w:val="230"/>
        </w:trPr>
        <w:tc>
          <w:tcPr>
            <w:tcW w:w="4000" w:type="dxa"/>
            <w:vAlign w:val="bottom"/>
          </w:tcPr>
          <w:p>
            <w:pPr>
              <w:ind w:left="200"/>
              <w:spacing w:after="0"/>
              <w:rPr>
                <w:sz w:val="20"/>
                <w:szCs w:val="20"/>
                <w:color w:val="auto"/>
              </w:rPr>
            </w:pPr>
            <w:r>
              <w:rPr>
                <w:rFonts w:ascii="Arial" w:cs="Arial" w:eastAsia="Arial" w:hAnsi="Arial"/>
                <w:sz w:val="20"/>
                <w:szCs w:val="20"/>
                <w:b w:val="1"/>
                <w:bCs w:val="1"/>
                <w:color w:val="auto"/>
              </w:rPr>
              <w:t>Other programs</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20,204</w:t>
            </w:r>
          </w:p>
        </w:tc>
        <w:tc>
          <w:tcPr>
            <w:tcW w:w="3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16,908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3,296</w:t>
            </w:r>
          </w:p>
        </w:tc>
      </w:tr>
      <w:tr>
        <w:trPr>
          <w:trHeight w:val="230"/>
        </w:trPr>
        <w:tc>
          <w:tcPr>
            <w:tcW w:w="4000" w:type="dxa"/>
            <w:vAlign w:val="bottom"/>
          </w:tcPr>
          <w:p>
            <w:pPr>
              <w:spacing w:after="0"/>
              <w:rPr>
                <w:sz w:val="20"/>
                <w:szCs w:val="20"/>
                <w:color w:val="auto"/>
              </w:rPr>
            </w:pPr>
            <w:r>
              <w:rPr>
                <w:rFonts w:ascii="Arial" w:cs="Arial" w:eastAsia="Arial" w:hAnsi="Arial"/>
                <w:sz w:val="20"/>
                <w:szCs w:val="20"/>
                <w:b w:val="1"/>
                <w:bCs w:val="1"/>
                <w:color w:val="auto"/>
                <w:w w:val="92"/>
              </w:rPr>
              <w:t>Indirect research and development expenses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20"/>
                <w:szCs w:val="20"/>
                <w:b w:val="1"/>
                <w:bCs w:val="1"/>
                <w:color w:val="auto"/>
                <w:w w:val="96"/>
              </w:rPr>
              <w:t>Personnel related (including stock-based</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20"/>
                <w:szCs w:val="20"/>
                <w:b w:val="1"/>
                <w:bCs w:val="1"/>
                <w:color w:val="auto"/>
              </w:rPr>
              <w:t>compensation)</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52,256</w:t>
            </w:r>
          </w:p>
        </w:tc>
        <w:tc>
          <w:tcPr>
            <w:tcW w:w="3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75,909</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(23,653)</w:t>
            </w:r>
          </w:p>
        </w:tc>
      </w:tr>
      <w:tr>
        <w:trPr>
          <w:trHeight w:val="228"/>
        </w:trPr>
        <w:tc>
          <w:tcPr>
            <w:tcW w:w="4000" w:type="dxa"/>
            <w:vAlign w:val="bottom"/>
          </w:tcPr>
          <w:p>
            <w:pPr>
              <w:ind w:left="200"/>
              <w:spacing w:after="0" w:line="228" w:lineRule="exact"/>
              <w:rPr>
                <w:sz w:val="20"/>
                <w:szCs w:val="20"/>
                <w:color w:val="auto"/>
              </w:rPr>
            </w:pPr>
            <w:r>
              <w:rPr>
                <w:rFonts w:ascii="Arial" w:cs="Arial" w:eastAsia="Arial" w:hAnsi="Arial"/>
                <w:sz w:val="20"/>
                <w:szCs w:val="20"/>
                <w:b w:val="1"/>
                <w:bCs w:val="1"/>
                <w:color w:val="auto"/>
                <w:w w:val="88"/>
              </w:rPr>
              <w:t>Facilities and other unallocated research and</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20"/>
                <w:szCs w:val="20"/>
                <w:b w:val="1"/>
                <w:bCs w:val="1"/>
                <w:color w:val="auto"/>
              </w:rPr>
              <w:t>development expenses</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22,934</w:t>
            </w:r>
          </w:p>
        </w:tc>
        <w:tc>
          <w:tcPr>
            <w:tcW w:w="3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24,336</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(1,402)</w:t>
            </w:r>
          </w:p>
        </w:tc>
      </w:tr>
      <w:tr>
        <w:trPr>
          <w:trHeight w:val="245"/>
        </w:trPr>
        <w:tc>
          <w:tcPr>
            <w:tcW w:w="4000" w:type="dxa"/>
            <w:vAlign w:val="bottom"/>
          </w:tcPr>
          <w:p>
            <w:pPr>
              <w:spacing w:after="0"/>
              <w:rPr>
                <w:sz w:val="20"/>
                <w:szCs w:val="20"/>
                <w:color w:val="auto"/>
              </w:rPr>
            </w:pPr>
            <w:r>
              <w:rPr>
                <w:rFonts w:ascii="Arial" w:cs="Arial" w:eastAsia="Arial" w:hAnsi="Arial"/>
                <w:sz w:val="20"/>
                <w:szCs w:val="20"/>
                <w:b w:val="1"/>
                <w:bCs w:val="1"/>
                <w:color w:val="auto"/>
                <w:w w:val="98"/>
              </w:rPr>
              <w:t>Total research and development expenses</w:t>
            </w:r>
          </w:p>
        </w:tc>
        <w:tc>
          <w:tcPr>
            <w:tcW w:w="4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123,065</w:t>
            </w:r>
          </w:p>
        </w:tc>
        <w:tc>
          <w:tcPr>
            <w:tcW w:w="30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w w:val="99"/>
              </w:rPr>
              <w:t>185,940</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(62,875)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-1879600</wp:posOffset>
            </wp:positionV>
            <wp:extent cx="4783455" cy="1922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83455" cy="192278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Expenses</w:t>
      </w:r>
    </w:p>
    <w:p>
      <w:pPr>
        <w:spacing w:after="0" w:line="131" w:lineRule="exact"/>
        <w:rPr>
          <w:sz w:val="20"/>
          <w:szCs w:val="20"/>
          <w:color w:val="auto"/>
        </w:rPr>
      </w:pPr>
    </w:p>
    <w:p>
      <w:pPr>
        <w:jc w:val="both"/>
        <w:ind w:right="140" w:firstLine="490"/>
        <w:spacing w:after="0" w:line="252" w:lineRule="auto"/>
        <w:rPr>
          <w:sz w:val="20"/>
          <w:szCs w:val="20"/>
          <w:color w:val="auto"/>
        </w:rPr>
      </w:pPr>
      <w:r>
        <w:rPr>
          <w:rFonts w:ascii="Arial" w:cs="Arial" w:eastAsia="Arial" w:hAnsi="Arial"/>
          <w:sz w:val="19"/>
          <w:szCs w:val="19"/>
          <w:b w:val="1"/>
          <w:bCs w:val="1"/>
          <w:color w:val="auto"/>
        </w:rPr>
        <w:t>General and administrative expenses were $54.0 million for the year ended December 31, 2025, compared to $59.6 million for the year ended December 31, 2024. The decrease of $5.6 million was mainly due to a decrease in personnel related costs as a result of the reductions in force.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131" w:lineRule="exact"/>
        <w:rPr>
          <w:sz w:val="20"/>
          <w:szCs w:val="20"/>
          <w:color w:val="auto"/>
        </w:rPr>
      </w:pPr>
    </w:p>
    <w:p>
      <w:pPr>
        <w:jc w:val="both"/>
        <w:ind w:right="20" w:firstLine="490"/>
        <w:spacing w:after="0" w:line="236" w:lineRule="auto"/>
        <w:rPr>
          <w:sz w:val="20"/>
          <w:szCs w:val="20"/>
          <w:color w:val="auto"/>
        </w:rPr>
      </w:pPr>
      <w:r>
        <w:rPr>
          <w:rFonts w:ascii="Arial" w:cs="Arial" w:eastAsia="Arial" w:hAnsi="Arial"/>
          <w:sz w:val="20"/>
          <w:szCs w:val="20"/>
          <w:b w:val="1"/>
          <w:bCs w:val="1"/>
          <w:color w:val="auto"/>
        </w:rPr>
        <w:t>Other income, net was $13.2 million for the year ended December 31, 2025, compared to $26.1 million for the year ended December 31, 2024. The decrease of $12.9 million was due to lower interest income from a reduction in marketable securities used to fund our operations.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128" w:lineRule="exact"/>
        <w:rPr>
          <w:sz w:val="20"/>
          <w:szCs w:val="20"/>
          <w:color w:val="auto"/>
        </w:rPr>
      </w:pPr>
    </w:p>
    <w:p>
      <w:pPr>
        <w:ind w:right="80" w:firstLine="490"/>
        <w:spacing w:after="0" w:line="234" w:lineRule="auto"/>
        <w:rPr>
          <w:sz w:val="20"/>
          <w:szCs w:val="20"/>
          <w:color w:val="auto"/>
        </w:rPr>
      </w:pPr>
      <w:r>
        <w:rPr>
          <w:rFonts w:ascii="Arial" w:cs="Arial" w:eastAsia="Arial" w:hAnsi="Arial"/>
          <w:sz w:val="20"/>
          <w:szCs w:val="20"/>
          <w:b w:val="1"/>
          <w:bCs w:val="1"/>
          <w:color w:val="auto"/>
        </w:rPr>
        <w:t>Income tax expense was $0.2 million for the year ended December 31, 2025, compared to $0.1 million for the year ended December 31, 2024.</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1" w:lineRule="exact"/>
        <w:rPr>
          <w:sz w:val="20"/>
          <w:szCs w:val="20"/>
          <w:color w:val="auto"/>
        </w:rPr>
      </w:pPr>
    </w:p>
    <w:p>
      <w:pPr>
        <w:ind w:right="80" w:firstLine="490"/>
        <w:spacing w:after="0" w:line="253" w:lineRule="auto"/>
        <w:rPr>
          <w:sz w:val="20"/>
          <w:szCs w:val="20"/>
          <w:color w:val="auto"/>
        </w:rPr>
      </w:pPr>
      <w:r>
        <w:rPr>
          <w:rFonts w:ascii="Arial" w:cs="Arial" w:eastAsia="Arial" w:hAnsi="Arial"/>
          <w:sz w:val="19"/>
          <w:szCs w:val="19"/>
          <w:b w:val="1"/>
          <w:bCs w:val="1"/>
          <w:color w:val="auto"/>
        </w:rPr>
        <w:t>Since our inception through December 31, 2025, our operations have been financed primarily by our collaborations with AbbVie and GSK and the issuance and sale of convertible preferred stock and of common stock upon the completion of our IPO and follow-on equity and debt financings.</w:t>
      </w:r>
    </w:p>
    <w:p>
      <w:pPr>
        <w:spacing w:after="0" w:line="118" w:lineRule="exact"/>
        <w:rPr>
          <w:sz w:val="20"/>
          <w:szCs w:val="20"/>
          <w:color w:val="auto"/>
        </w:rPr>
      </w:pPr>
    </w:p>
    <w:p>
      <w:pPr>
        <w:ind w:right="200" w:firstLine="490"/>
        <w:spacing w:after="0" w:line="234" w:lineRule="auto"/>
        <w:rPr>
          <w:sz w:val="20"/>
          <w:szCs w:val="20"/>
          <w:color w:val="auto"/>
        </w:rPr>
      </w:pPr>
      <w:r>
        <w:rPr>
          <w:rFonts w:ascii="Arial" w:cs="Arial" w:eastAsia="Arial" w:hAnsi="Arial"/>
          <w:sz w:val="20"/>
          <w:szCs w:val="20"/>
          <w:b w:val="1"/>
          <w:bCs w:val="1"/>
          <w:color w:val="auto"/>
        </w:rPr>
        <w:t>As of December 31, 2025, we had $256.0 million of cash, cash equivalents, and marketable securities. As of December 31, 2025, we had an accumulated deficit of $972.1 million.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Funding Requirements</w:t>
      </w:r>
    </w:p>
    <w:p>
      <w:pPr>
        <w:spacing w:after="0" w:line="131" w:lineRule="exact"/>
        <w:rPr>
          <w:sz w:val="20"/>
          <w:szCs w:val="20"/>
          <w:color w:val="auto"/>
        </w:rPr>
      </w:pPr>
    </w:p>
    <w:p>
      <w:pPr>
        <w:ind w:right="80" w:firstLine="490"/>
        <w:spacing w:after="0" w:line="270" w:lineRule="auto"/>
        <w:rPr>
          <w:sz w:val="20"/>
          <w:szCs w:val="20"/>
          <w:color w:val="auto"/>
        </w:rPr>
      </w:pPr>
      <w:r>
        <w:rPr>
          <w:rFonts w:ascii="Arial" w:cs="Arial" w:eastAsia="Arial" w:hAnsi="Arial"/>
          <w:sz w:val="18"/>
          <w:szCs w:val="18"/>
          <w:b w:val="1"/>
          <w:bCs w:val="1"/>
          <w:color w:val="auto"/>
        </w:rPr>
        <w:t>Our primary uses of cash are to fund our operations, which consist primarily of research and development expenditures related to our programs, and to a lesser extent, general and administrative expenditures. We expect our expenses to continue to increase in connection with our ongoing activities, in particular as we continue to advance our product candidates and our discovery and research programs. In addition, we expect to incur additional costs associated with operating as a public company.</w:t>
      </w:r>
    </w:p>
    <w:p>
      <w:pPr>
        <w:spacing w:after="0" w:line="105" w:lineRule="exact"/>
        <w:rPr>
          <w:sz w:val="20"/>
          <w:szCs w:val="20"/>
          <w:color w:val="auto"/>
        </w:rPr>
      </w:pPr>
    </w:p>
    <w:p>
      <w:pPr>
        <w:ind w:right="140" w:firstLine="490"/>
        <w:spacing w:after="0" w:line="312" w:lineRule="auto"/>
        <w:rPr>
          <w:sz w:val="20"/>
          <w:szCs w:val="20"/>
          <w:color w:val="auto"/>
        </w:rPr>
      </w:pPr>
      <w:r>
        <w:rPr>
          <w:rFonts w:ascii="Arial" w:cs="Arial" w:eastAsia="Arial" w:hAnsi="Arial"/>
          <w:sz w:val="17"/>
          <w:szCs w:val="17"/>
          <w:b w:val="1"/>
          <w:bCs w:val="1"/>
          <w:color w:val="auto"/>
        </w:rPr>
        <w:t>As of December 31, 2025, we had cash, cash equivalents, and marketable securities of $256.0 million, which we anticipate provides runway at least through 2027. We reduced our workforce to better align our resources with</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98</w:t>
      </w:r>
    </w:p>
    <w:p>
      <w:pPr>
        <w:sectPr>
          <w:pgSz w:w="12240" w:h="15840" w:orient="portrait"/>
          <w:cols w:equalWidth="0" w:num="1">
            <w:col w:w="9360"/>
          </w:cols>
          <w:pgMar w:left="1440" w:top="1439" w:right="1440" w:bottom="181" w:gutter="0" w:footer="0" w:header="0"/>
          <w:type w:val="continuous"/>
        </w:sectPr>
      </w:pPr>
    </w:p>
    <w:bookmarkStart w:id="100" w:name="page101"/>
    <w:bookmarkEnd w:id="100"/>
    <w:p>
      <w:pPr>
        <w:spacing w:after="0" w:line="1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our current strategic priorities and maintain our expectations with respect to our ability to fund our operations. We have based this estimate on assumptions that may prove to be wrong, and we could utilize our available capital resources sooner than we currently expect. We may also choose to seek additional financing opportunistically. We may seek to raise capital through public equity or debt financings, license agreements, collaborative agreements or other arrangements with other companies, asset sales, or through other sources of financing. We have an omnibus shelf registration statement on Form S-3 with the SEC, which became effective on May 1, 2023, which permits us to issue up to $400 million in common stock, other equity securities and/or debt securities. We will need to obtain substantial additional funding in the future for our research and development activities and continuing operations. If we are unable to raise capital when needed or on favorable terms, we would be forced to delay, reduce, or eliminate our research and development programs or future commercialization efforts.</w:t>
      </w:r>
    </w:p>
    <w:p>
      <w:pPr>
        <w:spacing w:after="0" w:line="98" w:lineRule="exact"/>
        <w:rPr>
          <w:sz w:val="20"/>
          <w:szCs w:val="20"/>
          <w:color w:val="auto"/>
        </w:rPr>
      </w:pPr>
    </w:p>
    <w:p>
      <w:pPr>
        <w:ind w:right="40" w:firstLine="540"/>
        <w:spacing w:after="0" w:line="284" w:lineRule="auto"/>
        <w:rPr>
          <w:sz w:val="20"/>
          <w:szCs w:val="20"/>
          <w:color w:val="auto"/>
        </w:rPr>
      </w:pPr>
      <w:r>
        <w:rPr>
          <w:rFonts w:ascii="Arial" w:cs="Arial" w:eastAsia="Arial" w:hAnsi="Arial"/>
          <w:sz w:val="17"/>
          <w:szCs w:val="17"/>
          <w:b w:val="1"/>
          <w:bCs w:val="1"/>
          <w:color w:val="auto"/>
        </w:rPr>
        <w:t>On November 7, 2023, we entered into an at-the-market sales agreement with TD Securities (USA) LLC (TD Securities, formerly known as Cowen and Company, LLC) pursuant to which we may offer and sell from time to time through TD Securities up to $125,000,000 of shares of our common stock, in such share amounts as we may specify by notice to TD Securities (the Sales Agreement). As of December 31, 2025, we have issued 7,110,162 shares and received approximately $20.0 million in net proceeds from the sale of securities pursuant to the Sales Agreement. On January 17, 2024, we entered into an underwriting agreement with Cantor Fitzgerald &amp; Co. (Cantor), pursuant to which we offered and sold 10,869,566 shares of the Company’s common stock at a price per share of $6.57 paid by Cantor. Additionally, on November 14, 2024, we entered into a loan agreement with our subsidiary, Alector LLC, as a co-borrower, the Lenders, and Hercules Capital, Inc., in its capacity as administrative agent and collateral agent for itself and the Lenders (the Loan Agreement), pursuant to which we may access up to two tranches of Term Loans in an aggregate principal amount of up to $50,000,000. The initial tranche of Term Loans provides for an aggregate principal amount of up to $25,000,000 through June 30, 2026, subject to the satisfaction of certain conditions. The second tranche of Term Loans provides for up to $25,000,000 and is available at the sole discretion of the Lenders. We borrowed $10,000,000 principal amount of the initial tranche of Term Loans on the closing date of the Loan Agreement.</w:t>
      </w:r>
    </w:p>
    <w:p>
      <w:pPr>
        <w:spacing w:after="0" w:line="101" w:lineRule="exact"/>
        <w:rPr>
          <w:sz w:val="20"/>
          <w:szCs w:val="20"/>
          <w:color w:val="auto"/>
        </w:rPr>
      </w:pPr>
    </w:p>
    <w:p>
      <w:pPr>
        <w:jc w:val="both"/>
        <w:ind w:right="80" w:firstLine="490"/>
        <w:spacing w:after="0" w:line="351" w:lineRule="auto"/>
        <w:rPr>
          <w:sz w:val="20"/>
          <w:szCs w:val="20"/>
          <w:color w:val="auto"/>
        </w:rPr>
      </w:pPr>
      <w:r>
        <w:rPr>
          <w:rFonts w:ascii="Arial" w:cs="Arial" w:eastAsia="Arial" w:hAnsi="Arial"/>
          <w:sz w:val="15"/>
          <w:szCs w:val="15"/>
          <w:b w:val="1"/>
          <w:bCs w:val="1"/>
          <w:color w:val="auto"/>
        </w:rPr>
        <w:t>We will need to obtain substantial additional funding in the future for our research and development activities and continuing operations. If we are unable to raise capital when needed or on favorable terms, we would be forced to delay, reduce, or eliminate our research and development programs or future commercialization efforts.</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future capital requirements will depend on many factors, including:</w:t>
      </w:r>
    </w:p>
    <w:p>
      <w:pPr>
        <w:spacing w:after="0" w:line="123" w:lineRule="exact"/>
        <w:rPr>
          <w:sz w:val="20"/>
          <w:szCs w:val="20"/>
          <w:color w:val="auto"/>
        </w:rPr>
      </w:pPr>
    </w:p>
    <w:p>
      <w:pPr>
        <w:ind w:left="840" w:right="240"/>
        <w:spacing w:after="0" w:line="234" w:lineRule="auto"/>
        <w:rPr>
          <w:sz w:val="20"/>
          <w:szCs w:val="20"/>
          <w:color w:val="auto"/>
        </w:rPr>
      </w:pPr>
      <w:r>
        <w:rPr>
          <w:rFonts w:ascii="Arial" w:cs="Arial" w:eastAsia="Arial" w:hAnsi="Arial"/>
          <w:sz w:val="20"/>
          <w:szCs w:val="20"/>
          <w:b w:val="1"/>
          <w:bCs w:val="1"/>
          <w:color w:val="auto"/>
        </w:rPr>
        <w:t>the timing and progress of preclinical and clinical development activities; including, without limitation, our collaboration efforts with GSK;</w:t>
      </w:r>
    </w:p>
    <w:p>
      <w:pPr>
        <w:spacing w:after="0" w:line="146" w:lineRule="exact"/>
        <w:rPr>
          <w:sz w:val="20"/>
          <w:szCs w:val="20"/>
          <w:color w:val="auto"/>
        </w:rPr>
      </w:pPr>
    </w:p>
    <w:p>
      <w:pPr>
        <w:ind w:left="840" w:right="2160"/>
        <w:spacing w:after="0" w:line="399" w:lineRule="auto"/>
        <w:rPr>
          <w:sz w:val="20"/>
          <w:szCs w:val="20"/>
          <w:color w:val="auto"/>
        </w:rPr>
      </w:pPr>
      <w:r>
        <w:rPr>
          <w:rFonts w:ascii="Arial" w:cs="Arial" w:eastAsia="Arial" w:hAnsi="Arial"/>
          <w:sz w:val="19"/>
          <w:szCs w:val="19"/>
          <w:b w:val="1"/>
          <w:bCs w:val="1"/>
          <w:color w:val="auto"/>
        </w:rPr>
        <w:t>the number and scope of preclinical and clinical programs we decide to pursue; successful enrollment in and completion of clinical trials;</w:t>
      </w:r>
    </w:p>
    <w:p>
      <w:pPr>
        <w:ind w:left="840" w:right="60"/>
        <w:spacing w:after="0" w:line="254" w:lineRule="auto"/>
        <w:rPr>
          <w:sz w:val="20"/>
          <w:szCs w:val="20"/>
          <w:color w:val="auto"/>
        </w:rPr>
      </w:pPr>
      <w:r>
        <w:rPr>
          <w:rFonts w:ascii="Arial" w:cs="Arial" w:eastAsia="Arial" w:hAnsi="Arial"/>
          <w:sz w:val="19"/>
          <w:szCs w:val="19"/>
          <w:b w:val="1"/>
          <w:bCs w:val="1"/>
          <w:color w:val="auto"/>
        </w:rPr>
        <w:t>our ability to establish agreements with third-party manufacturers for clinical supply for our clinical trials and, if our product candidates are approved, commercial manufacturing;</w:t>
      </w:r>
    </w:p>
    <w:p>
      <w:pPr>
        <w:spacing w:after="0" w:line="132" w:lineRule="exact"/>
        <w:rPr>
          <w:sz w:val="20"/>
          <w:szCs w:val="20"/>
          <w:color w:val="auto"/>
        </w:rPr>
      </w:pPr>
    </w:p>
    <w:p>
      <w:pPr>
        <w:ind w:left="840" w:right="360"/>
        <w:spacing w:after="0" w:line="234" w:lineRule="auto"/>
        <w:rPr>
          <w:sz w:val="20"/>
          <w:szCs w:val="20"/>
          <w:color w:val="auto"/>
        </w:rPr>
      </w:pPr>
      <w:r>
        <w:rPr>
          <w:rFonts w:ascii="Arial" w:cs="Arial" w:eastAsia="Arial" w:hAnsi="Arial"/>
          <w:sz w:val="20"/>
          <w:szCs w:val="20"/>
          <w:b w:val="1"/>
          <w:bCs w:val="1"/>
          <w:color w:val="auto"/>
        </w:rPr>
        <w:t>the timing and progress of our current research and development programs and our ability to establish new research and development programs;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addition or retention of key research and development personnel;</w:t>
      </w:r>
    </w:p>
    <w:p>
      <w:pPr>
        <w:spacing w:after="0" w:line="142" w:lineRule="exact"/>
        <w:rPr>
          <w:sz w:val="20"/>
          <w:szCs w:val="20"/>
          <w:color w:val="auto"/>
        </w:rPr>
      </w:pPr>
    </w:p>
    <w:p>
      <w:pPr>
        <w:ind w:left="840" w:right="160"/>
        <w:spacing w:after="0" w:line="312" w:lineRule="auto"/>
        <w:rPr>
          <w:sz w:val="20"/>
          <w:szCs w:val="20"/>
          <w:color w:val="auto"/>
        </w:rPr>
      </w:pPr>
      <w:r>
        <w:rPr>
          <w:rFonts w:ascii="Arial" w:cs="Arial" w:eastAsia="Arial" w:hAnsi="Arial"/>
          <w:sz w:val="17"/>
          <w:szCs w:val="17"/>
          <w:b w:val="1"/>
          <w:bCs w:val="1"/>
          <w:color w:val="auto"/>
        </w:rPr>
        <w:t>our efforts to maintain or enhance operational, financial, and information management systems, and hire or retain personnel, including personnel to support development of our product candidates;</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costs associated with workforce reductions;</w:t>
      </w:r>
    </w:p>
    <w:p>
      <w:pPr>
        <w:spacing w:after="0" w:line="145" w:lineRule="exact"/>
        <w:rPr>
          <w:sz w:val="20"/>
          <w:szCs w:val="20"/>
          <w:color w:val="auto"/>
        </w:rPr>
      </w:pPr>
    </w:p>
    <w:p>
      <w:pPr>
        <w:ind w:left="840" w:right="400"/>
        <w:spacing w:after="0" w:line="234" w:lineRule="auto"/>
        <w:rPr>
          <w:sz w:val="20"/>
          <w:szCs w:val="20"/>
          <w:color w:val="auto"/>
        </w:rPr>
      </w:pPr>
      <w:r>
        <w:rPr>
          <w:rFonts w:ascii="Arial" w:cs="Arial" w:eastAsia="Arial" w:hAnsi="Arial"/>
          <w:sz w:val="20"/>
          <w:szCs w:val="20"/>
          <w:b w:val="1"/>
          <w:bCs w:val="1"/>
          <w:color w:val="auto"/>
        </w:rPr>
        <w:t>negotiating favorable terms in any collaboration, licensing, or other arrangements into which we may enter and performing our obligations in such collaborations;</w:t>
      </w:r>
    </w:p>
    <w:p>
      <w:pPr>
        <w:spacing w:after="0" w:line="146" w:lineRule="exact"/>
        <w:rPr>
          <w:sz w:val="20"/>
          <w:szCs w:val="20"/>
          <w:color w:val="auto"/>
        </w:rPr>
      </w:pPr>
    </w:p>
    <w:p>
      <w:pPr>
        <w:ind w:left="840" w:right="820"/>
        <w:spacing w:after="0" w:line="233" w:lineRule="auto"/>
        <w:rPr>
          <w:sz w:val="20"/>
          <w:szCs w:val="20"/>
          <w:color w:val="auto"/>
        </w:rPr>
      </w:pPr>
      <w:r>
        <w:rPr>
          <w:rFonts w:ascii="Arial" w:cs="Arial" w:eastAsia="Arial" w:hAnsi="Arial"/>
          <w:sz w:val="20"/>
          <w:szCs w:val="20"/>
          <w:b w:val="1"/>
          <w:bCs w:val="1"/>
          <w:color w:val="auto"/>
        </w:rPr>
        <w:t>the timing and amount of milestone and other payments we may receive under our collaboration arrangements;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costs and timing of regulatory approvals;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eventual commercialization plans for our product candidates;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w:t>
      </w:r>
    </w:p>
    <w:p>
      <w:pPr>
        <w:sectPr>
          <w:pgSz w:w="12240" w:h="15840" w:orient="portrait"/>
          <w:cols w:equalWidth="0" w:num="1">
            <w:col w:w="9360"/>
          </w:cols>
          <w:pgMar w:left="1440" w:top="1440" w:right="1440" w:bottom="181" w:gutter="0" w:footer="0" w:header="0"/>
          <w:type w:val="continuous"/>
        </w:sectPr>
      </w:pPr>
    </w:p>
    <w:bookmarkStart w:id="101" w:name="page102"/>
    <w:bookmarkEnd w:id="101"/>
    <w:p>
      <w:pPr>
        <w:spacing w:after="0" w:line="1" w:lineRule="exact"/>
        <w:rPr>
          <w:sz w:val="20"/>
          <w:szCs w:val="20"/>
          <w:color w:val="auto"/>
        </w:rPr>
      </w:pPr>
    </w:p>
    <w:p>
      <w:pPr>
        <w:ind w:left="840" w:right="40"/>
        <w:spacing w:after="0" w:line="234" w:lineRule="auto"/>
        <w:rPr>
          <w:sz w:val="20"/>
          <w:szCs w:val="20"/>
          <w:color w:val="auto"/>
        </w:rPr>
      </w:pPr>
      <w:r>
        <w:rPr>
          <w:rFonts w:ascii="Arial" w:cs="Arial" w:eastAsia="Arial" w:hAnsi="Arial"/>
          <w:sz w:val="20"/>
          <w:szCs w:val="20"/>
          <w:b w:val="1"/>
          <w:bCs w:val="1"/>
          <w:color w:val="auto"/>
        </w:rPr>
        <w:t>the effects of macroeconomic conditions, including inflationary pressures and economic impacts of tariffs and global trade disruptions; and</w:t>
      </w:r>
    </w:p>
    <w:p>
      <w:pPr>
        <w:spacing w:after="0" w:line="144" w:lineRule="exact"/>
        <w:rPr>
          <w:sz w:val="20"/>
          <w:szCs w:val="20"/>
          <w:color w:val="auto"/>
        </w:rPr>
      </w:pPr>
    </w:p>
    <w:p>
      <w:pPr>
        <w:ind w:left="840" w:right="200"/>
        <w:spacing w:after="0" w:line="234" w:lineRule="auto"/>
        <w:rPr>
          <w:sz w:val="20"/>
          <w:szCs w:val="20"/>
          <w:color w:val="auto"/>
        </w:rPr>
      </w:pPr>
      <w:r>
        <w:rPr>
          <w:rFonts w:ascii="Arial" w:cs="Arial" w:eastAsia="Arial" w:hAnsi="Arial"/>
          <w:sz w:val="20"/>
          <w:szCs w:val="20"/>
          <w:b w:val="1"/>
          <w:bCs w:val="1"/>
          <w:color w:val="auto"/>
        </w:rPr>
        <w:t>the costs involved in prosecuting, defending, and enforcing patent claims and other intellectual property claims.</w:t>
      </w:r>
    </w:p>
    <w:p>
      <w:pPr>
        <w:spacing w:after="0" w:line="275" w:lineRule="exact"/>
        <w:rPr>
          <w:sz w:val="20"/>
          <w:szCs w:val="20"/>
          <w:color w:val="auto"/>
        </w:rPr>
      </w:pPr>
    </w:p>
    <w:p>
      <w:pPr>
        <w:ind w:right="160" w:firstLine="490"/>
        <w:spacing w:after="0" w:line="271" w:lineRule="auto"/>
        <w:rPr>
          <w:sz w:val="20"/>
          <w:szCs w:val="20"/>
          <w:color w:val="auto"/>
        </w:rPr>
      </w:pPr>
      <w:r>
        <w:rPr>
          <w:rFonts w:ascii="Arial" w:cs="Arial" w:eastAsia="Arial" w:hAnsi="Arial"/>
          <w:sz w:val="18"/>
          <w:szCs w:val="18"/>
          <w:b w:val="1"/>
          <w:bCs w:val="1"/>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-174625</wp:posOffset>
            </wp:positionV>
            <wp:extent cx="5970270" cy="2166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70270" cy="2166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following table summarizes our cash flows for the periods indicated (in thousands):</w:t>
      </w:r>
    </w:p>
    <w:p>
      <w:pPr>
        <w:spacing w:after="0" w:line="200" w:lineRule="exact"/>
        <w:rPr>
          <w:sz w:val="20"/>
          <w:szCs w:val="20"/>
          <w:color w:val="auto"/>
        </w:rPr>
      </w:pPr>
    </w:p>
    <w:p>
      <w:pPr>
        <w:spacing w:after="0" w:line="285"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jc w:val="right"/>
              <w:ind w:right="585"/>
              <w:spacing w:after="0"/>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6"/>
                <w:szCs w:val="16"/>
                <w:color w:val="auto"/>
              </w:rPr>
            </w:pPr>
          </w:p>
        </w:tc>
        <w:tc>
          <w:tcPr>
            <w:tcW w:w="1100" w:type="dxa"/>
            <w:vAlign w:val="bottom"/>
          </w:tcPr>
          <w:p>
            <w:pPr>
              <w:jc w:val="right"/>
              <w:ind w:right="485"/>
              <w:spacing w:after="0"/>
              <w:rPr>
                <w:sz w:val="20"/>
                <w:szCs w:val="20"/>
                <w:color w:val="auto"/>
              </w:rPr>
            </w:pPr>
            <w:r>
              <w:rPr>
                <w:rFonts w:ascii="Arial" w:cs="Arial" w:eastAsia="Arial" w:hAnsi="Arial"/>
                <w:sz w:val="16"/>
                <w:szCs w:val="16"/>
                <w:b w:val="1"/>
                <w:bCs w:val="1"/>
                <w:color w:val="auto"/>
              </w:rPr>
              <w:t>2024</w:t>
            </w:r>
          </w:p>
        </w:tc>
      </w:tr>
      <w:tr>
        <w:trPr>
          <w:trHeight w:val="258"/>
        </w:trPr>
        <w:tc>
          <w:tcPr>
            <w:tcW w:w="4660" w:type="dxa"/>
            <w:vAlign w:val="bottom"/>
          </w:tcPr>
          <w:p>
            <w:pPr>
              <w:spacing w:after="0"/>
              <w:rPr>
                <w:sz w:val="20"/>
                <w:szCs w:val="20"/>
                <w:color w:val="auto"/>
              </w:rPr>
            </w:pPr>
            <w:r>
              <w:rPr>
                <w:rFonts w:ascii="Arial" w:cs="Arial" w:eastAsia="Arial" w:hAnsi="Arial"/>
                <w:sz w:val="20"/>
                <w:szCs w:val="20"/>
                <w:b w:val="1"/>
                <w:bCs w:val="1"/>
                <w:color w:val="auto"/>
              </w:rPr>
              <w:t>Cash used in operating activities</w:t>
            </w:r>
          </w:p>
        </w:tc>
        <w:tc>
          <w:tcPr>
            <w:tcW w:w="196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5"/>
              <w:spacing w:after="0"/>
              <w:rPr>
                <w:sz w:val="20"/>
                <w:szCs w:val="20"/>
                <w:color w:val="auto"/>
              </w:rPr>
            </w:pPr>
            <w:r>
              <w:rPr>
                <w:rFonts w:ascii="Arial" w:cs="Arial" w:eastAsia="Arial" w:hAnsi="Arial"/>
                <w:sz w:val="20"/>
                <w:szCs w:val="20"/>
                <w:b w:val="1"/>
                <w:bCs w:val="1"/>
                <w:color w:val="auto"/>
              </w:rPr>
              <w:t>(184,031)</w:t>
            </w:r>
          </w:p>
        </w:tc>
        <w:tc>
          <w:tcPr>
            <w:tcW w:w="40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(229,905)</w:t>
            </w:r>
          </w:p>
        </w:tc>
      </w:tr>
      <w:tr>
        <w:trPr>
          <w:trHeight w:val="245"/>
        </w:trPr>
        <w:tc>
          <w:tcPr>
            <w:tcW w:w="4660" w:type="dxa"/>
            <w:vAlign w:val="bottom"/>
          </w:tcPr>
          <w:p>
            <w:pPr>
              <w:spacing w:after="0"/>
              <w:rPr>
                <w:sz w:val="20"/>
                <w:szCs w:val="20"/>
                <w:color w:val="auto"/>
              </w:rPr>
            </w:pPr>
            <w:r>
              <w:rPr>
                <w:rFonts w:ascii="Arial" w:cs="Arial" w:eastAsia="Arial" w:hAnsi="Arial"/>
                <w:sz w:val="20"/>
                <w:szCs w:val="20"/>
                <w:b w:val="1"/>
                <w:bCs w:val="1"/>
                <w:color w:val="auto"/>
              </w:rPr>
              <w:t>Cash provided by investing activities</w:t>
            </w:r>
          </w:p>
        </w:tc>
        <w:tc>
          <w:tcPr>
            <w:tcW w:w="1960" w:type="dxa"/>
            <w:vAlign w:val="bottom"/>
          </w:tcPr>
          <w:p>
            <w:pPr>
              <w:spacing w:after="0"/>
              <w:rPr>
                <w:sz w:val="21"/>
                <w:szCs w:val="21"/>
                <w:color w:val="auto"/>
              </w:rPr>
            </w:pPr>
          </w:p>
        </w:tc>
        <w:tc>
          <w:tcPr>
            <w:tcW w:w="1220" w:type="dxa"/>
            <w:vAlign w:val="bottom"/>
          </w:tcPr>
          <w:p>
            <w:pPr>
              <w:jc w:val="right"/>
              <w:ind w:right="85"/>
              <w:spacing w:after="0"/>
              <w:rPr>
                <w:sz w:val="20"/>
                <w:szCs w:val="20"/>
                <w:color w:val="auto"/>
              </w:rPr>
            </w:pPr>
            <w:r>
              <w:rPr>
                <w:rFonts w:ascii="Arial" w:cs="Arial" w:eastAsia="Arial" w:hAnsi="Arial"/>
                <w:sz w:val="20"/>
                <w:szCs w:val="20"/>
                <w:b w:val="1"/>
                <w:bCs w:val="1"/>
                <w:color w:val="auto"/>
              </w:rPr>
              <w:t>196,597</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107,131</w:t>
            </w:r>
          </w:p>
        </w:tc>
      </w:tr>
      <w:tr>
        <w:trPr>
          <w:trHeight w:val="242"/>
        </w:trPr>
        <w:tc>
          <w:tcPr>
            <w:tcW w:w="4660" w:type="dxa"/>
            <w:vAlign w:val="bottom"/>
          </w:tcPr>
          <w:p>
            <w:pPr>
              <w:spacing w:after="0"/>
              <w:rPr>
                <w:sz w:val="20"/>
                <w:szCs w:val="20"/>
                <w:color w:val="auto"/>
              </w:rPr>
            </w:pPr>
            <w:r>
              <w:rPr>
                <w:rFonts w:ascii="Arial" w:cs="Arial" w:eastAsia="Arial" w:hAnsi="Arial"/>
                <w:sz w:val="20"/>
                <w:szCs w:val="20"/>
                <w:b w:val="1"/>
                <w:bCs w:val="1"/>
                <w:color w:val="auto"/>
              </w:rPr>
              <w:t>Cash provided by financing activities</w:t>
            </w:r>
          </w:p>
        </w:tc>
        <w:tc>
          <w:tcPr>
            <w:tcW w:w="1960" w:type="dxa"/>
            <w:vAlign w:val="bottom"/>
          </w:tcPr>
          <w:p>
            <w:pPr>
              <w:spacing w:after="0"/>
              <w:rPr>
                <w:sz w:val="21"/>
                <w:szCs w:val="21"/>
                <w:color w:val="auto"/>
              </w:rPr>
            </w:pPr>
          </w:p>
        </w:tc>
        <w:tc>
          <w:tcPr>
            <w:tcW w:w="1220" w:type="dxa"/>
            <w:vAlign w:val="bottom"/>
          </w:tcPr>
          <w:p>
            <w:pPr>
              <w:jc w:val="right"/>
              <w:ind w:right="65"/>
              <w:spacing w:after="0"/>
              <w:rPr>
                <w:sz w:val="20"/>
                <w:szCs w:val="20"/>
                <w:color w:val="auto"/>
              </w:rPr>
            </w:pPr>
            <w:r>
              <w:rPr>
                <w:rFonts w:ascii="Arial" w:cs="Arial" w:eastAsia="Arial" w:hAnsi="Arial"/>
                <w:sz w:val="20"/>
                <w:szCs w:val="20"/>
                <w:b w:val="1"/>
                <w:bCs w:val="1"/>
                <w:color w:val="auto"/>
              </w:rPr>
              <w:t>20,215</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81,540</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Operating </w:t>
      </w:r>
      <w:r>
        <w:rPr>
          <w:rFonts w:ascii="Arial" w:cs="Arial" w:eastAsia="Arial" w:hAnsi="Arial"/>
          <w:sz w:val="20"/>
          <w:szCs w:val="20"/>
          <w:b w:val="1"/>
          <w:bCs w:val="1"/>
          <w:color w:val="auto"/>
          <w:highlight w:val="white"/>
        </w:rPr>
        <w:t>Activities</w:t>
      </w:r>
    </w:p>
    <w:p>
      <w:pPr>
        <w:spacing w:after="0" w:line="131" w:lineRule="exact"/>
        <w:rPr>
          <w:sz w:val="20"/>
          <w:szCs w:val="20"/>
          <w:color w:val="auto"/>
        </w:rPr>
      </w:pPr>
    </w:p>
    <w:p>
      <w:pPr>
        <w:ind w:right="80" w:firstLine="490"/>
        <w:spacing w:after="0" w:line="236" w:lineRule="auto"/>
        <w:rPr>
          <w:sz w:val="20"/>
          <w:szCs w:val="20"/>
          <w:color w:val="auto"/>
        </w:rPr>
      </w:pPr>
      <w:r>
        <w:rPr>
          <w:rFonts w:ascii="Arial" w:cs="Arial" w:eastAsia="Arial" w:hAnsi="Arial"/>
          <w:sz w:val="20"/>
          <w:szCs w:val="20"/>
          <w:b w:val="1"/>
          <w:bCs w:val="1"/>
          <w:color w:val="auto"/>
        </w:rPr>
        <w:t>For the year ended December 31, 2025, cash used in operating activities was $184.0 million. This was mainly due to the net loss of $142.9 million. We also had a decrease in deferred revenue of $21.0 million and a decrease in refund liability of $50.0 million. This was offset by a non-cash charge of $26.7 million for stock-based compensation.</w:t>
      </w:r>
    </w:p>
    <w:p>
      <w:pPr>
        <w:spacing w:after="0" w:line="135" w:lineRule="exact"/>
        <w:rPr>
          <w:sz w:val="20"/>
          <w:szCs w:val="20"/>
          <w:color w:val="auto"/>
        </w:rPr>
      </w:pPr>
    </w:p>
    <w:p>
      <w:pPr>
        <w:ind w:right="40" w:firstLine="490"/>
        <w:spacing w:after="0" w:line="237" w:lineRule="auto"/>
        <w:rPr>
          <w:sz w:val="20"/>
          <w:szCs w:val="20"/>
          <w:color w:val="auto"/>
        </w:rPr>
      </w:pPr>
      <w:r>
        <w:rPr>
          <w:rFonts w:ascii="Arial" w:cs="Arial" w:eastAsia="Arial" w:hAnsi="Arial"/>
          <w:sz w:val="20"/>
          <w:szCs w:val="20"/>
          <w:b w:val="1"/>
          <w:bCs w:val="1"/>
          <w:color w:val="auto"/>
        </w:rPr>
        <w:t>For the year ended December 31, 2024, cash used in operating activities was $230.0 million. This was mainly due to the net loss of $119.0 million. We also had a decrease in deferred revenue of $100.6 million and a decrease in refund liability of $46.0 million. This was offset by a non-cash charge of $39.5 million for stock-based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128" w:lineRule="exact"/>
        <w:rPr>
          <w:sz w:val="20"/>
          <w:szCs w:val="20"/>
          <w:color w:val="auto"/>
        </w:rPr>
      </w:pPr>
    </w:p>
    <w:p>
      <w:pPr>
        <w:ind w:right="140" w:firstLine="490"/>
        <w:spacing w:after="0" w:line="236" w:lineRule="auto"/>
        <w:rPr>
          <w:sz w:val="20"/>
          <w:szCs w:val="20"/>
          <w:color w:val="auto"/>
        </w:rPr>
      </w:pPr>
      <w:r>
        <w:rPr>
          <w:rFonts w:ascii="Arial" w:cs="Arial" w:eastAsia="Arial" w:hAnsi="Arial"/>
          <w:sz w:val="20"/>
          <w:szCs w:val="20"/>
          <w:b w:val="1"/>
          <w:bCs w:val="1"/>
          <w:color w:val="auto"/>
        </w:rPr>
        <w:t>For the year ended December 31, 2025, cash provided by investing activities of $196.6 million was primarily related to the maturities of marketable securities of $465.5 million offset by purchases of marketable securities of $271.9 million.</w:t>
      </w:r>
    </w:p>
    <w:p>
      <w:pPr>
        <w:spacing w:after="0" w:line="133" w:lineRule="exact"/>
        <w:rPr>
          <w:sz w:val="20"/>
          <w:szCs w:val="20"/>
          <w:color w:val="auto"/>
        </w:rPr>
      </w:pPr>
    </w:p>
    <w:p>
      <w:pPr>
        <w:ind w:right="140" w:firstLine="490"/>
        <w:spacing w:after="0" w:line="236" w:lineRule="auto"/>
        <w:rPr>
          <w:sz w:val="20"/>
          <w:szCs w:val="20"/>
          <w:color w:val="auto"/>
        </w:rPr>
      </w:pPr>
      <w:r>
        <w:rPr>
          <w:rFonts w:ascii="Arial" w:cs="Arial" w:eastAsia="Arial" w:hAnsi="Arial"/>
          <w:sz w:val="20"/>
          <w:szCs w:val="20"/>
          <w:b w:val="1"/>
          <w:bCs w:val="1"/>
          <w:color w:val="auto"/>
        </w:rPr>
        <w:t>For the year ended December 31, 2024, cash provided by investing activities of $107.1 million was primarily related to the maturities of marketable securities of $573.6 million offset by purchases of marketable securities of $467.7 million.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117" w:lineRule="exact"/>
        <w:rPr>
          <w:sz w:val="20"/>
          <w:szCs w:val="20"/>
          <w:color w:val="auto"/>
        </w:rPr>
      </w:pPr>
    </w:p>
    <w:p>
      <w:pPr>
        <w:ind w:right="200" w:firstLine="490"/>
        <w:spacing w:after="0" w:line="259" w:lineRule="auto"/>
        <w:rPr>
          <w:sz w:val="20"/>
          <w:szCs w:val="20"/>
          <w:color w:val="auto"/>
        </w:rPr>
      </w:pPr>
      <w:r>
        <w:rPr>
          <w:rFonts w:ascii="Arial" w:cs="Arial" w:eastAsia="Arial" w:hAnsi="Arial"/>
          <w:sz w:val="18"/>
          <w:szCs w:val="18"/>
          <w:b w:val="1"/>
          <w:bCs w:val="1"/>
          <w:color w:val="auto"/>
        </w:rPr>
        <w:t>For the year ended December 31, 2025, cash provided by financing activities of $20.2 million was primarily from the proceeds from the sale of securities pursuant to the sales agreement with TD Securities.</w:t>
      </w:r>
    </w:p>
    <w:p>
      <w:pPr>
        <w:spacing w:after="0" w:line="112" w:lineRule="exact"/>
        <w:rPr>
          <w:sz w:val="20"/>
          <w:szCs w:val="20"/>
          <w:color w:val="auto"/>
        </w:rPr>
      </w:pPr>
    </w:p>
    <w:p>
      <w:pPr>
        <w:ind w:right="200" w:firstLine="490"/>
        <w:spacing w:after="0" w:line="309" w:lineRule="auto"/>
        <w:rPr>
          <w:sz w:val="20"/>
          <w:szCs w:val="20"/>
          <w:color w:val="auto"/>
        </w:rPr>
      </w:pPr>
      <w:r>
        <w:rPr>
          <w:rFonts w:ascii="Arial" w:cs="Arial" w:eastAsia="Arial" w:hAnsi="Arial"/>
          <w:sz w:val="17"/>
          <w:szCs w:val="17"/>
          <w:b w:val="1"/>
          <w:bCs w:val="1"/>
          <w:color w:val="auto"/>
        </w:rPr>
        <w:t>For the year ended December 31, 2024, cash provided by financing activities of $81.5 million was primarily from the issuance of common stock of $71.1 million upon a public offering and the debt issuance of $9.4 million.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31" w:lineRule="exact"/>
        <w:rPr>
          <w:sz w:val="20"/>
          <w:szCs w:val="20"/>
          <w:color w:val="auto"/>
        </w:rPr>
      </w:pPr>
    </w:p>
    <w:p>
      <w:pPr>
        <w:ind w:right="120" w:firstLine="490"/>
        <w:spacing w:after="0" w:line="336" w:lineRule="auto"/>
        <w:rPr>
          <w:sz w:val="20"/>
          <w:szCs w:val="20"/>
          <w:color w:val="auto"/>
        </w:rPr>
      </w:pPr>
      <w:r>
        <w:rPr>
          <w:rFonts w:ascii="Arial" w:cs="Arial" w:eastAsia="Arial" w:hAnsi="Arial"/>
          <w:sz w:val="15"/>
          <w:szCs w:val="15"/>
          <w:b w:val="1"/>
          <w:bCs w:val="1"/>
          <w:color w:val="auto"/>
        </w:rPr>
        <w:t>Management’s discussion and analysis of our financial condition and results of operations is based on our consolidated financial statements, which have been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100</w:t>
      </w:r>
    </w:p>
    <w:p>
      <w:pPr>
        <w:sectPr>
          <w:pgSz w:w="12240" w:h="15840" w:orient="portrait"/>
          <w:cols w:equalWidth="0" w:num="1">
            <w:col w:w="9360"/>
          </w:cols>
          <w:pgMar w:left="1440" w:top="1440" w:right="1440" w:bottom="181" w:gutter="0" w:footer="0" w:header="0"/>
          <w:type w:val="continuous"/>
        </w:sectPr>
      </w:pPr>
    </w:p>
    <w:bookmarkStart w:id="102" w:name="page103"/>
    <w:bookmarkEnd w:id="102"/>
    <w:p>
      <w:pPr>
        <w:spacing w:after="0" w:line="10" w:lineRule="exact"/>
        <w:rPr>
          <w:sz w:val="20"/>
          <w:szCs w:val="20"/>
          <w:color w:val="auto"/>
        </w:rPr>
      </w:pPr>
    </w:p>
    <w:p>
      <w:pPr>
        <w:ind w:right="40"/>
        <w:spacing w:after="0" w:line="333" w:lineRule="auto"/>
        <w:rPr>
          <w:sz w:val="20"/>
          <w:szCs w:val="20"/>
          <w:color w:val="auto"/>
        </w:rPr>
      </w:pPr>
      <w:r>
        <w:rPr>
          <w:rFonts w:ascii="Arial" w:cs="Arial" w:eastAsia="Arial" w:hAnsi="Arial"/>
          <w:sz w:val="15"/>
          <w:szCs w:val="15"/>
          <w:b w:val="1"/>
          <w:bCs w:val="1"/>
          <w:color w:val="auto"/>
        </w:rPr>
        <w:t>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1" w:lineRule="exact"/>
        <w:rPr>
          <w:sz w:val="20"/>
          <w:szCs w:val="20"/>
          <w:color w:val="auto"/>
        </w:rPr>
      </w:pPr>
    </w:p>
    <w:p>
      <w:pPr>
        <w:ind w:right="80" w:firstLine="490"/>
        <w:spacing w:after="0" w:line="282" w:lineRule="auto"/>
        <w:rPr>
          <w:sz w:val="20"/>
          <w:szCs w:val="20"/>
          <w:color w:val="auto"/>
        </w:rPr>
      </w:pPr>
      <w:r>
        <w:rPr>
          <w:rFonts w:ascii="Arial" w:cs="Arial" w:eastAsia="Arial" w:hAnsi="Arial"/>
          <w:sz w:val="17"/>
          <w:szCs w:val="17"/>
          <w:b w:val="1"/>
          <w:bCs w:val="1"/>
          <w:color w:val="auto"/>
        </w:rPr>
        <w:t>We recognize revenue when control of promised goods or services is transferred to customers in an amount that reflects the consideration that is expected to be received for those goods or services. In determining the appropriate amount of revenue to be recognized as we fulfill our obligations under arrangements, we perform the following steps: (i) identify the contract(s) with a customer, (ii) identify the performance obligations in the contract,</w:t>
      </w:r>
    </w:p>
    <w:p>
      <w:pPr>
        <w:spacing w:after="0" w:line="1" w:lineRule="exact"/>
        <w:rPr>
          <w:sz w:val="20"/>
          <w:szCs w:val="20"/>
          <w:color w:val="auto"/>
        </w:rPr>
      </w:pPr>
    </w:p>
    <w:p>
      <w:pPr>
        <w:ind w:right="60"/>
        <w:spacing w:after="0" w:line="269" w:lineRule="auto"/>
        <w:tabs>
          <w:tab w:leader="none" w:pos="35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determine the transaction price, (iv) allocate the transaction price to the performance obligations in the contract, and (v) recognize revenue when (or as) the entity satisfies the performance obligations. If it is determined that multiple performance obligations exist, the transaction price is allocated at the inception of the agreement to all identified performance obligations based on the relative standalone selling price (SSP). The relative SSP for each deliverable is estimated using external sourced evidence if it is available. If external sourced evidence is not available, we use our best estimate of the SSP for the deliverable.</w:t>
      </w:r>
    </w:p>
    <w:p>
      <w:pPr>
        <w:spacing w:after="0" w:line="108" w:lineRule="exact"/>
        <w:rPr>
          <w:sz w:val="20"/>
          <w:szCs w:val="20"/>
          <w:color w:val="auto"/>
        </w:rPr>
      </w:pPr>
    </w:p>
    <w:p>
      <w:pPr>
        <w:ind w:right="40" w:firstLine="490"/>
        <w:spacing w:after="0" w:line="284" w:lineRule="auto"/>
        <w:rPr>
          <w:sz w:val="20"/>
          <w:szCs w:val="20"/>
          <w:color w:val="auto"/>
        </w:rPr>
      </w:pPr>
      <w:r>
        <w:rPr>
          <w:rFonts w:ascii="Arial" w:cs="Arial" w:eastAsia="Arial" w:hAnsi="Arial"/>
          <w:sz w:val="17"/>
          <w:szCs w:val="17"/>
          <w:b w:val="1"/>
          <w:bCs w:val="1"/>
          <w:color w:val="auto"/>
        </w:rPr>
        <w:t>We recognize collaboration revenue at a point in time if control of the promised good or service has been transferred to the customer. We recognize collaboration revenue over time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re-evaluate the estimate of expected costs to satisfy the performance obligation each reporting period and make adjustments for any significant changes. Clinical trials are expensive and can take many years to complete, and the outcome is inherently uncertain. Changes in our forecasted costs are likely to occur over time based upon changes in clinical trial procedures set forth in protocols, changes in estimates of manufacturing costs, or feedback from regulators on the design or operation of our clinical trials. We have had changes to the overall expected costs to satisfy the performance obligations from period to period. For the year ended December 31, 2025, we recorded an $8.9 million increase to collaboration revenue under the GSK Agreement due to a decrease in total expected costs to satisfy the performance obligations for the nivisnebart program.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Accrued Research and Development Expenses</w:t>
      </w:r>
    </w:p>
    <w:p>
      <w:pPr>
        <w:spacing w:after="0" w:line="131" w:lineRule="exact"/>
        <w:rPr>
          <w:sz w:val="20"/>
          <w:szCs w:val="20"/>
          <w:color w:val="auto"/>
        </w:rPr>
      </w:pPr>
    </w:p>
    <w:p>
      <w:pPr>
        <w:ind w:right="60" w:firstLine="490"/>
        <w:spacing w:after="0" w:line="268" w:lineRule="auto"/>
        <w:rPr>
          <w:sz w:val="20"/>
          <w:szCs w:val="20"/>
          <w:color w:val="auto"/>
        </w:rPr>
      </w:pPr>
      <w:r>
        <w:rPr>
          <w:rFonts w:ascii="Arial" w:cs="Arial" w:eastAsia="Arial" w:hAnsi="Arial"/>
          <w:sz w:val="18"/>
          <w:szCs w:val="18"/>
          <w:b w:val="1"/>
          <w:bCs w:val="1"/>
          <w:color w:val="auto"/>
        </w:rPr>
        <w:t>We record accrued expenses for estimated preclinical study and clinical trial expenses. Estimates are based on the services performed pursuant to contracts with research institutions, CROs in connection with clinical studies, investigative sites in connection with clinical studies, vendors in connection with preclinical development activities, and contract manufacturing organizations in connection with the production of materials for clinical trials.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31" w:lineRule="exact"/>
        <w:rPr>
          <w:sz w:val="20"/>
          <w:szCs w:val="20"/>
          <w:color w:val="auto"/>
        </w:rPr>
      </w:pPr>
    </w:p>
    <w:p>
      <w:pPr>
        <w:ind w:right="40" w:firstLine="490"/>
        <w:spacing w:after="0" w:line="332" w:lineRule="auto"/>
        <w:rPr>
          <w:sz w:val="20"/>
          <w:szCs w:val="20"/>
          <w:color w:val="auto"/>
        </w:rPr>
      </w:pPr>
      <w:r>
        <w:rPr>
          <w:rFonts w:ascii="Arial" w:cs="Arial" w:eastAsia="Arial" w:hAnsi="Arial"/>
          <w:sz w:val="15"/>
          <w:szCs w:val="15"/>
          <w:b w:val="1"/>
          <w:bCs w:val="1"/>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generally short-term duration, invested in compliance with our policy. An immediate 100 basis point increase or decrease in interest rates would not have a material effect on the fair value of our cash, cash equivalents and marketable securities.</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101</w:t>
      </w:r>
    </w:p>
    <w:p>
      <w:pPr>
        <w:sectPr>
          <w:pgSz w:w="12240" w:h="15840" w:orient="portrait"/>
          <w:cols w:equalWidth="0" w:num="1">
            <w:col w:w="9360"/>
          </w:cols>
          <w:pgMar w:left="1440" w:top="1440" w:right="1440" w:bottom="181"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Foreign Currency Risk</w:t>
      </w:r>
    </w:p>
    <w:p>
      <w:pPr>
        <w:spacing w:after="0" w:line="131" w:lineRule="exact"/>
        <w:rPr>
          <w:sz w:val="20"/>
          <w:szCs w:val="20"/>
          <w:color w:val="auto"/>
        </w:rPr>
      </w:pPr>
    </w:p>
    <w:p>
      <w:pPr>
        <w:ind w:right="180" w:firstLine="490"/>
        <w:spacing w:after="0" w:line="332" w:lineRule="auto"/>
        <w:rPr>
          <w:sz w:val="20"/>
          <w:szCs w:val="20"/>
          <w:color w:val="auto"/>
        </w:rPr>
      </w:pPr>
      <w:r>
        <w:rPr>
          <w:rFonts w:ascii="Arial" w:cs="Arial" w:eastAsia="Arial" w:hAnsi="Arial"/>
          <w:sz w:val="15"/>
          <w:szCs w:val="15"/>
          <w:b w:val="1"/>
          <w:bCs w:val="1"/>
          <w:color w:val="auto"/>
        </w:rPr>
        <w:t>Our expenses are generally denominated in U.S. dollars. However, we have entered into a limited number of contracts with vendors for research and development services with payments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results.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102</w:t>
      </w:r>
    </w:p>
    <w:p>
      <w:pPr>
        <w:sectPr>
          <w:pgSz w:w="12240" w:h="15840" w:orient="portrait"/>
          <w:cols w:equalWidth="0" w:num="1">
            <w:col w:w="9360"/>
          </w:cols>
          <w:pgMar w:left="1440" w:top="1439" w:right="1440" w:bottom="181"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0"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ALECTOR, INC.</w:t>
      </w:r>
    </w:p>
    <w:p>
      <w:pPr>
        <w:ind w:left="2880"/>
        <w:spacing w:after="0" w:line="237" w:lineRule="auto"/>
        <w:rPr>
          <w:sz w:val="20"/>
          <w:szCs w:val="20"/>
          <w:color w:val="auto"/>
        </w:rPr>
      </w:pPr>
      <w:r>
        <w:rPr>
          <w:rFonts w:ascii="Arial" w:cs="Arial" w:eastAsia="Arial" w:hAnsi="Arial"/>
          <w:sz w:val="20"/>
          <w:szCs w:val="20"/>
          <w:b w:val="1"/>
          <w:bCs w:val="1"/>
          <w:color w:val="auto"/>
        </w:rPr>
        <w:t>INDEX TO FINANCIAL STATEMENTS</w:t>
      </w:r>
    </w:p>
    <w:p>
      <w:pPr>
        <w:spacing w:after="0" w:line="286"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auto"/>
        </w:rPr>
        <w:t>Page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Audited Consolidated Financial Statements</w:t>
      </w: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Report of Independent Registered Public Accounting Firm (PCAOB ID: 42)</w:t>
      </w:r>
      <w:r>
        <w:rPr>
          <w:sz w:val="20"/>
          <w:szCs w:val="20"/>
          <w:color w:val="auto"/>
        </w:rPr>
        <w:tab/>
      </w:r>
      <w:r>
        <w:rPr>
          <w:rFonts w:ascii="Arial" w:cs="Arial" w:eastAsia="Arial" w:hAnsi="Arial"/>
          <w:sz w:val="17"/>
          <w:szCs w:val="17"/>
          <w:b w:val="1"/>
          <w:bCs w:val="1"/>
          <w:color w:val="auto"/>
        </w:rPr>
        <w:t>103</w:t>
      </w:r>
    </w:p>
    <w:p>
      <w:pPr>
        <w:spacing w:after="0" w:line="20" w:lineRule="exact"/>
        <w:rPr>
          <w:sz w:val="20"/>
          <w:szCs w:val="20"/>
          <w:color w:val="auto"/>
        </w:rPr>
      </w:pP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Consolidated Balance Sheets</w:t>
      </w:r>
      <w:r>
        <w:rPr>
          <w:sz w:val="20"/>
          <w:szCs w:val="20"/>
          <w:color w:val="auto"/>
        </w:rPr>
        <w:tab/>
      </w:r>
      <w:r>
        <w:rPr>
          <w:rFonts w:ascii="Arial" w:cs="Arial" w:eastAsia="Arial" w:hAnsi="Arial"/>
          <w:sz w:val="17"/>
          <w:szCs w:val="17"/>
          <w:b w:val="1"/>
          <w:bCs w:val="1"/>
          <w:color w:val="auto"/>
        </w:rPr>
        <w:t>105</w:t>
      </w:r>
    </w:p>
    <w:p>
      <w:pPr>
        <w:spacing w:after="0" w:line="20" w:lineRule="exact"/>
        <w:rPr>
          <w:sz w:val="20"/>
          <w:szCs w:val="20"/>
          <w:color w:val="auto"/>
        </w:rPr>
      </w:pP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Consolidated Statements of Operations and Comprehensive Loss</w:t>
      </w:r>
      <w:r>
        <w:rPr>
          <w:sz w:val="20"/>
          <w:szCs w:val="20"/>
          <w:color w:val="auto"/>
        </w:rPr>
        <w:tab/>
      </w:r>
      <w:r>
        <w:rPr>
          <w:rFonts w:ascii="Arial" w:cs="Arial" w:eastAsia="Arial" w:hAnsi="Arial"/>
          <w:sz w:val="17"/>
          <w:szCs w:val="17"/>
          <w:b w:val="1"/>
          <w:bCs w:val="1"/>
          <w:color w:val="auto"/>
        </w:rPr>
        <w:t>106</w:t>
      </w:r>
    </w:p>
    <w:p>
      <w:pPr>
        <w:spacing w:after="0" w:line="20" w:lineRule="exact"/>
        <w:rPr>
          <w:sz w:val="20"/>
          <w:szCs w:val="20"/>
          <w:color w:val="auto"/>
        </w:rPr>
      </w:pP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Consolidated Statements of Stockholders’ Equity</w:t>
      </w:r>
      <w:r>
        <w:rPr>
          <w:sz w:val="20"/>
          <w:szCs w:val="20"/>
          <w:color w:val="auto"/>
        </w:rPr>
        <w:tab/>
      </w:r>
      <w:r>
        <w:rPr>
          <w:rFonts w:ascii="Arial" w:cs="Arial" w:eastAsia="Arial" w:hAnsi="Arial"/>
          <w:sz w:val="17"/>
          <w:szCs w:val="17"/>
          <w:b w:val="1"/>
          <w:bCs w:val="1"/>
          <w:color w:val="auto"/>
        </w:rPr>
        <w:t>107</w:t>
      </w:r>
    </w:p>
    <w:p>
      <w:pPr>
        <w:spacing w:after="0" w:line="20" w:lineRule="exact"/>
        <w:rPr>
          <w:sz w:val="20"/>
          <w:szCs w:val="20"/>
          <w:color w:val="auto"/>
        </w:rPr>
      </w:pP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Consolidated Statements of Cash Flows</w:t>
      </w:r>
      <w:r>
        <w:rPr>
          <w:sz w:val="20"/>
          <w:szCs w:val="20"/>
          <w:color w:val="auto"/>
        </w:rPr>
        <w:tab/>
      </w:r>
      <w:r>
        <w:rPr>
          <w:rFonts w:ascii="Arial" w:cs="Arial" w:eastAsia="Arial" w:hAnsi="Arial"/>
          <w:sz w:val="17"/>
          <w:szCs w:val="17"/>
          <w:b w:val="1"/>
          <w:bCs w:val="1"/>
          <w:color w:val="auto"/>
        </w:rPr>
        <w:t>108</w:t>
      </w:r>
    </w:p>
    <w:p>
      <w:pPr>
        <w:spacing w:after="0" w:line="22" w:lineRule="exact"/>
        <w:rPr>
          <w:sz w:val="20"/>
          <w:szCs w:val="20"/>
          <w:color w:val="auto"/>
        </w:rPr>
      </w:pPr>
    </w:p>
    <w:p>
      <w:pPr>
        <w:spacing w:after="0"/>
        <w:tabs>
          <w:tab w:leader="dot" w:pos="8960" w:val="left"/>
        </w:tabs>
        <w:rPr>
          <w:sz w:val="20"/>
          <w:szCs w:val="20"/>
          <w:color w:val="auto"/>
        </w:rPr>
      </w:pPr>
      <w:r>
        <w:rPr>
          <w:rFonts w:ascii="Arial" w:cs="Arial" w:eastAsia="Arial" w:hAnsi="Arial"/>
          <w:sz w:val="20"/>
          <w:szCs w:val="20"/>
          <w:b w:val="1"/>
          <w:bCs w:val="1"/>
          <w:u w:val="single" w:color="auto"/>
          <w:color w:val="0000FF"/>
        </w:rPr>
        <w:t>Notes to Consolidated Financial Statements</w:t>
      </w:r>
      <w:r>
        <w:rPr>
          <w:sz w:val="20"/>
          <w:szCs w:val="20"/>
          <w:color w:val="auto"/>
        </w:rPr>
        <w:tab/>
      </w:r>
      <w:r>
        <w:rPr>
          <w:rFonts w:ascii="Arial" w:cs="Arial" w:eastAsia="Arial" w:hAnsi="Arial"/>
          <w:sz w:val="17"/>
          <w:szCs w:val="17"/>
          <w:b w:val="1"/>
          <w:bCs w:val="1"/>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Alector, Inc.</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We have audited the accompanying consolidated balance sheets of Alector,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1"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1" w:lineRule="exact"/>
        <w:rPr>
          <w:sz w:val="20"/>
          <w:szCs w:val="20"/>
          <w:color w:val="auto"/>
        </w:rPr>
      </w:pPr>
    </w:p>
    <w:p>
      <w:pPr>
        <w:ind w:right="320"/>
        <w:spacing w:after="0" w:line="353" w:lineRule="auto"/>
        <w:rPr>
          <w:sz w:val="20"/>
          <w:szCs w:val="20"/>
          <w:color w:val="auto"/>
        </w:rPr>
      </w:pPr>
      <w:r>
        <w:rPr>
          <w:rFonts w:ascii="Arial" w:cs="Arial" w:eastAsia="Arial" w:hAnsi="Arial"/>
          <w:sz w:val="15"/>
          <w:szCs w:val="15"/>
          <w:b w:val="1"/>
          <w:bCs w:val="1"/>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103</w:t>
      </w:r>
    </w:p>
    <w:p>
      <w:pPr>
        <w:sectPr>
          <w:pgSz w:w="12240" w:h="15840" w:orient="portrait"/>
          <w:cols w:equalWidth="0" w:num="1">
            <w:col w:w="9360"/>
          </w:cols>
          <w:pgMar w:left="1440" w:top="1439" w:right="1440" w:bottom="181" w:gutter="0" w:footer="0" w:header="0"/>
          <w:type w:val="continuous"/>
        </w:sectPr>
      </w:pPr>
    </w:p>
    <w:bookmarkStart w:id="105" w:name="page106"/>
    <w:bookmarkEnd w:id="105"/>
    <w:p>
      <w:pPr>
        <w:spacing w:after="0" w:line="10"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b w:val="1"/>
          <w:bCs w:val="1"/>
          <w:color w:val="auto"/>
        </w:rPr>
        <w:t>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2320" w:val="left"/>
        </w:tabs>
        <w:rPr>
          <w:sz w:val="20"/>
          <w:szCs w:val="20"/>
          <w:color w:val="auto"/>
        </w:rPr>
      </w:pPr>
      <w:r>
        <w:rPr>
          <w:rFonts w:ascii="Arial" w:cs="Arial" w:eastAsia="Arial" w:hAnsi="Arial"/>
          <w:sz w:val="20"/>
          <w:szCs w:val="20"/>
          <w:b w:val="1"/>
          <w:bCs w:val="1"/>
          <w:color w:val="auto"/>
        </w:rPr>
        <w:t>Description of the</w:t>
      </w:r>
      <w:r>
        <w:rPr>
          <w:sz w:val="20"/>
          <w:szCs w:val="20"/>
          <w:color w:val="auto"/>
        </w:rPr>
        <w:tab/>
      </w:r>
      <w:r>
        <w:rPr>
          <w:rFonts w:ascii="Arial" w:cs="Arial" w:eastAsia="Arial" w:hAnsi="Arial"/>
          <w:sz w:val="17"/>
          <w:szCs w:val="17"/>
          <w:b w:val="1"/>
          <w:bCs w:val="1"/>
          <w:color w:val="auto"/>
        </w:rPr>
        <w:t>The Company recorded collaboration revenue of $21 million for the year ended</w:t>
      </w:r>
    </w:p>
    <w:p>
      <w:pPr>
        <w:spacing w:after="0" w:line="11" w:lineRule="exact"/>
        <w:rPr>
          <w:sz w:val="20"/>
          <w:szCs w:val="20"/>
          <w:color w:val="auto"/>
        </w:rPr>
      </w:pPr>
    </w:p>
    <w:p>
      <w:pPr>
        <w:ind w:left="100"/>
        <w:spacing w:after="0"/>
        <w:tabs>
          <w:tab w:leader="none" w:pos="2320" w:val="left"/>
        </w:tabs>
        <w:rPr>
          <w:sz w:val="20"/>
          <w:szCs w:val="20"/>
          <w:color w:val="auto"/>
        </w:rPr>
      </w:pPr>
      <w:r>
        <w:rPr>
          <w:rFonts w:ascii="Arial" w:cs="Arial" w:eastAsia="Arial" w:hAnsi="Arial"/>
          <w:sz w:val="17"/>
          <w:szCs w:val="17"/>
          <w:b w:val="1"/>
          <w:bCs w:val="1"/>
          <w:color w:val="auto"/>
        </w:rPr>
        <w:t>Matter</w:t>
      </w:r>
      <w:r>
        <w:rPr>
          <w:sz w:val="20"/>
          <w:szCs w:val="20"/>
          <w:color w:val="auto"/>
        </w:rPr>
        <w:tab/>
      </w:r>
      <w:r>
        <w:rPr>
          <w:rFonts w:ascii="Arial" w:cs="Arial" w:eastAsia="Arial" w:hAnsi="Arial"/>
          <w:sz w:val="17"/>
          <w:szCs w:val="17"/>
          <w:b w:val="1"/>
          <w:bCs w:val="1"/>
          <w:color w:val="auto"/>
        </w:rPr>
        <w:t>December 31, 2025. As described in Note 2, collaboration revenue is recognized by</w:t>
      </w:r>
    </w:p>
    <w:p>
      <w:pPr>
        <w:spacing w:after="0" w:line="33" w:lineRule="exact"/>
        <w:rPr>
          <w:sz w:val="20"/>
          <w:szCs w:val="20"/>
          <w:color w:val="auto"/>
        </w:rPr>
      </w:pPr>
    </w:p>
    <w:p>
      <w:pPr>
        <w:ind w:left="2340" w:right="200"/>
        <w:spacing w:after="0" w:line="290" w:lineRule="auto"/>
        <w:rPr>
          <w:sz w:val="20"/>
          <w:szCs w:val="20"/>
          <w:color w:val="auto"/>
        </w:rPr>
      </w:pPr>
      <w:r>
        <w:rPr>
          <w:rFonts w:ascii="Arial" w:cs="Arial" w:eastAsia="Arial" w:hAnsi="Arial"/>
          <w:sz w:val="17"/>
          <w:szCs w:val="17"/>
          <w:b w:val="1"/>
          <w:bCs w:val="1"/>
          <w:color w:val="auto"/>
        </w:rPr>
        <w:t>measuring the progress toward complete satisfaction of the performance obligations using an input measure. In order to recognize collaboration revenue over the research and development period, the Company measures actual costs incurred to date compared to the total expected costs to satisfy the performance obligations. Revenues are recognized as the program costs are incurred.</w:t>
      </w:r>
    </w:p>
    <w:p>
      <w:pPr>
        <w:spacing w:after="0" w:line="91"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Auditing total expected costs to be incurred to satisfy the performance obligation was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complex due to the extensive data analysis performed by the Company in determining</w:t>
      </w:r>
    </w:p>
    <w:p>
      <w:pPr>
        <w:spacing w:after="0" w:line="47"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the total expected costs to be incurred.</w:t>
      </w:r>
    </w:p>
    <w:p>
      <w:pPr>
        <w:spacing w:after="0" w:line="120" w:lineRule="exact"/>
        <w:rPr>
          <w:sz w:val="20"/>
          <w:szCs w:val="20"/>
          <w:color w:val="auto"/>
        </w:rPr>
      </w:pPr>
    </w:p>
    <w:p>
      <w:pPr>
        <w:ind w:left="100"/>
        <w:spacing w:after="0"/>
        <w:tabs>
          <w:tab w:leader="none" w:pos="2320" w:val="left"/>
        </w:tabs>
        <w:rPr>
          <w:sz w:val="20"/>
          <w:szCs w:val="20"/>
          <w:color w:val="auto"/>
        </w:rPr>
      </w:pPr>
      <w:r>
        <w:rPr>
          <w:rFonts w:ascii="Arial" w:cs="Arial" w:eastAsia="Arial" w:hAnsi="Arial"/>
          <w:sz w:val="20"/>
          <w:szCs w:val="20"/>
          <w:b w:val="1"/>
          <w:bCs w:val="1"/>
          <w:color w:val="auto"/>
        </w:rPr>
        <w:t>How We Addressed the</w:t>
      </w:r>
      <w:r>
        <w:rPr>
          <w:sz w:val="20"/>
          <w:szCs w:val="20"/>
          <w:color w:val="auto"/>
        </w:rPr>
        <w:tab/>
      </w:r>
      <w:r>
        <w:rPr>
          <w:rFonts w:ascii="Arial" w:cs="Arial" w:eastAsia="Arial" w:hAnsi="Arial"/>
          <w:sz w:val="15"/>
          <w:szCs w:val="15"/>
          <w:b w:val="1"/>
          <w:bCs w:val="1"/>
          <w:color w:val="auto"/>
        </w:rPr>
        <w:t>We obtained an understanding, evaluated the design and tested the operating</w:t>
      </w:r>
    </w:p>
    <w:p>
      <w:pPr>
        <w:ind w:left="100"/>
        <w:spacing w:after="0"/>
        <w:tabs>
          <w:tab w:leader="none" w:pos="2320" w:val="left"/>
        </w:tabs>
        <w:rPr>
          <w:sz w:val="20"/>
          <w:szCs w:val="20"/>
          <w:color w:val="auto"/>
        </w:rPr>
      </w:pPr>
      <w:r>
        <w:rPr>
          <w:rFonts w:ascii="Arial" w:cs="Arial" w:eastAsia="Arial" w:hAnsi="Arial"/>
          <w:sz w:val="20"/>
          <w:szCs w:val="20"/>
          <w:b w:val="1"/>
          <w:bCs w:val="1"/>
          <w:color w:val="auto"/>
        </w:rPr>
        <w:t>Matter in Our Audit</w:t>
      </w:r>
      <w:r>
        <w:rPr>
          <w:sz w:val="20"/>
          <w:szCs w:val="20"/>
          <w:color w:val="auto"/>
        </w:rPr>
        <w:tab/>
      </w:r>
      <w:r>
        <w:rPr>
          <w:rFonts w:ascii="Arial" w:cs="Arial" w:eastAsia="Arial" w:hAnsi="Arial"/>
          <w:sz w:val="15"/>
          <w:szCs w:val="15"/>
          <w:b w:val="1"/>
          <w:bCs w:val="1"/>
          <w:color w:val="auto"/>
        </w:rPr>
        <w:t>effectiveness of controls addressing the Company’s estimation of the total costs</w:t>
      </w:r>
    </w:p>
    <w:p>
      <w:pPr>
        <w:ind w:left="2340"/>
        <w:spacing w:after="0"/>
        <w:rPr>
          <w:sz w:val="20"/>
          <w:szCs w:val="20"/>
          <w:color w:val="auto"/>
        </w:rPr>
      </w:pPr>
      <w:r>
        <w:rPr>
          <w:rFonts w:ascii="Arial" w:cs="Arial" w:eastAsia="Arial" w:hAnsi="Arial"/>
          <w:sz w:val="20"/>
          <w:szCs w:val="20"/>
          <w:b w:val="1"/>
          <w:bCs w:val="1"/>
          <w:color w:val="auto"/>
        </w:rPr>
        <w:t>expected to be incurred to satisfy the performance obligation.</w:t>
      </w:r>
    </w:p>
    <w:p>
      <w:pPr>
        <w:spacing w:after="0" w:line="131" w:lineRule="exact"/>
        <w:rPr>
          <w:sz w:val="20"/>
          <w:szCs w:val="20"/>
          <w:color w:val="auto"/>
        </w:rPr>
      </w:pPr>
    </w:p>
    <w:p>
      <w:pPr>
        <w:ind w:left="2340" w:right="340"/>
        <w:spacing w:after="0" w:line="291" w:lineRule="auto"/>
        <w:rPr>
          <w:sz w:val="20"/>
          <w:szCs w:val="20"/>
          <w:color w:val="auto"/>
        </w:rPr>
      </w:pPr>
      <w:r>
        <w:rPr>
          <w:rFonts w:ascii="Arial" w:cs="Arial" w:eastAsia="Arial" w:hAnsi="Arial"/>
          <w:sz w:val="17"/>
          <w:szCs w:val="17"/>
          <w:b w:val="1"/>
          <w:bCs w:val="1"/>
          <w:color w:val="auto"/>
        </w:rPr>
        <w:t>Our audit procedures included, among others, testing accuracy and completeness of the data used by management to estimate the total costs expected to be incurred to satisfy the performance obligation, as well as making inquiries of Company personnel involved with supervising the development program.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2017.</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Mateo, California</w:t>
      </w:r>
    </w:p>
    <w:p>
      <w:pPr>
        <w:spacing w:after="0"/>
        <w:rPr>
          <w:sz w:val="20"/>
          <w:szCs w:val="20"/>
          <w:color w:val="auto"/>
        </w:rPr>
      </w:pPr>
      <w:r>
        <w:rPr>
          <w:rFonts w:ascii="Arial" w:cs="Arial" w:eastAsia="Arial" w:hAnsi="Arial"/>
          <w:sz w:val="20"/>
          <w:szCs w:val="20"/>
          <w:b w:val="1"/>
          <w:bCs w:val="1"/>
          <w:color w:val="auto"/>
        </w:rPr>
        <w:t>February 25, 2026</w:t>
      </w:r>
    </w:p>
    <w:p>
      <w:pPr>
        <w:sectPr>
          <w:pgSz w:w="12240" w:h="15840" w:orient="portrait"/>
          <w:cols w:equalWidth="0" w:num="1">
            <w:col w:w="9360"/>
          </w:cols>
          <w:pgMar w:left="1440" w:top="1440"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104</w:t>
      </w:r>
    </w:p>
    <w:p>
      <w:pPr>
        <w:sectPr>
          <w:pgSz w:w="12240" w:h="15840" w:orient="portrait"/>
          <w:cols w:equalWidth="0" w:num="1">
            <w:col w:w="9360"/>
          </w:cols>
          <w:pgMar w:left="1440" w:top="1440" w:right="1440" w:bottom="181"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4"/>
          <w:szCs w:val="14"/>
          <w:b w:val="1"/>
          <w:bCs w:val="1"/>
          <w:color w:val="auto"/>
        </w:rPr>
        <w:t>LECTOR</w:t>
      </w:r>
      <w:r>
        <w:rPr>
          <w:rFonts w:ascii="Arial" w:cs="Arial" w:eastAsia="Arial" w:hAnsi="Arial"/>
          <w:sz w:val="20"/>
          <w:szCs w:val="20"/>
          <w:b w:val="1"/>
          <w:bCs w:val="1"/>
          <w:color w:val="auto"/>
        </w:rPr>
        <w:t>, I</w:t>
      </w:r>
      <w:r>
        <w:rPr>
          <w:rFonts w:ascii="Arial" w:cs="Arial" w:eastAsia="Arial" w:hAnsi="Arial"/>
          <w:sz w:val="14"/>
          <w:szCs w:val="14"/>
          <w:b w:val="1"/>
          <w:bCs w:val="1"/>
          <w:color w:val="auto"/>
        </w:rPr>
        <w:t>NC</w:t>
      </w:r>
      <w:r>
        <w:rPr>
          <w:rFonts w:ascii="Arial" w:cs="Arial" w:eastAsia="Arial" w:hAnsi="Arial"/>
          <w:sz w:val="20"/>
          <w:szCs w:val="20"/>
          <w:b w:val="1"/>
          <w:bCs w:val="1"/>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line="237"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r>
      <w:tr>
        <w:trPr>
          <w:trHeight w:val="194"/>
        </w:trPr>
        <w:tc>
          <w:tcPr>
            <w:tcW w:w="6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r>
      <w:tr>
        <w:trPr>
          <w:trHeight w:val="260"/>
        </w:trPr>
        <w:tc>
          <w:tcPr>
            <w:tcW w:w="63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65,802</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33,021</w:t>
            </w: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190,222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380,376</w:t>
            </w:r>
          </w:p>
        </w:tc>
        <w:tc>
          <w:tcPr>
            <w:tcW w:w="60" w:type="dxa"/>
            <w:vAlign w:val="bottom"/>
          </w:tcPr>
          <w:p>
            <w:pPr>
              <w:spacing w:after="0"/>
              <w:rPr>
                <w:sz w:val="21"/>
                <w:szCs w:val="21"/>
                <w:color w:val="auto"/>
              </w:rPr>
            </w:pPr>
          </w:p>
        </w:tc>
      </w:tr>
      <w:tr>
        <w:trPr>
          <w:trHeight w:val="242"/>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Prepaid expenses and other current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10,428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11,420</w:t>
            </w:r>
          </w:p>
        </w:tc>
        <w:tc>
          <w:tcPr>
            <w:tcW w:w="60" w:type="dxa"/>
            <w:vAlign w:val="bottom"/>
          </w:tcPr>
          <w:p>
            <w:pPr>
              <w:spacing w:after="0"/>
              <w:rPr>
                <w:sz w:val="21"/>
                <w:szCs w:val="21"/>
                <w:color w:val="auto"/>
              </w:rPr>
            </w:pPr>
          </w:p>
        </w:tc>
      </w:tr>
      <w:tr>
        <w:trPr>
          <w:trHeight w:val="259"/>
        </w:trPr>
        <w:tc>
          <w:tcPr>
            <w:tcW w:w="6320" w:type="dxa"/>
            <w:vAlign w:val="bottom"/>
          </w:tcPr>
          <w:p>
            <w:pPr>
              <w:ind w:left="400"/>
              <w:spacing w:after="0"/>
              <w:rPr>
                <w:sz w:val="20"/>
                <w:szCs w:val="20"/>
                <w:color w:val="auto"/>
              </w:rPr>
            </w:pPr>
            <w:r>
              <w:rPr>
                <w:rFonts w:ascii="Arial" w:cs="Arial" w:eastAsia="Arial" w:hAnsi="Arial"/>
                <w:sz w:val="20"/>
                <w:szCs w:val="20"/>
                <w:b w:val="1"/>
                <w:bCs w:val="1"/>
                <w:color w:val="auto"/>
              </w:rPr>
              <w:t>Total current assets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266,452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424,817</w:t>
            </w:r>
          </w:p>
        </w:tc>
        <w:tc>
          <w:tcPr>
            <w:tcW w:w="60" w:type="dxa"/>
            <w:vAlign w:val="bottom"/>
          </w:tcPr>
          <w:p>
            <w:pPr>
              <w:spacing w:after="0"/>
              <w:rPr>
                <w:sz w:val="22"/>
                <w:szCs w:val="22"/>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Property and equipment, net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10,841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17,145</w:t>
            </w: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Operating lease right-of-use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13,712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19,951</w:t>
            </w:r>
          </w:p>
        </w:tc>
        <w:tc>
          <w:tcPr>
            <w:tcW w:w="60" w:type="dxa"/>
            <w:vAlign w:val="bottom"/>
          </w:tcPr>
          <w:p>
            <w:pPr>
              <w:spacing w:after="0"/>
              <w:rPr>
                <w:sz w:val="21"/>
                <w:szCs w:val="2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20"/>
                <w:szCs w:val="20"/>
                <w:b w:val="1"/>
                <w:bCs w:val="1"/>
                <w:color w:val="auto"/>
              </w:rPr>
              <w:t>Restricted cash</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1,846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1,846</w:t>
            </w: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Other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386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4,544</w:t>
            </w:r>
          </w:p>
        </w:tc>
        <w:tc>
          <w:tcPr>
            <w:tcW w:w="60" w:type="dxa"/>
            <w:vAlign w:val="bottom"/>
          </w:tcPr>
          <w:p>
            <w:pPr>
              <w:spacing w:after="0"/>
              <w:rPr>
                <w:sz w:val="21"/>
                <w:szCs w:val="21"/>
                <w:color w:val="auto"/>
              </w:rPr>
            </w:pPr>
          </w:p>
        </w:tc>
      </w:tr>
      <w:tr>
        <w:trPr>
          <w:trHeight w:val="259"/>
        </w:trPr>
        <w:tc>
          <w:tcPr>
            <w:tcW w:w="632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293,237</w:t>
            </w: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468,303</w:t>
            </w:r>
          </w:p>
        </w:tc>
        <w:tc>
          <w:tcPr>
            <w:tcW w:w="60" w:type="dxa"/>
            <w:vAlign w:val="bottom"/>
          </w:tcPr>
          <w:p>
            <w:pPr>
              <w:spacing w:after="0"/>
              <w:rPr>
                <w:sz w:val="22"/>
                <w:szCs w:val="22"/>
                <w:color w:val="auto"/>
              </w:rPr>
            </w:pPr>
          </w:p>
        </w:tc>
      </w:tr>
      <w:tr>
        <w:trPr>
          <w:trHeight w:val="288"/>
        </w:trPr>
        <w:tc>
          <w:tcPr>
            <w:tcW w:w="6320" w:type="dxa"/>
            <w:vAlign w:val="bottom"/>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Accounts payable</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1,691</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2,215</w:t>
            </w:r>
          </w:p>
        </w:tc>
        <w:tc>
          <w:tcPr>
            <w:tcW w:w="60" w:type="dxa"/>
            <w:vAlign w:val="bottom"/>
          </w:tcPr>
          <w:p>
            <w:pPr>
              <w:spacing w:after="0"/>
              <w:rPr>
                <w:sz w:val="21"/>
                <w:szCs w:val="21"/>
                <w:color w:val="auto"/>
              </w:rPr>
            </w:pPr>
          </w:p>
        </w:tc>
      </w:tr>
      <w:tr>
        <w:trPr>
          <w:trHeight w:val="242"/>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Accrued clinical supply costs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3,669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6,989</w:t>
            </w: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Accrued liabilities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19,299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28,890</w:t>
            </w: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Deferred revenue, current portion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6,684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23,663</w:t>
            </w:r>
          </w:p>
        </w:tc>
        <w:tc>
          <w:tcPr>
            <w:tcW w:w="60" w:type="dxa"/>
            <w:vAlign w:val="bottom"/>
          </w:tcPr>
          <w:p>
            <w:pPr>
              <w:spacing w:after="0"/>
              <w:rPr>
                <w:sz w:val="21"/>
                <w:szCs w:val="21"/>
                <w:color w:val="auto"/>
              </w:rPr>
            </w:pPr>
          </w:p>
        </w:tc>
      </w:tr>
      <w:tr>
        <w:trPr>
          <w:trHeight w:val="242"/>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Payable to collaboration partner</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17,289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5,914</w:t>
            </w: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Refund liability to collaboration partner, current portion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11,449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48,634</w:t>
            </w:r>
          </w:p>
        </w:tc>
        <w:tc>
          <w:tcPr>
            <w:tcW w:w="60" w:type="dxa"/>
            <w:vAlign w:val="bottom"/>
          </w:tcPr>
          <w:p>
            <w:pPr>
              <w:spacing w:after="0"/>
              <w:rPr>
                <w:sz w:val="21"/>
                <w:szCs w:val="21"/>
                <w:color w:val="auto"/>
              </w:rPr>
            </w:pPr>
          </w:p>
        </w:tc>
      </w:tr>
      <w:tr>
        <w:trPr>
          <w:trHeight w:val="245"/>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Operating lease liabilities, current portion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9,056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8,754</w:t>
            </w:r>
          </w:p>
        </w:tc>
        <w:tc>
          <w:tcPr>
            <w:tcW w:w="60" w:type="dxa"/>
            <w:vAlign w:val="bottom"/>
          </w:tcPr>
          <w:p>
            <w:pPr>
              <w:spacing w:after="0"/>
              <w:rPr>
                <w:sz w:val="21"/>
                <w:szCs w:val="21"/>
                <w:color w:val="auto"/>
              </w:rPr>
            </w:pPr>
          </w:p>
        </w:tc>
      </w:tr>
      <w:tr>
        <w:trPr>
          <w:trHeight w:val="242"/>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Short-term debt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r>
        <w:trPr>
          <w:trHeight w:val="259"/>
        </w:trPr>
        <w:tc>
          <w:tcPr>
            <w:tcW w:w="6320" w:type="dxa"/>
            <w:vAlign w:val="bottom"/>
          </w:tcPr>
          <w:p>
            <w:pPr>
              <w:ind w:left="400"/>
              <w:spacing w:after="0"/>
              <w:rPr>
                <w:sz w:val="20"/>
                <w:szCs w:val="20"/>
                <w:color w:val="auto"/>
              </w:rPr>
            </w:pPr>
            <w:r>
              <w:rPr>
                <w:rFonts w:ascii="Arial" w:cs="Arial" w:eastAsia="Arial" w:hAnsi="Arial"/>
                <w:sz w:val="20"/>
                <w:szCs w:val="20"/>
                <w:b w:val="1"/>
                <w:bCs w:val="1"/>
                <w:color w:val="auto"/>
              </w:rPr>
              <w:t>Total current liabilities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69,503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125,059</w:t>
            </w:r>
          </w:p>
        </w:tc>
        <w:tc>
          <w:tcPr>
            <w:tcW w:w="60" w:type="dxa"/>
            <w:vAlign w:val="bottom"/>
          </w:tcPr>
          <w:p>
            <w:pPr>
              <w:spacing w:after="0"/>
              <w:rPr>
                <w:sz w:val="22"/>
                <w:szCs w:val="22"/>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Deferred revenue, long-term portion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164,537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172,169</w:t>
            </w:r>
          </w:p>
        </w:tc>
        <w:tc>
          <w:tcPr>
            <w:tcW w:w="60" w:type="dxa"/>
            <w:vAlign w:val="bottom"/>
          </w:tcPr>
          <w:p>
            <w:pPr>
              <w:spacing w:after="0"/>
              <w:rPr>
                <w:sz w:val="21"/>
                <w:szCs w:val="2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20"/>
                <w:szCs w:val="20"/>
                <w:b w:val="1"/>
                <w:bCs w:val="1"/>
                <w:color w:val="auto"/>
              </w:rPr>
              <w:t>Long-term debt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9,323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9,389</w:t>
            </w: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Refund liability to collaboration partner, long-term portion</w:t>
            </w:r>
          </w:p>
        </w:tc>
        <w:tc>
          <w:tcPr>
            <w:tcW w:w="1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9,276</w:t>
            </w: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Operating lease liabilities, long-term portion</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17,488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24,376</w:t>
            </w:r>
          </w:p>
        </w:tc>
        <w:tc>
          <w:tcPr>
            <w:tcW w:w="60" w:type="dxa"/>
            <w:vAlign w:val="bottom"/>
          </w:tcPr>
          <w:p>
            <w:pPr>
              <w:spacing w:after="0"/>
              <w:rPr>
                <w:sz w:val="21"/>
                <w:szCs w:val="2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20"/>
                <w:szCs w:val="20"/>
                <w:b w:val="1"/>
                <w:bCs w:val="1"/>
                <w:color w:val="auto"/>
              </w:rPr>
              <w:t>Other long-term liabilities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1,737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1,234</w:t>
            </w:r>
          </w:p>
        </w:tc>
        <w:tc>
          <w:tcPr>
            <w:tcW w:w="60" w:type="dxa"/>
            <w:vAlign w:val="bottom"/>
          </w:tcPr>
          <w:p>
            <w:pPr>
              <w:spacing w:after="0"/>
              <w:rPr>
                <w:sz w:val="21"/>
                <w:szCs w:val="21"/>
                <w:color w:val="auto"/>
              </w:rPr>
            </w:pPr>
          </w:p>
        </w:tc>
      </w:tr>
      <w:tr>
        <w:trPr>
          <w:trHeight w:val="259"/>
        </w:trPr>
        <w:tc>
          <w:tcPr>
            <w:tcW w:w="6320" w:type="dxa"/>
            <w:vAlign w:val="bottom"/>
          </w:tcPr>
          <w:p>
            <w:pPr>
              <w:spacing w:after="0"/>
              <w:rPr>
                <w:sz w:val="20"/>
                <w:szCs w:val="20"/>
                <w:color w:val="auto"/>
              </w:rPr>
            </w:pPr>
            <w:r>
              <w:rPr>
                <w:rFonts w:ascii="Arial" w:cs="Arial" w:eastAsia="Arial" w:hAnsi="Arial"/>
                <w:sz w:val="20"/>
                <w:szCs w:val="20"/>
                <w:b w:val="1"/>
                <w:bCs w:val="1"/>
                <w:color w:val="auto"/>
              </w:rPr>
              <w:t>Total liabilities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262,588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341,503</w:t>
            </w:r>
          </w:p>
        </w:tc>
        <w:tc>
          <w:tcPr>
            <w:tcW w:w="60" w:type="dxa"/>
            <w:vAlign w:val="bottom"/>
          </w:tcPr>
          <w:p>
            <w:pPr>
              <w:spacing w:after="0"/>
              <w:rPr>
                <w:sz w:val="22"/>
                <w:szCs w:val="22"/>
                <w:color w:val="auto"/>
              </w:rPr>
            </w:pPr>
          </w:p>
        </w:tc>
      </w:tr>
      <w:tr>
        <w:trPr>
          <w:trHeight w:val="259"/>
        </w:trPr>
        <w:tc>
          <w:tcPr>
            <w:tcW w:w="6320" w:type="dxa"/>
            <w:vAlign w:val="bottom"/>
          </w:tcPr>
          <w:p>
            <w:pPr>
              <w:spacing w:after="0"/>
              <w:rPr>
                <w:sz w:val="20"/>
                <w:szCs w:val="20"/>
                <w:color w:val="auto"/>
              </w:rPr>
            </w:pPr>
            <w:r>
              <w:rPr>
                <w:rFonts w:ascii="Arial" w:cs="Arial" w:eastAsia="Arial" w:hAnsi="Arial"/>
                <w:sz w:val="20"/>
                <w:szCs w:val="20"/>
                <w:b w:val="1"/>
                <w:bCs w:val="1"/>
                <w:color w:val="auto"/>
              </w:rPr>
              <w:t>Commitments and contingencies (Note 4)</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Common stock, $0.0001 par value; 200,000,000 shares authorized;</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63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w w:val="99"/>
              </w:rPr>
              <w:t>110,362,581 and 99,085,888 shares issued and outstanding as of</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December 31, 2025 and December 31, 2024, respectively</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w:t>
            </w:r>
          </w:p>
        </w:tc>
        <w:tc>
          <w:tcPr>
            <w:tcW w:w="60" w:type="dxa"/>
            <w:vAlign w:val="bottom"/>
          </w:tcPr>
          <w:p>
            <w:pPr>
              <w:spacing w:after="0"/>
              <w:rPr>
                <w:sz w:val="20"/>
                <w:szCs w:val="20"/>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Additional paid-in capital</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1,002,528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955,657</w:t>
            </w:r>
          </w:p>
        </w:tc>
        <w:tc>
          <w:tcPr>
            <w:tcW w:w="60" w:type="dxa"/>
            <w:vAlign w:val="bottom"/>
          </w:tcPr>
          <w:p>
            <w:pPr>
              <w:spacing w:after="0"/>
              <w:rPr>
                <w:sz w:val="21"/>
                <w:szCs w:val="21"/>
                <w:color w:val="auto"/>
              </w:rPr>
            </w:pPr>
          </w:p>
        </w:tc>
      </w:tr>
      <w:tr>
        <w:trPr>
          <w:trHeight w:val="245"/>
        </w:trPr>
        <w:tc>
          <w:tcPr>
            <w:tcW w:w="6320" w:type="dxa"/>
            <w:vAlign w:val="bottom"/>
          </w:tcPr>
          <w:p>
            <w:pPr>
              <w:spacing w:after="0"/>
              <w:rPr>
                <w:sz w:val="20"/>
                <w:szCs w:val="20"/>
                <w:color w:val="auto"/>
              </w:rPr>
            </w:pPr>
            <w:r>
              <w:rPr>
                <w:rFonts w:ascii="Arial" w:cs="Arial" w:eastAsia="Arial" w:hAnsi="Arial"/>
                <w:sz w:val="20"/>
                <w:szCs w:val="20"/>
                <w:b w:val="1"/>
                <w:bCs w:val="1"/>
                <w:color w:val="auto"/>
              </w:rPr>
              <w:t>Accumulated other comprehensive income</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261</w:t>
            </w:r>
          </w:p>
        </w:tc>
        <w:tc>
          <w:tcPr>
            <w:tcW w:w="60" w:type="dxa"/>
            <w:vAlign w:val="bottom"/>
          </w:tcPr>
          <w:p>
            <w:pPr>
              <w:spacing w:after="0"/>
              <w:rPr>
                <w:sz w:val="21"/>
                <w:szCs w:val="2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20"/>
                <w:szCs w:val="20"/>
                <w:b w:val="1"/>
                <w:bCs w:val="1"/>
                <w:color w:val="auto"/>
              </w:rPr>
              <w:t>Accumulated deficit</w:t>
            </w: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(972,056</w:t>
            </w:r>
            <w:r>
              <w:rPr>
                <w:rFonts w:ascii="Arial" w:cs="Arial" w:eastAsia="Arial" w:hAnsi="Arial"/>
                <w:sz w:val="20"/>
                <w:szCs w:val="20"/>
                <w:b w:val="1"/>
                <w:bCs w:val="1"/>
                <w:u w:val="single" w:color="auto"/>
                <w:color w:val="auto"/>
              </w:rPr>
              <w:t>)</w:t>
            </w: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(829,127)</w:t>
            </w:r>
          </w:p>
        </w:tc>
      </w:tr>
      <w:tr>
        <w:trPr>
          <w:trHeight w:val="260"/>
        </w:trPr>
        <w:tc>
          <w:tcPr>
            <w:tcW w:w="6320" w:type="dxa"/>
            <w:vAlign w:val="bottom"/>
          </w:tcPr>
          <w:p>
            <w:pPr>
              <w:spacing w:after="0"/>
              <w:rPr>
                <w:sz w:val="20"/>
                <w:szCs w:val="20"/>
                <w:color w:val="auto"/>
              </w:rPr>
            </w:pPr>
            <w:r>
              <w:rPr>
                <w:rFonts w:ascii="Arial" w:cs="Arial" w:eastAsia="Arial" w:hAnsi="Arial"/>
                <w:sz w:val="20"/>
                <w:szCs w:val="20"/>
                <w:b w:val="1"/>
                <w:bCs w:val="1"/>
                <w:color w:val="auto"/>
              </w:rPr>
              <w:t>Total stockholders’ equity</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30,649</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126,800</w:t>
            </w:r>
          </w:p>
        </w:tc>
        <w:tc>
          <w:tcPr>
            <w:tcW w:w="60" w:type="dxa"/>
            <w:vAlign w:val="bottom"/>
          </w:tcPr>
          <w:p>
            <w:pPr>
              <w:spacing w:after="0"/>
              <w:rPr>
                <w:sz w:val="22"/>
                <w:szCs w:val="22"/>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20"/>
                <w:szCs w:val="20"/>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293,237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468,303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-6122670</wp:posOffset>
            </wp:positionV>
            <wp:extent cx="5911215" cy="6165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1215" cy="616585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105</w:t>
      </w:r>
    </w:p>
    <w:p>
      <w:pPr>
        <w:sectPr>
          <w:pgSz w:w="12240" w:h="15840" w:orient="portrait"/>
          <w:cols w:equalWidth="0" w:num="1">
            <w:col w:w="9360"/>
          </w:cols>
          <w:pgMar w:left="1440" w:top="1439" w:right="1440" w:bottom="181"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4"/>
          <w:szCs w:val="14"/>
          <w:b w:val="1"/>
          <w:bCs w:val="1"/>
          <w:color w:val="auto"/>
        </w:rPr>
        <w:t>LECTOR</w:t>
      </w:r>
      <w:r>
        <w:rPr>
          <w:rFonts w:ascii="Arial" w:cs="Arial" w:eastAsia="Arial" w:hAnsi="Arial"/>
          <w:sz w:val="20"/>
          <w:szCs w:val="20"/>
          <w:b w:val="1"/>
          <w:bCs w:val="1"/>
          <w:color w:val="auto"/>
        </w:rPr>
        <w:t>, I</w:t>
      </w:r>
      <w:r>
        <w:rPr>
          <w:rFonts w:ascii="Arial" w:cs="Arial" w:eastAsia="Arial" w:hAnsi="Arial"/>
          <w:sz w:val="14"/>
          <w:szCs w:val="14"/>
          <w:b w:val="1"/>
          <w:bCs w:val="1"/>
          <w:color w:val="auto"/>
        </w:rPr>
        <w:t>NC</w:t>
      </w:r>
      <w:r>
        <w:rPr>
          <w:rFonts w:ascii="Arial" w:cs="Arial" w:eastAsia="Arial" w:hAnsi="Arial"/>
          <w:sz w:val="20"/>
          <w:szCs w:val="20"/>
          <w:b w:val="1"/>
          <w:bCs w:val="1"/>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5970270" cy="3242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70270" cy="3242310"/>
                    </a:xfrm>
                    <a:prstGeom prst="rect">
                      <a:avLst/>
                    </a:prstGeom>
                    <a:noFill/>
                  </pic:spPr>
                </pic:pic>
              </a:graphicData>
            </a:graphic>
          </wp:anchor>
        </w:drawing>
      </w:r>
    </w:p>
    <w:p>
      <w:pPr>
        <w:jc w:val="center"/>
        <w:spacing w:after="0" w:line="237"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0" w:type="dxa"/>
            <w:vAlign w:val="bottom"/>
            <w:gridSpan w:val="3"/>
          </w:tcPr>
          <w:p>
            <w:pPr>
              <w:jc w:val="right"/>
              <w:ind w:right="542"/>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jc w:val="right"/>
              <w:ind w:right="583"/>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8"/>
                <w:szCs w:val="18"/>
                <w:color w:val="auto"/>
              </w:rPr>
            </w:pPr>
          </w:p>
        </w:tc>
        <w:tc>
          <w:tcPr>
            <w:tcW w:w="1140" w:type="dxa"/>
            <w:vAlign w:val="bottom"/>
          </w:tcPr>
          <w:p>
            <w:pPr>
              <w:jc w:val="right"/>
              <w:ind w:right="482"/>
              <w:spacing w:after="0"/>
              <w:rPr>
                <w:sz w:val="20"/>
                <w:szCs w:val="20"/>
                <w:color w:val="auto"/>
              </w:rPr>
            </w:pPr>
            <w:r>
              <w:rPr>
                <w:rFonts w:ascii="Arial" w:cs="Arial" w:eastAsia="Arial" w:hAnsi="Arial"/>
                <w:sz w:val="16"/>
                <w:szCs w:val="16"/>
                <w:b w:val="1"/>
                <w:bCs w:val="1"/>
                <w:color w:val="auto"/>
              </w:rPr>
              <w:t>2024</w:t>
            </w:r>
          </w:p>
        </w:tc>
      </w:tr>
      <w:tr>
        <w:trPr>
          <w:trHeight w:val="260"/>
        </w:trPr>
        <w:tc>
          <w:tcPr>
            <w:tcW w:w="564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21,045</w:t>
            </w:r>
          </w:p>
        </w:tc>
        <w:tc>
          <w:tcPr>
            <w:tcW w:w="36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100,558</w:t>
            </w:r>
          </w:p>
        </w:tc>
      </w:tr>
      <w:tr>
        <w:trPr>
          <w:trHeight w:val="242"/>
        </w:trPr>
        <w:tc>
          <w:tcPr>
            <w:tcW w:w="564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5"/>
        </w:trPr>
        <w:tc>
          <w:tcPr>
            <w:tcW w:w="564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900" w:type="dxa"/>
            <w:vAlign w:val="bottom"/>
          </w:tcPr>
          <w:p>
            <w:pPr>
              <w:spacing w:after="0"/>
              <w:rPr>
                <w:sz w:val="21"/>
                <w:szCs w:val="21"/>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123,065</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185,940</w:t>
            </w:r>
          </w:p>
        </w:tc>
      </w:tr>
      <w:tr>
        <w:trPr>
          <w:trHeight w:val="245"/>
        </w:trPr>
        <w:tc>
          <w:tcPr>
            <w:tcW w:w="5640" w:type="dxa"/>
            <w:vAlign w:val="bottom"/>
          </w:tcPr>
          <w:p>
            <w:pPr>
              <w:ind w:left="200"/>
              <w:spacing w:after="0"/>
              <w:rPr>
                <w:sz w:val="20"/>
                <w:szCs w:val="20"/>
                <w:color w:val="auto"/>
              </w:rPr>
            </w:pPr>
            <w:r>
              <w:rPr>
                <w:rFonts w:ascii="Arial" w:cs="Arial" w:eastAsia="Arial" w:hAnsi="Arial"/>
                <w:sz w:val="20"/>
                <w:szCs w:val="20"/>
                <w:b w:val="1"/>
                <w:bCs w:val="1"/>
                <w:color w:val="auto"/>
              </w:rPr>
              <w:t>General and administrative</w:t>
            </w:r>
          </w:p>
        </w:tc>
        <w:tc>
          <w:tcPr>
            <w:tcW w:w="900" w:type="dxa"/>
            <w:vAlign w:val="bottom"/>
          </w:tcPr>
          <w:p>
            <w:pPr>
              <w:spacing w:after="0"/>
              <w:rPr>
                <w:sz w:val="21"/>
                <w:szCs w:val="21"/>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53,987</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59,615</w:t>
            </w:r>
          </w:p>
        </w:tc>
      </w:tr>
      <w:tr>
        <w:trPr>
          <w:trHeight w:val="259"/>
        </w:trPr>
        <w:tc>
          <w:tcPr>
            <w:tcW w:w="5640" w:type="dxa"/>
            <w:vAlign w:val="bottom"/>
          </w:tcPr>
          <w:p>
            <w:pPr>
              <w:ind w:left="400"/>
              <w:spacing w:after="0"/>
              <w:rPr>
                <w:sz w:val="20"/>
                <w:szCs w:val="20"/>
                <w:color w:val="auto"/>
              </w:rPr>
            </w:pPr>
            <w:r>
              <w:rPr>
                <w:rFonts w:ascii="Arial" w:cs="Arial" w:eastAsia="Arial" w:hAnsi="Arial"/>
                <w:sz w:val="20"/>
                <w:szCs w:val="20"/>
                <w:b w:val="1"/>
                <w:bCs w:val="1"/>
                <w:color w:val="auto"/>
              </w:rPr>
              <w:t>Total operating expenses</w:t>
            </w:r>
          </w:p>
        </w:tc>
        <w:tc>
          <w:tcPr>
            <w:tcW w:w="900" w:type="dxa"/>
            <w:vAlign w:val="bottom"/>
          </w:tcPr>
          <w:p>
            <w:pPr>
              <w:spacing w:after="0"/>
              <w:rPr>
                <w:sz w:val="22"/>
                <w:szCs w:val="22"/>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177,052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245,555</w:t>
            </w:r>
          </w:p>
        </w:tc>
      </w:tr>
      <w:tr>
        <w:trPr>
          <w:trHeight w:val="257"/>
        </w:trPr>
        <w:tc>
          <w:tcPr>
            <w:tcW w:w="5640" w:type="dxa"/>
            <w:vAlign w:val="bottom"/>
          </w:tcPr>
          <w:p>
            <w:pPr>
              <w:spacing w:after="0"/>
              <w:rPr>
                <w:sz w:val="20"/>
                <w:szCs w:val="20"/>
                <w:color w:val="auto"/>
              </w:rPr>
            </w:pPr>
            <w:r>
              <w:rPr>
                <w:rFonts w:ascii="Arial" w:cs="Arial" w:eastAsia="Arial" w:hAnsi="Arial"/>
                <w:sz w:val="20"/>
                <w:szCs w:val="20"/>
                <w:b w:val="1"/>
                <w:bCs w:val="1"/>
                <w:color w:val="auto"/>
              </w:rPr>
              <w:t>Loss from operations</w:t>
            </w:r>
          </w:p>
        </w:tc>
        <w:tc>
          <w:tcPr>
            <w:tcW w:w="90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(156,007)</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(144,997)</w:t>
            </w:r>
          </w:p>
        </w:tc>
      </w:tr>
      <w:tr>
        <w:trPr>
          <w:trHeight w:val="245"/>
        </w:trPr>
        <w:tc>
          <w:tcPr>
            <w:tcW w:w="5640" w:type="dxa"/>
            <w:vAlign w:val="bottom"/>
          </w:tcPr>
          <w:p>
            <w:pPr>
              <w:spacing w:after="0"/>
              <w:rPr>
                <w:sz w:val="20"/>
                <w:szCs w:val="20"/>
                <w:color w:val="auto"/>
              </w:rPr>
            </w:pPr>
            <w:r>
              <w:rPr>
                <w:rFonts w:ascii="Arial" w:cs="Arial" w:eastAsia="Arial" w:hAnsi="Arial"/>
                <w:sz w:val="20"/>
                <w:szCs w:val="20"/>
                <w:b w:val="1"/>
                <w:bCs w:val="1"/>
                <w:color w:val="auto"/>
              </w:rPr>
              <w:t>Other income, net</w:t>
            </w:r>
          </w:p>
        </w:tc>
        <w:tc>
          <w:tcPr>
            <w:tcW w:w="900" w:type="dxa"/>
            <w:vAlign w:val="bottom"/>
          </w:tcPr>
          <w:p>
            <w:pPr>
              <w:spacing w:after="0"/>
              <w:rPr>
                <w:sz w:val="21"/>
                <w:szCs w:val="21"/>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13,246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26,076</w:t>
            </w:r>
          </w:p>
        </w:tc>
      </w:tr>
      <w:tr>
        <w:trPr>
          <w:trHeight w:val="259"/>
        </w:trPr>
        <w:tc>
          <w:tcPr>
            <w:tcW w:w="564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90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(142,761)</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(118,921)</w:t>
            </w:r>
          </w:p>
        </w:tc>
      </w:tr>
      <w:tr>
        <w:trPr>
          <w:trHeight w:val="245"/>
        </w:trPr>
        <w:tc>
          <w:tcPr>
            <w:tcW w:w="5640" w:type="dxa"/>
            <w:vAlign w:val="bottom"/>
          </w:tcPr>
          <w:p>
            <w:pPr>
              <w:spacing w:after="0"/>
              <w:rPr>
                <w:sz w:val="20"/>
                <w:szCs w:val="20"/>
                <w:color w:val="auto"/>
              </w:rPr>
            </w:pPr>
            <w:r>
              <w:rPr>
                <w:rFonts w:ascii="Arial" w:cs="Arial" w:eastAsia="Arial" w:hAnsi="Arial"/>
                <w:sz w:val="20"/>
                <w:szCs w:val="20"/>
                <w:b w:val="1"/>
                <w:bCs w:val="1"/>
                <w:color w:val="auto"/>
              </w:rPr>
              <w:t>Income tax expense</w:t>
            </w:r>
          </w:p>
        </w:tc>
        <w:tc>
          <w:tcPr>
            <w:tcW w:w="900" w:type="dxa"/>
            <w:vAlign w:val="bottom"/>
          </w:tcPr>
          <w:p>
            <w:pPr>
              <w:spacing w:after="0"/>
              <w:rPr>
                <w:sz w:val="21"/>
                <w:szCs w:val="21"/>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rPr>
              <w:t>168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128</w:t>
            </w:r>
          </w:p>
        </w:tc>
      </w:tr>
      <w:tr>
        <w:trPr>
          <w:trHeight w:val="259"/>
        </w:trPr>
        <w:tc>
          <w:tcPr>
            <w:tcW w:w="564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90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(142,929)</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(119,049)</w:t>
            </w:r>
          </w:p>
        </w:tc>
      </w:tr>
      <w:tr>
        <w:trPr>
          <w:trHeight w:val="242"/>
        </w:trPr>
        <w:tc>
          <w:tcPr>
            <w:tcW w:w="5640" w:type="dxa"/>
            <w:vAlign w:val="bottom"/>
          </w:tcPr>
          <w:p>
            <w:pPr>
              <w:spacing w:after="0"/>
              <w:rPr>
                <w:sz w:val="20"/>
                <w:szCs w:val="20"/>
                <w:color w:val="auto"/>
              </w:rPr>
            </w:pPr>
            <w:r>
              <w:rPr>
                <w:rFonts w:ascii="Arial" w:cs="Arial" w:eastAsia="Arial" w:hAnsi="Arial"/>
                <w:sz w:val="20"/>
                <w:szCs w:val="20"/>
                <w:b w:val="1"/>
                <w:bCs w:val="1"/>
                <w:color w:val="auto"/>
              </w:rPr>
              <w:t>Unrealized gain (loss) on marketable securities</w:t>
            </w:r>
          </w:p>
        </w:tc>
        <w:tc>
          <w:tcPr>
            <w:tcW w:w="90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(95)</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259"/>
        </w:trPr>
        <w:tc>
          <w:tcPr>
            <w:tcW w:w="5640" w:type="dxa"/>
            <w:vAlign w:val="bottom"/>
          </w:tcPr>
          <w:p>
            <w:pPr>
              <w:spacing w:after="0"/>
              <w:rPr>
                <w:sz w:val="20"/>
                <w:szCs w:val="20"/>
                <w:color w:val="auto"/>
              </w:rPr>
            </w:pPr>
            <w:r>
              <w:rPr>
                <w:rFonts w:ascii="Arial" w:cs="Arial" w:eastAsia="Arial" w:hAnsi="Arial"/>
                <w:sz w:val="20"/>
                <w:szCs w:val="20"/>
                <w:b w:val="1"/>
                <w:bCs w:val="1"/>
                <w:color w:val="auto"/>
              </w:rPr>
              <w:t>Comprehensive loss</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(143,024)</w:t>
            </w:r>
          </w:p>
        </w:tc>
        <w:tc>
          <w:tcPr>
            <w:tcW w:w="36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(118,972)</w:t>
            </w:r>
          </w:p>
        </w:tc>
      </w:tr>
      <w:tr>
        <w:trPr>
          <w:trHeight w:val="290"/>
        </w:trPr>
        <w:tc>
          <w:tcPr>
            <w:tcW w:w="5640" w:type="dxa"/>
            <w:vAlign w:val="bottom"/>
          </w:tcPr>
          <w:p>
            <w:pPr>
              <w:spacing w:after="0"/>
              <w:rPr>
                <w:sz w:val="20"/>
                <w:szCs w:val="20"/>
                <w:color w:val="auto"/>
              </w:rPr>
            </w:pPr>
            <w:r>
              <w:rPr>
                <w:rFonts w:ascii="Arial" w:cs="Arial" w:eastAsia="Arial" w:hAnsi="Arial"/>
                <w:sz w:val="20"/>
                <w:szCs w:val="20"/>
                <w:b w:val="1"/>
                <w:bCs w:val="1"/>
                <w:color w:val="auto"/>
              </w:rPr>
              <w:t>Net loss per share, basic and diluted</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00" w:type="dxa"/>
            <w:vAlign w:val="bottom"/>
          </w:tcPr>
          <w:p>
            <w:pPr>
              <w:jc w:val="right"/>
              <w:ind w:right="3"/>
              <w:spacing w:after="0"/>
              <w:rPr>
                <w:sz w:val="20"/>
                <w:szCs w:val="20"/>
                <w:color w:val="auto"/>
              </w:rPr>
            </w:pPr>
            <w:r>
              <w:rPr>
                <w:rFonts w:ascii="Arial" w:cs="Arial" w:eastAsia="Arial" w:hAnsi="Arial"/>
                <w:sz w:val="20"/>
                <w:szCs w:val="20"/>
                <w:b w:val="1"/>
                <w:bCs w:val="1"/>
                <w:color w:val="auto"/>
              </w:rPr>
              <w:t>(1.39)</w:t>
            </w:r>
          </w:p>
        </w:tc>
        <w:tc>
          <w:tcPr>
            <w:tcW w:w="36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(1.23</w:t>
            </w:r>
            <w:r>
              <w:rPr>
                <w:rFonts w:ascii="Arial" w:cs="Arial" w:eastAsia="Arial" w:hAnsi="Arial"/>
                <w:sz w:val="20"/>
                <w:szCs w:val="20"/>
                <w:b w:val="1"/>
                <w:bCs w:val="1"/>
                <w:color w:val="auto"/>
                <w:shd w:val="clear" w:color="auto" w:fill="CFF0FC"/>
              </w:rPr>
              <w:t>)</w:t>
            </w:r>
          </w:p>
        </w:tc>
      </w:tr>
      <w:tr>
        <w:trPr>
          <w:trHeight w:val="288"/>
        </w:trPr>
        <w:tc>
          <w:tcPr>
            <w:tcW w:w="5640" w:type="dxa"/>
            <w:vAlign w:val="bottom"/>
          </w:tcPr>
          <w:p>
            <w:pPr>
              <w:spacing w:after="0"/>
              <w:rPr>
                <w:sz w:val="20"/>
                <w:szCs w:val="20"/>
                <w:color w:val="auto"/>
              </w:rPr>
            </w:pPr>
            <w:r>
              <w:rPr>
                <w:rFonts w:ascii="Arial" w:cs="Arial" w:eastAsia="Arial" w:hAnsi="Arial"/>
                <w:sz w:val="20"/>
                <w:szCs w:val="20"/>
                <w:b w:val="1"/>
                <w:bCs w:val="1"/>
                <w:color w:val="auto"/>
                <w:w w:val="93"/>
              </w:rPr>
              <w:t>Shares used in computing net loss per share, basic and diluted</w:t>
            </w:r>
          </w:p>
        </w:tc>
        <w:tc>
          <w:tcPr>
            <w:tcW w:w="900" w:type="dxa"/>
            <w:vAlign w:val="bottom"/>
          </w:tcPr>
          <w:p>
            <w:pPr>
              <w:spacing w:after="0"/>
              <w:rPr>
                <w:sz w:val="24"/>
                <w:szCs w:val="24"/>
                <w:color w:val="auto"/>
              </w:rPr>
            </w:pPr>
          </w:p>
        </w:tc>
        <w:tc>
          <w:tcPr>
            <w:tcW w:w="1300" w:type="dxa"/>
            <w:vAlign w:val="bottom"/>
          </w:tcPr>
          <w:p>
            <w:pPr>
              <w:jc w:val="right"/>
              <w:ind w:right="83"/>
              <w:spacing w:after="0"/>
              <w:rPr>
                <w:sz w:val="20"/>
                <w:szCs w:val="20"/>
                <w:color w:val="auto"/>
              </w:rPr>
            </w:pPr>
            <w:r>
              <w:rPr>
                <w:rFonts w:ascii="Arial" w:cs="Arial" w:eastAsia="Arial" w:hAnsi="Arial"/>
                <w:sz w:val="20"/>
                <w:szCs w:val="20"/>
                <w:b w:val="1"/>
                <w:bCs w:val="1"/>
                <w:color w:val="auto"/>
                <w:w w:val="98"/>
              </w:rPr>
              <w:t>102,998,978</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96,588,177</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The accompanying notes are an integral part of these consolidated financial </w:t>
      </w:r>
      <w:r>
        <w:rPr>
          <w:rFonts w:ascii="Arial" w:cs="Arial" w:eastAsia="Arial" w:hAnsi="Arial"/>
          <w:sz w:val="20"/>
          <w:szCs w:val="20"/>
          <w:b w:val="1"/>
          <w:bCs w:val="1"/>
          <w:color w:val="auto"/>
          <w:highlight w:val="white"/>
        </w:rPr>
        <w:t>statements.</w:t>
      </w:r>
    </w:p>
    <w:p>
      <w:pPr>
        <w:sectPr>
          <w:pgSz w:w="12240" w:h="15840" w:orient="portrait"/>
          <w:cols w:equalWidth="0" w:num="1">
            <w:col w:w="9360"/>
          </w:cols>
          <w:pgMar w:left="1440" w:top="143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106</w:t>
      </w:r>
    </w:p>
    <w:p>
      <w:pPr>
        <w:sectPr>
          <w:pgSz w:w="12240" w:h="15840" w:orient="portrait"/>
          <w:cols w:equalWidth="0" w:num="1">
            <w:col w:w="9360"/>
          </w:cols>
          <w:pgMar w:left="1440" w:top="1439" w:right="1440" w:bottom="181" w:gutter="0" w:footer="0" w:header="0"/>
          <w:type w:val="continuous"/>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3690620</wp:posOffset>
            </wp:positionH>
            <wp:positionV relativeFrom="page">
              <wp:posOffset>845185</wp:posOffset>
            </wp:positionV>
            <wp:extent cx="729615" cy="112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15" cy="11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3206750</wp:posOffset>
            </wp:positionV>
            <wp:extent cx="1479550" cy="140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9550"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-704215</wp:posOffset>
            </wp:positionV>
            <wp:extent cx="679450" cy="133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0" cy="13335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-481965</wp:posOffset>
            </wp:positionV>
            <wp:extent cx="613410" cy="112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410" cy="11239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-338455</wp:posOffset>
            </wp:positionV>
            <wp:extent cx="770890" cy="139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0890" cy="13970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3441700</wp:posOffset>
            </wp:positionV>
            <wp:extent cx="826770"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6770"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5619750</wp:posOffset>
            </wp:positionV>
            <wp:extent cx="194310" cy="112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-944880</wp:posOffset>
            </wp:positionV>
            <wp:extent cx="280035" cy="112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0035" cy="112395"/>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-723900</wp:posOffset>
            </wp:positionV>
            <wp:extent cx="136525" cy="112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525" cy="11239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-577850</wp:posOffset>
            </wp:positionV>
            <wp:extent cx="674370" cy="138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370" cy="13843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19050</wp:posOffset>
            </wp:positionV>
            <wp:extent cx="9526270" cy="3321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26270" cy="332168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19050</wp:posOffset>
            </wp:positionV>
            <wp:extent cx="9526270" cy="3321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26270" cy="3321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-364490</wp:posOffset>
            </wp:positionV>
            <wp:extent cx="1165225"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225" cy="2832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Paid-In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3188970</wp:posOffset>
            </wp:positionV>
            <wp:extent cx="1154430" cy="140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4430"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spacing w:after="0" w:line="296" w:lineRule="auto"/>
        <w:rPr>
          <w:sz w:val="20"/>
          <w:szCs w:val="20"/>
          <w:color w:val="auto"/>
        </w:rPr>
      </w:pPr>
      <w:r>
        <w:rPr>
          <w:rFonts w:ascii="Arial" w:cs="Arial" w:eastAsia="Arial" w:hAnsi="Arial"/>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3182620</wp:posOffset>
            </wp:positionV>
            <wp:extent cx="577215" cy="98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215" cy="98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Accumulated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Stockholders’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Equity</w:t>
      </w:r>
    </w:p>
    <w:p>
      <w:pPr>
        <w:sectPr>
          <w:pgSz w:w="15840" w:h="12240" w:orient="landscape"/>
          <w:cols w:equalWidth="0" w:num="7">
            <w:col w:w="5120" w:space="80"/>
            <w:col w:w="1040" w:space="20"/>
            <w:col w:w="840" w:space="720"/>
            <w:col w:w="720" w:space="600"/>
            <w:col w:w="1340" w:space="560"/>
            <w:col w:w="900" w:space="540"/>
            <w:col w:w="1360"/>
          </w:cols>
          <w:pgMar w:left="1440" w:top="1440" w:right="560"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4"/>
          <w:szCs w:val="14"/>
          <w:b w:val="1"/>
          <w:bCs w:val="1"/>
          <w:color w:val="auto"/>
        </w:rPr>
        <w:t>LECTOR</w:t>
      </w:r>
      <w:r>
        <w:rPr>
          <w:rFonts w:ascii="Arial" w:cs="Arial" w:eastAsia="Arial" w:hAnsi="Arial"/>
          <w:sz w:val="20"/>
          <w:szCs w:val="20"/>
          <w:b w:val="1"/>
          <w:bCs w:val="1"/>
          <w:color w:val="auto"/>
        </w:rPr>
        <w:t>, I</w:t>
      </w:r>
      <w:r>
        <w:rPr>
          <w:rFonts w:ascii="Arial" w:cs="Arial" w:eastAsia="Arial" w:hAnsi="Arial"/>
          <w:sz w:val="14"/>
          <w:szCs w:val="14"/>
          <w:b w:val="1"/>
          <w:bCs w:val="1"/>
          <w:color w:val="auto"/>
        </w:rPr>
        <w:t>NC</w:t>
      </w:r>
      <w:r>
        <w:rPr>
          <w:rFonts w:ascii="Arial" w:cs="Arial" w:eastAsia="Arial" w:hAnsi="Arial"/>
          <w:sz w:val="20"/>
          <w:szCs w:val="20"/>
          <w:b w:val="1"/>
          <w:bCs w:val="1"/>
          <w:color w:val="auto"/>
        </w:rPr>
        <w: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 thousands)</w:t>
      </w:r>
    </w:p>
    <w:p>
      <w:pPr>
        <w:spacing w:after="0" w:line="24" w:lineRule="exact"/>
        <w:rPr>
          <w:sz w:val="20"/>
          <w:szCs w:val="20"/>
          <w:color w:val="auto"/>
        </w:rPr>
      </w:pPr>
    </w:p>
    <w:p>
      <w:pPr>
        <w:jc w:val="center"/>
        <w:ind w:left="7200"/>
        <w:spacing w:after="0"/>
        <w:rPr>
          <w:sz w:val="20"/>
          <w:szCs w:val="20"/>
          <w:color w:val="auto"/>
        </w:rPr>
      </w:pPr>
      <w:r>
        <w:rPr>
          <w:rFonts w:ascii="Arial" w:cs="Arial" w:eastAsia="Arial" w:hAnsi="Arial"/>
          <w:sz w:val="15"/>
          <w:szCs w:val="15"/>
          <w:b w:val="1"/>
          <w:bCs w:val="1"/>
          <w:color w:val="auto"/>
        </w:rPr>
        <w:t>Year Ende</w:t>
      </w:r>
      <w:r>
        <w:rPr>
          <w:rFonts w:ascii="Arial" w:cs="Arial" w:eastAsia="Arial" w:hAnsi="Arial"/>
          <w:sz w:val="15"/>
          <w:szCs w:val="15"/>
          <w:b w:val="1"/>
          <w:bCs w:val="1"/>
          <w:u w:val="single" w:color="auto"/>
          <w:color w:val="auto"/>
        </w:rPr>
        <w:t>d</w:t>
      </w:r>
      <w:r>
        <w:rPr>
          <w:rFonts w:ascii="Arial" w:cs="Arial" w:eastAsia="Arial" w:hAnsi="Arial"/>
          <w:sz w:val="15"/>
          <w:szCs w:val="15"/>
          <w:b w:val="1"/>
          <w:bCs w:val="1"/>
          <w:color w:val="auto"/>
        </w:rPr>
        <w:t xml:space="preserve">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-10795</wp:posOffset>
            </wp:positionV>
            <wp:extent cx="6209665" cy="6758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09665" cy="6758305"/>
                    </a:xfrm>
                    <a:prstGeom prst="rect">
                      <a:avLst/>
                    </a:prstGeom>
                    <a:noFill/>
                  </pic:spPr>
                </pic:pic>
              </a:graphicData>
            </a:graphic>
          </wp:anchor>
        </w:drawing>
      </w:r>
    </w:p>
    <w:p>
      <w:pPr>
        <w:spacing w:after="0" w:line="12" w:lineRule="exact"/>
        <w:rPr>
          <w:sz w:val="20"/>
          <w:szCs w:val="20"/>
          <w:color w:val="auto"/>
        </w:rPr>
      </w:pPr>
    </w:p>
    <w:p>
      <w:pPr>
        <w:jc w:val="both"/>
        <w:ind w:left="7320"/>
        <w:spacing w:after="0"/>
        <w:tabs>
          <w:tab w:leader="none" w:pos="890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ectPr>
          <w:pgSz w:w="12240" w:h="15840" w:orient="portrait"/>
          <w:cols w:equalWidth="0" w:num="1">
            <w:col w:w="9860"/>
          </w:cols>
          <w:pgMar w:left="1440" w:top="1151" w:right="940" w:bottom="181" w:gutter="0" w:footer="0" w:header="0"/>
        </w:sectPr>
      </w:pPr>
    </w:p>
    <w:p>
      <w:pPr>
        <w:spacing w:after="0" w:line="3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Cash flows from operating activities: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Net loss</w:t>
      </w:r>
    </w:p>
    <w:p>
      <w:pPr>
        <w:spacing w:after="0" w:line="25" w:lineRule="exact"/>
        <w:rPr>
          <w:sz w:val="20"/>
          <w:szCs w:val="20"/>
          <w:color w:val="auto"/>
        </w:rPr>
      </w:pPr>
    </w:p>
    <w:p>
      <w:pPr>
        <w:ind w:left="240" w:right="840" w:hanging="150"/>
        <w:spacing w:after="0" w:line="234" w:lineRule="auto"/>
        <w:rPr>
          <w:sz w:val="20"/>
          <w:szCs w:val="20"/>
          <w:color w:val="auto"/>
        </w:rPr>
      </w:pPr>
      <w:r>
        <w:rPr>
          <w:rFonts w:ascii="Arial" w:cs="Arial" w:eastAsia="Arial" w:hAnsi="Arial"/>
          <w:sz w:val="20"/>
          <w:szCs w:val="20"/>
          <w:b w:val="1"/>
          <w:bCs w:val="1"/>
          <w:color w:val="auto"/>
        </w:rPr>
        <w:t>Adjustments to reconcile net loss to net cash used in operating activities: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Depreciation and amortization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Stock-based compensation</w:t>
      </w:r>
    </w:p>
    <w:p>
      <w:pPr>
        <w:spacing w:after="0" w:line="25" w:lineRule="exact"/>
        <w:rPr>
          <w:sz w:val="20"/>
          <w:szCs w:val="20"/>
          <w:color w:val="auto"/>
        </w:rPr>
      </w:pPr>
    </w:p>
    <w:p>
      <w:pPr>
        <w:ind w:left="500" w:right="1100" w:hanging="198"/>
        <w:spacing w:after="0" w:line="234" w:lineRule="auto"/>
        <w:rPr>
          <w:sz w:val="20"/>
          <w:szCs w:val="20"/>
          <w:color w:val="auto"/>
        </w:rPr>
      </w:pPr>
      <w:r>
        <w:rPr>
          <w:rFonts w:ascii="Arial" w:cs="Arial" w:eastAsia="Arial" w:hAnsi="Arial"/>
          <w:sz w:val="20"/>
          <w:szCs w:val="20"/>
          <w:b w:val="1"/>
          <w:bCs w:val="1"/>
          <w:color w:val="auto"/>
        </w:rPr>
        <w:t>Amortization of premiums and accretion of discounts on marketable securities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Amortization of right-of-use assets</w:t>
      </w:r>
    </w:p>
    <w:p>
      <w:pPr>
        <w:spacing w:after="0" w:line="25" w:lineRule="exact"/>
        <w:rPr>
          <w:sz w:val="20"/>
          <w:szCs w:val="20"/>
          <w:color w:val="auto"/>
        </w:rPr>
      </w:pPr>
    </w:p>
    <w:p>
      <w:pPr>
        <w:ind w:left="300" w:right="1300"/>
        <w:spacing w:after="0" w:line="328" w:lineRule="auto"/>
        <w:rPr>
          <w:sz w:val="20"/>
          <w:szCs w:val="20"/>
          <w:color w:val="auto"/>
        </w:rPr>
      </w:pPr>
      <w:r>
        <w:rPr>
          <w:rFonts w:ascii="Arial" w:cs="Arial" w:eastAsia="Arial" w:hAnsi="Arial"/>
          <w:sz w:val="15"/>
          <w:szCs w:val="15"/>
          <w:b w:val="1"/>
          <w:bCs w:val="1"/>
          <w:color w:val="auto"/>
        </w:rPr>
        <w:t>Amortization of debt discount and debt issuance costs Impairment loss of right-of-use assets and leasehold</w:t>
      </w:r>
    </w:p>
    <w:p>
      <w:pPr>
        <w:ind w:left="500"/>
        <w:spacing w:after="0" w:line="230" w:lineRule="auto"/>
        <w:rPr>
          <w:sz w:val="20"/>
          <w:szCs w:val="20"/>
          <w:color w:val="auto"/>
        </w:rPr>
      </w:pPr>
      <w:r>
        <w:rPr>
          <w:rFonts w:ascii="Arial" w:cs="Arial" w:eastAsia="Arial" w:hAnsi="Arial"/>
          <w:sz w:val="20"/>
          <w:szCs w:val="20"/>
          <w:b w:val="1"/>
          <w:bCs w:val="1"/>
          <w:color w:val="auto"/>
        </w:rPr>
        <w:t>improvements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Changes in operating assets and liabilities: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Prepaid expenses and other current assets</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Other assets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Accounts payable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Accrued liabilities and accrued clinical supply costs</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Payable to collaboration partner</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Deferred revenue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Refund liability to collaboration partner</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Lease liabilities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Other long-term liabilities</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Net cash used in operating activities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Cash flows from investing activities: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Purchase of property and equipment</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Purchase of marketable securities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Maturities of marketable securities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Sale of marketable securities</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Net cash provided by investing activities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Cash flows from financing activities:</w:t>
      </w:r>
    </w:p>
    <w:p>
      <w:pPr>
        <w:spacing w:after="0" w:line="25" w:lineRule="exact"/>
        <w:rPr>
          <w:sz w:val="20"/>
          <w:szCs w:val="20"/>
          <w:color w:val="auto"/>
        </w:rPr>
      </w:pPr>
    </w:p>
    <w:p>
      <w:pPr>
        <w:ind w:left="440" w:right="1640" w:hanging="148"/>
        <w:spacing w:after="0" w:line="234" w:lineRule="auto"/>
        <w:rPr>
          <w:sz w:val="20"/>
          <w:szCs w:val="20"/>
          <w:color w:val="auto"/>
        </w:rPr>
      </w:pPr>
      <w:r>
        <w:rPr>
          <w:rFonts w:ascii="Arial" w:cs="Arial" w:eastAsia="Arial" w:hAnsi="Arial"/>
          <w:sz w:val="20"/>
          <w:szCs w:val="20"/>
          <w:b w:val="1"/>
          <w:bCs w:val="1"/>
          <w:color w:val="auto"/>
        </w:rPr>
        <w:t>Proceeds from the exercise of options to purchase common stock</w:t>
      </w:r>
    </w:p>
    <w:p>
      <w:pPr>
        <w:spacing w:after="0" w:line="27" w:lineRule="exact"/>
        <w:rPr>
          <w:sz w:val="20"/>
          <w:szCs w:val="20"/>
          <w:color w:val="auto"/>
        </w:rPr>
      </w:pPr>
    </w:p>
    <w:p>
      <w:pPr>
        <w:ind w:left="440" w:right="1780" w:hanging="148"/>
        <w:spacing w:after="0" w:line="233" w:lineRule="auto"/>
        <w:rPr>
          <w:sz w:val="20"/>
          <w:szCs w:val="20"/>
          <w:color w:val="auto"/>
        </w:rPr>
      </w:pPr>
      <w:r>
        <w:rPr>
          <w:rFonts w:ascii="Arial" w:cs="Arial" w:eastAsia="Arial" w:hAnsi="Arial"/>
          <w:sz w:val="20"/>
          <w:szCs w:val="20"/>
          <w:b w:val="1"/>
          <w:bCs w:val="1"/>
          <w:color w:val="auto"/>
        </w:rPr>
        <w:t>Proceeds from issuance of stock from employee stock purchase plan</w:t>
      </w:r>
    </w:p>
    <w:p>
      <w:pPr>
        <w:spacing w:after="0" w:line="26" w:lineRule="exact"/>
        <w:rPr>
          <w:sz w:val="20"/>
          <w:szCs w:val="20"/>
          <w:color w:val="auto"/>
        </w:rPr>
      </w:pPr>
    </w:p>
    <w:p>
      <w:pPr>
        <w:ind w:left="300" w:right="460"/>
        <w:spacing w:after="0" w:line="350" w:lineRule="auto"/>
        <w:rPr>
          <w:sz w:val="20"/>
          <w:szCs w:val="20"/>
          <w:color w:val="auto"/>
        </w:rPr>
      </w:pPr>
      <w:r>
        <w:rPr>
          <w:rFonts w:ascii="Arial" w:cs="Arial" w:eastAsia="Arial" w:hAnsi="Arial"/>
          <w:sz w:val="15"/>
          <w:szCs w:val="15"/>
          <w:b w:val="1"/>
          <w:bCs w:val="1"/>
          <w:color w:val="auto"/>
        </w:rPr>
        <w:t>Proceeds from issuance of common stock, net of issuance costs Proceeds from debt financing, net of discount and issuance costs</w:t>
      </w:r>
    </w:p>
    <w:p>
      <w:pPr>
        <w:ind w:left="700"/>
        <w:spacing w:after="0" w:line="230" w:lineRule="auto"/>
        <w:rPr>
          <w:sz w:val="20"/>
          <w:szCs w:val="20"/>
          <w:color w:val="auto"/>
        </w:rPr>
      </w:pPr>
      <w:r>
        <w:rPr>
          <w:rFonts w:ascii="Arial" w:cs="Arial" w:eastAsia="Arial" w:hAnsi="Arial"/>
          <w:sz w:val="20"/>
          <w:szCs w:val="20"/>
          <w:b w:val="1"/>
          <w:bCs w:val="1"/>
          <w:color w:val="auto"/>
        </w:rPr>
        <w:t>Net cash provided by financing activities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Cash, cash equivalents, and restricted cash at beginning of period</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Cash, cash equivalents, and restricted cash at end of period</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Non-cash investing and financing activities:</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Interest paid</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30"/>
        </w:trPr>
        <w:tc>
          <w:tcPr>
            <w:tcW w:w="360" w:type="dxa"/>
            <w:vAlign w:val="bottom"/>
          </w:tcPr>
          <w:p>
            <w:pPr>
              <w:jc w:val="right"/>
              <w:ind w:right="160"/>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(142,929)</w:t>
            </w:r>
          </w:p>
        </w:tc>
        <w:tc>
          <w:tcPr>
            <w:tcW w:w="440" w:type="dxa"/>
            <w:vAlign w:val="bottom"/>
          </w:tcPr>
          <w:p>
            <w:pPr>
              <w:jc w:val="right"/>
              <w:ind w:right="14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(119,049)</w:t>
            </w:r>
          </w:p>
        </w:tc>
      </w:tr>
      <w:tr>
        <w:trPr>
          <w:trHeight w:val="718"/>
        </w:trPr>
        <w:tc>
          <w:tcPr>
            <w:tcW w:w="36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5,718</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5,407</w:t>
            </w:r>
          </w:p>
        </w:tc>
      </w:tr>
      <w:tr>
        <w:trPr>
          <w:trHeight w:val="245"/>
        </w:trPr>
        <w:tc>
          <w:tcPr>
            <w:tcW w:w="3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26,658</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39,463</w:t>
            </w:r>
          </w:p>
        </w:tc>
      </w:tr>
      <w:tr>
        <w:trPr>
          <w:trHeight w:val="475"/>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(6,579)</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(14,379)</w:t>
            </w:r>
          </w:p>
        </w:tc>
      </w:tr>
      <w:tr>
        <w:trPr>
          <w:trHeight w:val="242"/>
        </w:trPr>
        <w:tc>
          <w:tcPr>
            <w:tcW w:w="3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3,943</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3,434</w:t>
            </w:r>
          </w:p>
        </w:tc>
      </w:tr>
      <w:tr>
        <w:trPr>
          <w:trHeight w:val="245"/>
        </w:trPr>
        <w:tc>
          <w:tcPr>
            <w:tcW w:w="3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293</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473"/>
        </w:trPr>
        <w:tc>
          <w:tcPr>
            <w:tcW w:w="36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2,922</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2,205</w:t>
            </w:r>
          </w:p>
        </w:tc>
      </w:tr>
      <w:tr>
        <w:trPr>
          <w:trHeight w:val="490"/>
        </w:trPr>
        <w:tc>
          <w:tcPr>
            <w:tcW w:w="36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992</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5,526</w:t>
            </w:r>
          </w:p>
        </w:tc>
      </w:tr>
      <w:tr>
        <w:trPr>
          <w:trHeight w:val="242"/>
        </w:trPr>
        <w:tc>
          <w:tcPr>
            <w:tcW w:w="3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4,158</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2,874</w:t>
            </w:r>
          </w:p>
        </w:tc>
      </w:tr>
      <w:tr>
        <w:trPr>
          <w:trHeight w:val="245"/>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(524)</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(1,441)</w:t>
            </w:r>
          </w:p>
        </w:tc>
      </w:tr>
      <w:tr>
        <w:trPr>
          <w:trHeight w:val="245"/>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(12,904)</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340</w:t>
            </w:r>
          </w:p>
        </w:tc>
      </w:tr>
      <w:tr>
        <w:trPr>
          <w:trHeight w:val="242"/>
        </w:trPr>
        <w:tc>
          <w:tcPr>
            <w:tcW w:w="3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b w:val="1"/>
                <w:bCs w:val="1"/>
                <w:color w:val="auto"/>
              </w:rPr>
              <w:t>11,375</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(1,789)</w:t>
            </w:r>
          </w:p>
        </w:tc>
      </w:tr>
      <w:tr>
        <w:trPr>
          <w:trHeight w:val="245"/>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(21,045)</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(100,558)</w:t>
            </w:r>
          </w:p>
        </w:tc>
      </w:tr>
      <w:tr>
        <w:trPr>
          <w:trHeight w:val="245"/>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(50,027)</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(46,007</w:t>
            </w:r>
            <w:r>
              <w:rPr>
                <w:rFonts w:ascii="Arial" w:cs="Arial" w:eastAsia="Arial" w:hAnsi="Arial"/>
                <w:sz w:val="20"/>
                <w:szCs w:val="20"/>
                <w:b w:val="1"/>
                <w:bCs w:val="1"/>
                <w:color w:val="auto"/>
                <w:shd w:val="clear" w:color="auto" w:fill="CFF0FC"/>
              </w:rPr>
              <w:t>)</w:t>
            </w:r>
          </w:p>
        </w:tc>
      </w:tr>
      <w:tr>
        <w:trPr>
          <w:trHeight w:val="242"/>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(6,585)</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(5,792)</w:t>
            </w:r>
          </w:p>
        </w:tc>
      </w:tr>
    </w:tbl>
    <w:p>
      <w:pPr>
        <w:spacing w:after="0" w:line="15" w:lineRule="exact"/>
        <w:rPr>
          <w:sz w:val="20"/>
          <w:szCs w:val="20"/>
          <w:color w:val="auto"/>
        </w:rPr>
      </w:pPr>
    </w:p>
    <w:p>
      <w:pPr>
        <w:ind w:left="2720" w:hanging="1517"/>
        <w:spacing w:after="0"/>
        <w:tabs>
          <w:tab w:leader="none" w:pos="272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(139)</w:t>
      </w:r>
    </w:p>
    <w:p>
      <w:pPr>
        <w:ind w:left="7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(184,031)</w:t>
      </w:r>
      <w:r>
        <w:rPr>
          <w:rFonts w:ascii="Arial" w:cs="Arial" w:eastAsia="Arial" w:hAnsi="Arial"/>
          <w:sz w:val="1"/>
          <w:szCs w:val="1"/>
          <w:b w:val="1"/>
          <w:bCs w:val="1"/>
          <w:color w:val="auto"/>
        </w:rPr>
        <w:drawing>
          <wp:inline distT="0" distB="0" distL="0" distR="0">
            <wp:extent cx="128905" cy="1619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61925"/>
                    </a:xfrm>
                    <a:prstGeom prst="rect">
                      <a:avLst/>
                    </a:prstGeom>
                    <a:noFill/>
                    <a:ln>
                      <a:noFill/>
                    </a:ln>
                  </pic:spPr>
                </pic:pic>
              </a:graphicData>
            </a:graphic>
          </wp:inline>
        </w:drawing>
      </w:r>
      <w:r>
        <w:rPr>
          <w:rFonts w:ascii="Arial" w:cs="Arial" w:eastAsia="Arial" w:hAnsi="Arial"/>
          <w:sz w:val="20"/>
          <w:szCs w:val="20"/>
          <w:b w:val="1"/>
          <w:bCs w:val="1"/>
          <w:color w:val="auto"/>
        </w:rPr>
        <w:t xml:space="preserve">      (229,905)</w:t>
      </w:r>
    </w:p>
    <w:p>
      <w:pPr>
        <w:spacing w:after="0" w:line="254" w:lineRule="exact"/>
        <w:rPr>
          <w:rFonts w:ascii="Arial" w:cs="Arial" w:eastAsia="Arial" w:hAnsi="Arial"/>
          <w:sz w:val="20"/>
          <w:szCs w:val="20"/>
          <w:b w:val="1"/>
          <w:bCs w:val="1"/>
          <w:color w:val="auto"/>
        </w:rPr>
      </w:pPr>
    </w:p>
    <w:p>
      <w:pPr>
        <w:ind w:left="2580" w:hanging="1347"/>
        <w:spacing w:after="0"/>
        <w:tabs>
          <w:tab w:leader="none" w:pos="2580" w:val="left"/>
        </w:tabs>
        <w:numPr>
          <w:ilvl w:val="1"/>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(1,255)</w:t>
      </w:r>
    </w:p>
    <w:p>
      <w:pPr>
        <w:spacing w:after="0" w:line="12" w:lineRule="exact"/>
        <w:rPr>
          <w:rFonts w:ascii="Arial" w:cs="Arial" w:eastAsia="Arial" w:hAnsi="Arial"/>
          <w:sz w:val="20"/>
          <w:szCs w:val="20"/>
          <w:b w:val="1"/>
          <w:bCs w:val="1"/>
          <w:color w:val="auto"/>
        </w:rPr>
      </w:pPr>
    </w:p>
    <w:p>
      <w:pPr>
        <w:ind w:left="7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(271,879)</w:t>
      </w:r>
      <w:r>
        <w:rPr>
          <w:rFonts w:ascii="Arial" w:cs="Arial" w:eastAsia="Arial" w:hAnsi="Arial"/>
          <w:sz w:val="18"/>
          <w:szCs w:val="18"/>
          <w:b w:val="1"/>
          <w:bCs w:val="1"/>
          <w:color w:val="auto"/>
        </w:rPr>
        <w:t>(467,741)</w:t>
      </w:r>
    </w:p>
    <w:p>
      <w:pPr>
        <w:ind w:left="8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465,536</w:t>
      </w:r>
      <w:r>
        <w:rPr>
          <w:rFonts w:ascii="Arial" w:cs="Arial" w:eastAsia="Arial" w:hAnsi="Arial"/>
          <w:sz w:val="15"/>
          <w:szCs w:val="15"/>
          <w:b w:val="1"/>
          <w:bCs w:val="1"/>
          <w:color w:val="auto"/>
        </w:rPr>
        <w:t>573,559</w:t>
      </w:r>
      <w:r>
        <w:rPr>
          <w:rFonts w:ascii="Arial" w:cs="Arial" w:eastAsia="Arial" w:hAnsi="Arial"/>
          <w:sz w:val="1"/>
          <w:szCs w:val="1"/>
          <w:b w:val="1"/>
          <w:bCs w:val="1"/>
          <w:color w:val="auto"/>
        </w:rPr>
        <w:drawing>
          <wp:inline distT="0" distB="0" distL="0" distR="0">
            <wp:extent cx="80010" cy="152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010" cy="152400"/>
                    </a:xfrm>
                    <a:prstGeom prst="rect">
                      <a:avLst/>
                    </a:prstGeom>
                    <a:noFill/>
                    <a:ln>
                      <a:noFill/>
                    </a:ln>
                  </pic:spPr>
                </pic:pic>
              </a:graphicData>
            </a:graphic>
          </wp:inline>
        </w:drawing>
      </w: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2,981</w:t>
      </w:r>
      <w:r>
        <w:rPr>
          <w:rFonts w:ascii="Arial" w:cs="Arial" w:eastAsia="Arial" w:hAnsi="Arial"/>
          <w:sz w:val="15"/>
          <w:szCs w:val="15"/>
          <w:b w:val="1"/>
          <w:bCs w:val="1"/>
          <w:color w:val="auto"/>
        </w:rPr>
        <w:t>2,568</w:t>
      </w:r>
      <w:r>
        <w:rPr>
          <w:rFonts w:ascii="Arial" w:cs="Arial" w:eastAsia="Arial" w:hAnsi="Arial"/>
          <w:sz w:val="1"/>
          <w:szCs w:val="1"/>
          <w:b w:val="1"/>
          <w:bCs w:val="1"/>
          <w:color w:val="auto"/>
        </w:rPr>
        <w:drawing>
          <wp:inline distT="0" distB="0" distL="0" distR="0">
            <wp:extent cx="80010" cy="1619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010" cy="161925"/>
                    </a:xfrm>
                    <a:prstGeom prst="rect">
                      <a:avLst/>
                    </a:prstGeom>
                    <a:noFill/>
                    <a:ln>
                      <a:noFill/>
                    </a:ln>
                  </pic:spPr>
                </pic:pic>
              </a:graphicData>
            </a:graphic>
          </wp:inline>
        </w:drawing>
      </w:r>
    </w:p>
    <w:p>
      <w:pPr>
        <w:spacing w:after="0" w:line="8"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20"/>
          <w:szCs w:val="20"/>
          <w:b w:val="1"/>
          <w:bCs w:val="1"/>
          <w:color w:val="auto"/>
        </w:rPr>
        <w:t>196,597</w:t>
      </w:r>
      <w:r>
        <w:rPr>
          <w:sz w:val="20"/>
          <w:szCs w:val="20"/>
          <w:color w:val="auto"/>
        </w:rPr>
        <w:tab/>
      </w:r>
      <w:r>
        <w:rPr>
          <w:rFonts w:ascii="Arial" w:cs="Arial" w:eastAsia="Arial" w:hAnsi="Arial"/>
          <w:sz w:val="20"/>
          <w:szCs w:val="20"/>
          <w:b w:val="1"/>
          <w:bCs w:val="1"/>
          <w:color w:val="auto"/>
        </w:rPr>
        <w:t>107,131</w:t>
      </w:r>
    </w:p>
    <w:p>
      <w:pPr>
        <w:spacing w:after="0" w:line="196" w:lineRule="exact"/>
        <w:rPr>
          <w:sz w:val="20"/>
          <w:szCs w:val="20"/>
          <w:color w:val="auto"/>
        </w:rPr>
      </w:pPr>
    </w:p>
    <w:p>
      <w:pPr>
        <w:jc w:val="both"/>
        <w:ind w:left="1300"/>
        <w:spacing w:after="0"/>
        <w:tabs>
          <w:tab w:leader="none" w:pos="28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w:t>
      </w:r>
      <w:r>
        <w:rPr>
          <w:sz w:val="1"/>
          <w:szCs w:val="1"/>
          <w:color w:val="auto"/>
        </w:rPr>
        <w:drawing>
          <wp:inline distT="0" distB="0" distL="0" distR="0">
            <wp:extent cx="80010" cy="3270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010" cy="327025"/>
                    </a:xfrm>
                    <a:prstGeom prst="rect">
                      <a:avLst/>
                    </a:prstGeom>
                    <a:noFill/>
                    <a:ln>
                      <a:noFill/>
                    </a:ln>
                  </pic:spPr>
                </pic:pic>
              </a:graphicData>
            </a:graphic>
          </wp:inline>
        </w:drawing>
      </w:r>
    </w:p>
    <w:p>
      <w:pPr>
        <w:spacing w:after="0" w:line="221" w:lineRule="exact"/>
        <w:rPr>
          <w:sz w:val="20"/>
          <w:szCs w:val="20"/>
          <w:color w:val="auto"/>
        </w:rPr>
      </w:pPr>
    </w:p>
    <w:p>
      <w:pPr>
        <w:ind w:left="1200"/>
        <w:spacing w:after="0"/>
        <w:tabs>
          <w:tab w:leader="none" w:pos="262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20"/>
          <w:szCs w:val="20"/>
          <w:b w:val="1"/>
          <w:bCs w:val="1"/>
          <w:color w:val="auto"/>
        </w:rPr>
        <w:t>1,043</w:t>
      </w:r>
    </w:p>
    <w:p>
      <w:pPr>
        <w:ind w:left="960"/>
        <w:spacing w:after="0" w:line="235" w:lineRule="auto"/>
        <w:tabs>
          <w:tab w:leader="none" w:pos="2520" w:val="left"/>
        </w:tabs>
        <w:rPr>
          <w:sz w:val="20"/>
          <w:szCs w:val="20"/>
          <w:color w:val="auto"/>
        </w:rPr>
      </w:pPr>
      <w:r>
        <w:rPr>
          <w:rFonts w:ascii="Arial" w:cs="Arial" w:eastAsia="Arial" w:hAnsi="Arial"/>
          <w:sz w:val="20"/>
          <w:szCs w:val="20"/>
          <w:b w:val="1"/>
          <w:bCs w:val="1"/>
          <w:color w:val="auto"/>
        </w:rPr>
        <w:t>19,983</w:t>
      </w:r>
      <w:r>
        <w:rPr>
          <w:sz w:val="20"/>
          <w:szCs w:val="20"/>
          <w:color w:val="auto"/>
        </w:rPr>
        <w:tab/>
      </w:r>
      <w:r>
        <w:rPr>
          <w:rFonts w:ascii="Arial" w:cs="Arial" w:eastAsia="Arial" w:hAnsi="Arial"/>
          <w:sz w:val="20"/>
          <w:szCs w:val="20"/>
          <w:b w:val="1"/>
          <w:bCs w:val="1"/>
          <w:color w:val="auto"/>
        </w:rPr>
        <w:t>71,108</w:t>
      </w:r>
    </w:p>
    <w:p>
      <w:pPr>
        <w:ind w:left="13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15"/>
          <w:szCs w:val="15"/>
          <w:b w:val="1"/>
          <w:bCs w:val="1"/>
          <w:color w:val="auto"/>
        </w:rPr>
        <w:t>9,389</w:t>
      </w:r>
      <w:r>
        <w:rPr>
          <w:sz w:val="1"/>
          <w:szCs w:val="1"/>
          <w:color w:val="auto"/>
        </w:rPr>
        <w:drawing>
          <wp:inline distT="0" distB="0" distL="0" distR="0">
            <wp:extent cx="80010" cy="1524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010" cy="152400"/>
                    </a:xfrm>
                    <a:prstGeom prst="rect">
                      <a:avLst/>
                    </a:prstGeom>
                    <a:noFill/>
                    <a:ln>
                      <a:noFill/>
                    </a:ln>
                  </pic:spPr>
                </pic:pic>
              </a:graphicData>
            </a:graphic>
          </wp:inline>
        </w:drawing>
      </w:r>
    </w:p>
    <w:p>
      <w:pPr>
        <w:ind w:left="960"/>
        <w:spacing w:after="0"/>
        <w:rPr>
          <w:sz w:val="20"/>
          <w:szCs w:val="20"/>
          <w:color w:val="auto"/>
        </w:rPr>
      </w:pPr>
      <w:r>
        <w:rPr>
          <w:rFonts w:ascii="Arial" w:cs="Arial" w:eastAsia="Arial" w:hAnsi="Arial"/>
          <w:sz w:val="20"/>
          <w:szCs w:val="20"/>
          <w:b w:val="1"/>
          <w:bCs w:val="1"/>
          <w:color w:val="auto"/>
        </w:rPr>
        <w:t>20,215</w:t>
      </w:r>
      <w:r>
        <w:rPr>
          <w:sz w:val="1"/>
          <w:szCs w:val="1"/>
          <w:color w:val="auto"/>
        </w:rPr>
        <w:drawing>
          <wp:inline distT="0" distB="0" distL="0" distR="0">
            <wp:extent cx="189865" cy="161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865" cy="161925"/>
                    </a:xfrm>
                    <a:prstGeom prst="rect">
                      <a:avLst/>
                    </a:prstGeom>
                    <a:noFill/>
                    <a:ln>
                      <a:noFill/>
                    </a:ln>
                  </pic:spPr>
                </pic:pic>
              </a:graphicData>
            </a:graphic>
          </wp:inline>
        </w:drawing>
      </w:r>
      <w:r>
        <w:rPr>
          <w:rFonts w:ascii="Arial" w:cs="Arial" w:eastAsia="Arial" w:hAnsi="Arial"/>
          <w:sz w:val="20"/>
          <w:szCs w:val="20"/>
          <w:b w:val="1"/>
          <w:bCs w:val="1"/>
          <w:color w:val="auto"/>
        </w:rPr>
        <w:t xml:space="preserve">        81,540</w:t>
      </w:r>
      <w:r>
        <w:rPr>
          <w:sz w:val="1"/>
          <w:szCs w:val="1"/>
          <w:color w:val="auto"/>
        </w:rPr>
        <w:drawing>
          <wp:inline distT="0" distB="0" distL="0" distR="0">
            <wp:extent cx="80010" cy="1619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010" cy="161925"/>
                    </a:xfrm>
                    <a:prstGeom prst="rect">
                      <a:avLst/>
                    </a:prstGeom>
                    <a:noFill/>
                    <a:ln>
                      <a:noFill/>
                    </a:ln>
                  </pic:spPr>
                </pic:pic>
              </a:graphicData>
            </a:graphic>
          </wp:inline>
        </w:drawing>
      </w:r>
    </w:p>
    <w:p>
      <w:pPr>
        <w:ind w:left="960"/>
        <w:spacing w:after="0"/>
        <w:rPr>
          <w:sz w:val="20"/>
          <w:szCs w:val="20"/>
          <w:color w:val="auto"/>
        </w:rPr>
      </w:pPr>
      <w:r>
        <w:rPr>
          <w:rFonts w:ascii="Arial" w:cs="Arial" w:eastAsia="Arial" w:hAnsi="Arial"/>
          <w:sz w:val="20"/>
          <w:szCs w:val="20"/>
          <w:b w:val="1"/>
          <w:bCs w:val="1"/>
          <w:color w:val="auto"/>
        </w:rPr>
        <w:t>32,781</w:t>
      </w:r>
      <w:r>
        <w:rPr>
          <w:sz w:val="1"/>
          <w:szCs w:val="1"/>
          <w:color w:val="auto"/>
        </w:rPr>
        <w:drawing>
          <wp:inline distT="0" distB="0" distL="0" distR="0">
            <wp:extent cx="189865" cy="1619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865" cy="161925"/>
                    </a:xfrm>
                    <a:prstGeom prst="rect">
                      <a:avLst/>
                    </a:prstGeom>
                    <a:noFill/>
                    <a:ln>
                      <a:noFill/>
                    </a:ln>
                  </pic:spPr>
                </pic:pic>
              </a:graphicData>
            </a:graphic>
          </wp:inline>
        </w:drawing>
      </w:r>
      <w:r>
        <w:rPr>
          <w:rFonts w:ascii="Arial" w:cs="Arial" w:eastAsia="Arial" w:hAnsi="Arial"/>
          <w:sz w:val="20"/>
          <w:szCs w:val="20"/>
          <w:b w:val="1"/>
          <w:bCs w:val="1"/>
          <w:color w:val="auto"/>
        </w:rPr>
        <w:t xml:space="preserve">       (41,234</w:t>
      </w:r>
      <w:r>
        <w:rPr>
          <w:rFonts w:ascii="Arial" w:cs="Arial" w:eastAsia="Arial" w:hAnsi="Arial"/>
          <w:sz w:val="20"/>
          <w:szCs w:val="20"/>
          <w:b w:val="1"/>
          <w:bCs w:val="1"/>
          <w:color w:val="auto"/>
          <w:shd w:val="clear" w:color="auto" w:fill="CFF0FC"/>
        </w:rPr>
        <w:t>)</w:t>
      </w:r>
    </w:p>
    <w:p>
      <w:pPr>
        <w:ind w:left="960"/>
        <w:spacing w:after="0"/>
        <w:rPr>
          <w:sz w:val="20"/>
          <w:szCs w:val="20"/>
          <w:color w:val="auto"/>
        </w:rPr>
      </w:pPr>
      <w:r>
        <w:rPr>
          <w:rFonts w:ascii="Arial" w:cs="Arial" w:eastAsia="Arial" w:hAnsi="Arial"/>
          <w:sz w:val="20"/>
          <w:szCs w:val="20"/>
          <w:b w:val="1"/>
          <w:bCs w:val="1"/>
          <w:color w:val="auto"/>
        </w:rPr>
        <w:t>34,867</w:t>
      </w:r>
      <w:r>
        <w:rPr>
          <w:rFonts w:ascii="Arial" w:cs="Arial" w:eastAsia="Arial" w:hAnsi="Arial"/>
          <w:sz w:val="15"/>
          <w:szCs w:val="15"/>
          <w:b w:val="1"/>
          <w:bCs w:val="1"/>
          <w:color w:val="auto"/>
        </w:rPr>
        <w:t>76,101</w:t>
      </w:r>
      <w:r>
        <w:rPr>
          <w:sz w:val="1"/>
          <w:szCs w:val="1"/>
          <w:color w:val="auto"/>
        </w:rPr>
        <w:drawing>
          <wp:inline distT="0" distB="0" distL="0" distR="0">
            <wp:extent cx="80010" cy="1619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010" cy="161925"/>
                    </a:xfrm>
                    <a:prstGeom prst="rect">
                      <a:avLst/>
                    </a:prstGeom>
                    <a:noFill/>
                    <a:ln>
                      <a:noFill/>
                    </a:ln>
                  </pic:spPr>
                </pic:pic>
              </a:graphicData>
            </a:graphic>
          </wp:inline>
        </w:drawing>
      </w:r>
    </w:p>
    <w:p>
      <w:pPr>
        <w:ind w:left="960"/>
        <w:spacing w:after="0"/>
        <w:rPr>
          <w:sz w:val="20"/>
          <w:szCs w:val="20"/>
          <w:color w:val="auto"/>
        </w:rPr>
      </w:pPr>
      <w:r>
        <w:rPr>
          <w:rFonts w:ascii="Arial" w:cs="Arial" w:eastAsia="Arial" w:hAnsi="Arial"/>
          <w:sz w:val="20"/>
          <w:szCs w:val="20"/>
          <w:b w:val="1"/>
          <w:bCs w:val="1"/>
          <w:color w:val="auto"/>
        </w:rPr>
        <w:t>67,648</w:t>
      </w:r>
      <w:r>
        <w:rPr>
          <w:sz w:val="1"/>
          <w:szCs w:val="1"/>
          <w:color w:val="auto"/>
        </w:rPr>
        <w:drawing>
          <wp:inline distT="0" distB="0" distL="0" distR="0">
            <wp:extent cx="189865" cy="1619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865" cy="161925"/>
                    </a:xfrm>
                    <a:prstGeom prst="rect">
                      <a:avLst/>
                    </a:prstGeom>
                    <a:noFill/>
                    <a:ln>
                      <a:noFill/>
                    </a:ln>
                  </pic:spPr>
                </pic:pic>
              </a:graphicData>
            </a:graphic>
          </wp:inline>
        </w:drawing>
      </w:r>
      <w:r>
        <w:rPr>
          <w:rFonts w:ascii="Arial" w:cs="Arial" w:eastAsia="Arial" w:hAnsi="Arial"/>
          <w:sz w:val="20"/>
          <w:szCs w:val="20"/>
          <w:b w:val="1"/>
          <w:bCs w:val="1"/>
          <w:color w:val="auto"/>
        </w:rPr>
        <w:t>$</w:t>
      </w:r>
      <w:r>
        <w:rPr>
          <w:rFonts w:ascii="Arial" w:cs="Arial" w:eastAsia="Arial" w:hAnsi="Arial"/>
          <w:sz w:val="15"/>
          <w:szCs w:val="15"/>
          <w:b w:val="1"/>
          <w:bCs w:val="1"/>
          <w:color w:val="auto"/>
        </w:rPr>
        <w:t>34,867</w:t>
      </w:r>
      <w:r>
        <w:rPr>
          <w:sz w:val="1"/>
          <w:szCs w:val="1"/>
          <w:color w:val="auto"/>
        </w:rPr>
        <w:drawing>
          <wp:inline distT="0" distB="0" distL="0" distR="0">
            <wp:extent cx="80010" cy="1619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010" cy="161925"/>
                    </a:xfrm>
                    <a:prstGeom prst="rect">
                      <a:avLst/>
                    </a:prstGeom>
                    <a:noFill/>
                    <a:ln>
                      <a:noFill/>
                    </a:ln>
                  </pic:spPr>
                </pic:pic>
              </a:graphicData>
            </a:graphic>
          </wp:inline>
        </w:drawing>
      </w:r>
    </w:p>
    <w:p>
      <w:pPr>
        <w:spacing w:after="0" w:line="207" w:lineRule="exact"/>
        <w:rPr>
          <w:sz w:val="20"/>
          <w:szCs w:val="20"/>
          <w:color w:val="auto"/>
        </w:rPr>
      </w:pPr>
    </w:p>
    <w:p>
      <w:pPr>
        <w:spacing w:after="0"/>
        <w:tabs>
          <w:tab w:leader="none" w:pos="1180" w:val="left"/>
          <w:tab w:leader="none" w:pos="1760" w:val="left"/>
          <w:tab w:leader="none" w:pos="2880" w:val="left"/>
        </w:tabs>
        <w:rPr>
          <w:sz w:val="20"/>
          <w:szCs w:val="20"/>
          <w:color w:val="auto"/>
        </w:rPr>
      </w:pPr>
      <w:r>
        <w:rPr>
          <w:sz w:val="1"/>
          <w:szCs w:val="1"/>
          <w:color w:val="auto"/>
        </w:rPr>
        <w:drawing>
          <wp:inline distT="0" distB="0" distL="0" distR="0">
            <wp:extent cx="128905" cy="18224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82245"/>
                    </a:xfrm>
                    <a:prstGeom prst="rect">
                      <a:avLst/>
                    </a:prstGeom>
                    <a:noFill/>
                    <a:ln>
                      <a:noFill/>
                    </a:ln>
                  </pic:spPr>
                </pic:pic>
              </a:graphicData>
            </a:graphic>
          </wp:inline>
        </w:drawing>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855</w:t>
        <w:tab/>
        <w:t>$</w:t>
      </w:r>
      <w:r>
        <w:rPr>
          <w:sz w:val="20"/>
          <w:szCs w:val="20"/>
          <w:color w:val="auto"/>
        </w:rPr>
        <w:tab/>
      </w:r>
      <w:r>
        <w:rPr>
          <w:rFonts w:ascii="Arial" w:cs="Arial" w:eastAsia="Arial" w:hAnsi="Arial"/>
          <w:sz w:val="15"/>
          <w:szCs w:val="15"/>
          <w:b w:val="1"/>
          <w:bCs w:val="1"/>
          <w:color w:val="auto"/>
        </w:rPr>
        <w:t>—</w:t>
      </w:r>
      <w:r>
        <w:rPr>
          <w:sz w:val="1"/>
          <w:szCs w:val="1"/>
          <w:color w:val="auto"/>
        </w:rPr>
        <w:drawing>
          <wp:inline distT="0" distB="0" distL="0" distR="0">
            <wp:extent cx="80010" cy="18224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010" cy="182245"/>
                    </a:xfrm>
                    <a:prstGeom prst="rect">
                      <a:avLst/>
                    </a:prstGeom>
                    <a:noFill/>
                    <a:ln>
                      <a:noFill/>
                    </a:ln>
                  </pic:spPr>
                </pic:pic>
              </a:graphicData>
            </a:graphic>
          </wp:inline>
        </w:drawing>
      </w:r>
    </w:p>
    <w:p>
      <w:pPr>
        <w:spacing w:after="0" w:line="200" w:lineRule="exact"/>
        <w:rPr>
          <w:sz w:val="20"/>
          <w:szCs w:val="20"/>
          <w:color w:val="auto"/>
        </w:rPr>
      </w:pPr>
    </w:p>
    <w:p>
      <w:pPr>
        <w:sectPr>
          <w:pgSz w:w="12240" w:h="15840" w:orient="portrait"/>
          <w:cols w:equalWidth="0" w:num="2">
            <w:col w:w="5920" w:space="720"/>
            <w:col w:w="3220"/>
          </w:cols>
          <w:pgMar w:left="1440" w:top="1151" w:right="940" w:bottom="181" w:gutter="0" w:footer="0" w:header="0"/>
          <w:type w:val="continuous"/>
        </w:sectPr>
      </w:pP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The accompanying notes are an integral part of these consolidated financial statements.</w:t>
      </w:r>
    </w:p>
    <w:p>
      <w:pPr>
        <w:sectPr>
          <w:pgSz w:w="12240" w:h="15840" w:orient="portrait"/>
          <w:cols w:equalWidth="0" w:num="1">
            <w:col w:w="9860"/>
          </w:cols>
          <w:pgMar w:left="1440" w:top="1151" w:right="9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108</w:t>
      </w:r>
    </w:p>
    <w:p>
      <w:pPr>
        <w:sectPr>
          <w:pgSz w:w="12240" w:h="15840" w:orient="portrait"/>
          <w:cols w:equalWidth="0" w:num="1">
            <w:col w:w="9860"/>
          </w:cols>
          <w:pgMar w:left="1440" w:top="1151" w:right="940" w:bottom="181" w:gutter="0" w:footer="0" w:header="0"/>
          <w:type w:val="continuous"/>
        </w:sectPr>
      </w:pPr>
    </w:p>
    <w:bookmarkStart w:id="110" w:name="page111"/>
    <w:bookmarkEnd w:id="110"/>
    <w:p>
      <w:pPr>
        <w:ind w:left="500" w:hanging="500"/>
        <w:spacing w:after="0"/>
        <w:tabs>
          <w:tab w:leader="none" w:pos="5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and Liquidity</w:t>
      </w:r>
    </w:p>
    <w:p>
      <w:pPr>
        <w:spacing w:after="0" w:line="130" w:lineRule="exact"/>
        <w:rPr>
          <w:rFonts w:ascii="Arial" w:cs="Arial" w:eastAsia="Arial" w:hAnsi="Arial"/>
          <w:sz w:val="20"/>
          <w:szCs w:val="20"/>
          <w:b w:val="1"/>
          <w:bCs w:val="1"/>
          <w:color w:val="auto"/>
        </w:rPr>
      </w:pPr>
    </w:p>
    <w:p>
      <w:pPr>
        <w:ind w:left="480" w:right="120"/>
        <w:spacing w:after="0" w:line="235" w:lineRule="auto"/>
        <w:rPr>
          <w:rFonts w:ascii="Arial" w:cs="Arial" w:eastAsia="Arial" w:hAnsi="Arial"/>
          <w:sz w:val="20"/>
          <w:szCs w:val="20"/>
          <w:b w:val="1"/>
          <w:bCs w:val="1"/>
          <w:color w:val="auto"/>
        </w:rPr>
      </w:pPr>
      <w:r>
        <w:rPr>
          <w:rFonts w:ascii="Arial" w:cs="Arial" w:eastAsia="Arial" w:hAnsi="Arial"/>
          <w:sz w:val="20"/>
          <w:szCs w:val="20"/>
          <w:b w:val="1"/>
          <w:bCs w:val="1"/>
          <w:color w:val="auto"/>
        </w:rPr>
        <w:t>Alector, Inc. (Alector or the Company) is a Delaware corporation headquartered in South San Francisco, California. Alector is a clinical stage biotechnology company focused on developing therapies to counteract the devastating progression of neurodegeneration.</w:t>
      </w:r>
    </w:p>
    <w:p>
      <w:pPr>
        <w:spacing w:after="0" w:line="122"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Public Offering</w:t>
      </w:r>
    </w:p>
    <w:p>
      <w:pPr>
        <w:spacing w:after="0" w:line="130" w:lineRule="exact"/>
        <w:rPr>
          <w:rFonts w:ascii="Arial" w:cs="Arial" w:eastAsia="Arial" w:hAnsi="Arial"/>
          <w:sz w:val="20"/>
          <w:szCs w:val="20"/>
          <w:b w:val="1"/>
          <w:bCs w:val="1"/>
          <w:color w:val="auto"/>
        </w:rPr>
      </w:pPr>
    </w:p>
    <w:p>
      <w:pPr>
        <w:jc w:val="both"/>
        <w:ind w:left="480" w:right="380"/>
        <w:spacing w:after="0" w:line="274" w:lineRule="auto"/>
        <w:rPr>
          <w:rFonts w:ascii="Arial" w:cs="Arial" w:eastAsia="Arial" w:hAnsi="Arial"/>
          <w:sz w:val="20"/>
          <w:szCs w:val="20"/>
          <w:b w:val="1"/>
          <w:bCs w:val="1"/>
          <w:color w:val="auto"/>
        </w:rPr>
      </w:pPr>
      <w:r>
        <w:rPr>
          <w:rFonts w:ascii="Arial" w:cs="Arial" w:eastAsia="Arial" w:hAnsi="Arial"/>
          <w:sz w:val="18"/>
          <w:szCs w:val="18"/>
          <w:b w:val="1"/>
          <w:bCs w:val="1"/>
          <w:color w:val="auto"/>
        </w:rPr>
        <w:t>On January 19, 2024, the Company completed a public offering through selling and issuing 10,869,566 shares of common stock at a price per share of $6.57, resulting in aggregate net proceeds of $71.1 million, after deducting underwriting discounts and commissions and offering costs.</w:t>
      </w:r>
    </w:p>
    <w:p>
      <w:pPr>
        <w:spacing w:after="0" w:line="209"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At-the-Market Offering</w:t>
      </w:r>
    </w:p>
    <w:p>
      <w:pPr>
        <w:spacing w:after="0" w:line="130" w:lineRule="exact"/>
        <w:rPr>
          <w:rFonts w:ascii="Arial" w:cs="Arial" w:eastAsia="Arial" w:hAnsi="Arial"/>
          <w:sz w:val="20"/>
          <w:szCs w:val="20"/>
          <w:b w:val="1"/>
          <w:bCs w:val="1"/>
          <w:color w:val="auto"/>
        </w:rPr>
      </w:pPr>
    </w:p>
    <w:p>
      <w:pPr>
        <w:ind w:left="480"/>
        <w:spacing w:after="0" w:line="269" w:lineRule="auto"/>
        <w:rPr>
          <w:rFonts w:ascii="Arial" w:cs="Arial" w:eastAsia="Arial" w:hAnsi="Arial"/>
          <w:sz w:val="20"/>
          <w:szCs w:val="20"/>
          <w:b w:val="1"/>
          <w:bCs w:val="1"/>
          <w:color w:val="auto"/>
        </w:rPr>
      </w:pPr>
      <w:r>
        <w:rPr>
          <w:rFonts w:ascii="Arial" w:cs="Arial" w:eastAsia="Arial" w:hAnsi="Arial"/>
          <w:sz w:val="18"/>
          <w:szCs w:val="18"/>
          <w:b w:val="1"/>
          <w:bCs w:val="1"/>
          <w:color w:val="auto"/>
        </w:rPr>
        <w:t>On November 7, 2023, the Company entered into an at-the-market sales agreement with TD Securities (USA) LLC (TD Securities, formerly known as Cowen and Company, LLC) pursuant to which the Company may offer and sell from time to time through TD Securities up to $125,000,000 of shares of its common stock, in such share amounts as the Company may specify by notice to TD Securities (the Sales Agreement). For the year ended December 31, 2025, the Company issued an aggregate of 7,110,162 shares and received approximately $20.0 million in net proceeds from the sale of securities pursuant to the Sales Agreement. Since inception of the Sales Agreement, the Company has issued an aggregate of 7,110,162 shares.</w:t>
      </w:r>
    </w:p>
    <w:p>
      <w:pPr>
        <w:spacing w:after="0" w:line="200" w:lineRule="exact"/>
        <w:rPr>
          <w:rFonts w:ascii="Arial" w:cs="Arial" w:eastAsia="Arial" w:hAnsi="Arial"/>
          <w:sz w:val="20"/>
          <w:szCs w:val="20"/>
          <w:b w:val="1"/>
          <w:bCs w:val="1"/>
          <w:color w:val="auto"/>
        </w:rPr>
      </w:pPr>
    </w:p>
    <w:p>
      <w:pPr>
        <w:spacing w:after="0" w:line="256" w:lineRule="exact"/>
        <w:rPr>
          <w:rFonts w:ascii="Arial" w:cs="Arial" w:eastAsia="Arial" w:hAnsi="Arial"/>
          <w:sz w:val="20"/>
          <w:szCs w:val="20"/>
          <w:b w:val="1"/>
          <w:bCs w:val="1"/>
          <w:color w:val="auto"/>
        </w:rPr>
      </w:pPr>
    </w:p>
    <w:p>
      <w:pPr>
        <w:ind w:left="480" w:right="5660" w:hanging="480"/>
        <w:spacing w:after="0" w:line="354" w:lineRule="auto"/>
        <w:tabs>
          <w:tab w:leader="none" w:pos="48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22" w:lineRule="exact"/>
        <w:rPr>
          <w:rFonts w:ascii="Arial" w:cs="Arial" w:eastAsia="Arial" w:hAnsi="Arial"/>
          <w:sz w:val="20"/>
          <w:szCs w:val="20"/>
          <w:b w:val="1"/>
          <w:bCs w:val="1"/>
          <w:color w:val="auto"/>
        </w:rPr>
      </w:pPr>
    </w:p>
    <w:p>
      <w:pPr>
        <w:ind w:left="480" w:right="620"/>
        <w:spacing w:after="0" w:line="291" w:lineRule="auto"/>
        <w:rPr>
          <w:rFonts w:ascii="Arial" w:cs="Arial" w:eastAsia="Arial" w:hAnsi="Arial"/>
          <w:sz w:val="20"/>
          <w:szCs w:val="20"/>
          <w:b w:val="1"/>
          <w:bCs w:val="1"/>
          <w:color w:val="auto"/>
        </w:rPr>
      </w:pPr>
      <w:r>
        <w:rPr>
          <w:rFonts w:ascii="Arial" w:cs="Arial" w:eastAsia="Arial" w:hAnsi="Arial"/>
          <w:sz w:val="17"/>
          <w:szCs w:val="17"/>
          <w:b w:val="1"/>
          <w:bCs w:val="1"/>
          <w:color w:val="auto"/>
        </w:rPr>
        <w:t>The consolidated financial statements have been prepared in conformity with generally accepted accounting principles in the United States (GAAP) as defined by the Financial Accounting Standards Board (FASB). The consolidated financial statements include the accounts of Alector, Inc. and its wholly owned subsidiaries. All intercompany balances and transactions have been eliminated in consolidation.</w:t>
      </w:r>
    </w:p>
    <w:p>
      <w:pPr>
        <w:spacing w:after="0" w:line="200"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Use of Estimates</w:t>
      </w:r>
    </w:p>
    <w:p>
      <w:pPr>
        <w:spacing w:after="0" w:line="130" w:lineRule="exact"/>
        <w:rPr>
          <w:rFonts w:ascii="Arial" w:cs="Arial" w:eastAsia="Arial" w:hAnsi="Arial"/>
          <w:sz w:val="20"/>
          <w:szCs w:val="20"/>
          <w:b w:val="1"/>
          <w:bCs w:val="1"/>
          <w:color w:val="auto"/>
        </w:rPr>
      </w:pPr>
    </w:p>
    <w:p>
      <w:pPr>
        <w:ind w:left="480"/>
        <w:spacing w:after="0" w:line="268" w:lineRule="auto"/>
        <w:rPr>
          <w:rFonts w:ascii="Arial" w:cs="Arial" w:eastAsia="Arial" w:hAnsi="Arial"/>
          <w:sz w:val="20"/>
          <w:szCs w:val="20"/>
          <w:b w:val="1"/>
          <w:bCs w:val="1"/>
          <w:color w:val="auto"/>
        </w:rPr>
      </w:pPr>
      <w:r>
        <w:rPr>
          <w:rFonts w:ascii="Arial" w:cs="Arial" w:eastAsia="Arial" w:hAnsi="Arial"/>
          <w:sz w:val="18"/>
          <w:szCs w:val="18"/>
          <w:b w:val="1"/>
          <w:bCs w:val="1"/>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 during the reporting period. The Company evaluates its estimates, including those related to revenue recognition, manufacturing accruals, clinical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p>
    <w:p>
      <w:pPr>
        <w:spacing w:after="0" w:line="218"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Concentration of Credit Risk</w:t>
      </w:r>
    </w:p>
    <w:p>
      <w:pPr>
        <w:spacing w:after="0" w:line="130" w:lineRule="exact"/>
        <w:rPr>
          <w:rFonts w:ascii="Arial" w:cs="Arial" w:eastAsia="Arial" w:hAnsi="Arial"/>
          <w:sz w:val="20"/>
          <w:szCs w:val="20"/>
          <w:b w:val="1"/>
          <w:bCs w:val="1"/>
          <w:color w:val="auto"/>
        </w:rPr>
      </w:pPr>
    </w:p>
    <w:p>
      <w:pPr>
        <w:ind w:left="480" w:right="80"/>
        <w:spacing w:after="0" w:line="353" w:lineRule="auto"/>
        <w:rPr>
          <w:rFonts w:ascii="Arial" w:cs="Arial" w:eastAsia="Arial" w:hAnsi="Arial"/>
          <w:sz w:val="20"/>
          <w:szCs w:val="20"/>
          <w:b w:val="1"/>
          <w:bCs w:val="1"/>
          <w:color w:val="auto"/>
        </w:rPr>
      </w:pPr>
      <w:r>
        <w:rPr>
          <w:rFonts w:ascii="Arial" w:cs="Arial" w:eastAsia="Arial" w:hAnsi="Arial"/>
          <w:sz w:val="15"/>
          <w:szCs w:val="15"/>
          <w:b w:val="1"/>
          <w:bCs w:val="1"/>
          <w:color w:val="auto"/>
        </w:rPr>
        <w:t>Financial instruments that potentially subject the Company to significant concentrations of credit risk consist primarily of cash, cash equivalents, and short-term marketable securities. Cash and cash equivalents are deposited in checking and sweep accounts at financial institutions. Such deposits may, at times, exceed federally insured limits.</w:t>
      </w:r>
    </w:p>
    <w:p>
      <w:pPr>
        <w:spacing w:after="0" w:line="159"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Cash, Cash Equivalents, and Restricted Cash</w:t>
      </w:r>
    </w:p>
    <w:p>
      <w:pPr>
        <w:spacing w:after="0" w:line="130" w:lineRule="exact"/>
        <w:rPr>
          <w:rFonts w:ascii="Arial" w:cs="Arial" w:eastAsia="Arial" w:hAnsi="Arial"/>
          <w:sz w:val="20"/>
          <w:szCs w:val="20"/>
          <w:b w:val="1"/>
          <w:bCs w:val="1"/>
          <w:color w:val="auto"/>
        </w:rPr>
      </w:pPr>
    </w:p>
    <w:p>
      <w:pPr>
        <w:ind w:left="480" w:right="240"/>
        <w:spacing w:after="0" w:line="235" w:lineRule="auto"/>
        <w:rPr>
          <w:rFonts w:ascii="Arial" w:cs="Arial" w:eastAsia="Arial" w:hAnsi="Arial"/>
          <w:sz w:val="20"/>
          <w:szCs w:val="20"/>
          <w:b w:val="1"/>
          <w:bCs w:val="1"/>
          <w:color w:val="auto"/>
        </w:rPr>
      </w:pPr>
      <w:r>
        <w:rPr>
          <w:rFonts w:ascii="Arial" w:cs="Arial" w:eastAsia="Arial" w:hAnsi="Arial"/>
          <w:sz w:val="20"/>
          <w:szCs w:val="20"/>
          <w:b w:val="1"/>
          <w:bCs w:val="1"/>
          <w:color w:val="auto"/>
        </w:rPr>
        <w:t>The Company considers all highly liquid investments with original maturities of three months or less at the date of purchase to be cash and cash equivalents. Cash equivalents, which consist of amounts invested in money market funds, are stated at fair value.</w:t>
      </w:r>
    </w:p>
    <w:p>
      <w:pPr>
        <w:spacing w:after="0" w:line="133" w:lineRule="exact"/>
        <w:rPr>
          <w:rFonts w:ascii="Arial" w:cs="Arial" w:eastAsia="Arial" w:hAnsi="Arial"/>
          <w:sz w:val="20"/>
          <w:szCs w:val="20"/>
          <w:b w:val="1"/>
          <w:bCs w:val="1"/>
          <w:color w:val="auto"/>
        </w:rPr>
      </w:pPr>
    </w:p>
    <w:p>
      <w:pPr>
        <w:jc w:val="both"/>
        <w:ind w:left="480" w:right="20"/>
        <w:spacing w:after="0" w:line="236" w:lineRule="auto"/>
        <w:rPr>
          <w:rFonts w:ascii="Arial" w:cs="Arial" w:eastAsia="Arial" w:hAnsi="Arial"/>
          <w:sz w:val="20"/>
          <w:szCs w:val="20"/>
          <w:b w:val="1"/>
          <w:bCs w:val="1"/>
          <w:color w:val="auto"/>
        </w:rPr>
      </w:pPr>
      <w:r>
        <w:rPr>
          <w:rFonts w:ascii="Arial" w:cs="Arial" w:eastAsia="Arial" w:hAnsi="Arial"/>
          <w:sz w:val="20"/>
          <w:szCs w:val="20"/>
          <w:b w:val="1"/>
          <w:bCs w:val="1"/>
          <w:color w:val="auto"/>
        </w:rPr>
        <w:t>Restricted cash of $1.5 million relates to a letter of credit established for a lease entered into in June 2018. Restricted cash of $0.3 million was held as collateral to secure the use of corporate cards under a cash pledge agreement entered into in December 2024.</w:t>
      </w:r>
    </w:p>
    <w:p>
      <w:pPr>
        <w:sectPr>
          <w:pgSz w:w="12240" w:h="15840" w:orient="portrait"/>
          <w:cols w:equalWidth="0" w:num="1">
            <w:col w:w="9900"/>
          </w:cols>
          <w:pgMar w:left="1440" w:top="1151"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109</w:t>
      </w:r>
    </w:p>
    <w:p>
      <w:pPr>
        <w:sectPr>
          <w:pgSz w:w="12240" w:h="15840" w:orient="portrait"/>
          <w:cols w:equalWidth="0" w:num="1">
            <w:col w:w="9900"/>
          </w:cols>
          <w:pgMar w:left="1440" w:top="1151" w:right="900" w:bottom="181" w:gutter="0" w:footer="0" w:header="0"/>
          <w:type w:val="continuous"/>
        </w:sectPr>
      </w:pPr>
    </w:p>
    <w:bookmarkStart w:id="111" w:name="page112"/>
    <w:bookmarkEnd w:id="111"/>
    <w:p>
      <w:pPr>
        <w:ind w:left="480" w:right="260"/>
        <w:spacing w:after="0" w:line="235" w:lineRule="auto"/>
        <w:rPr>
          <w:sz w:val="20"/>
          <w:szCs w:val="20"/>
          <w:color w:val="auto"/>
        </w:rPr>
      </w:pPr>
      <w:r>
        <w:rPr>
          <w:rFonts w:ascii="Arial" w:cs="Arial" w:eastAsia="Arial" w:hAnsi="Arial"/>
          <w:sz w:val="20"/>
          <w:szCs w:val="20"/>
          <w:b w:val="1"/>
          <w:bCs w:val="1"/>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295"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Year Ended</w:t>
      </w:r>
    </w:p>
    <w:p>
      <w:pPr>
        <w:ind w:left="7140"/>
        <w:spacing w:after="0" w:line="237" w:lineRule="auto"/>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-12065</wp:posOffset>
            </wp:positionV>
            <wp:extent cx="5073015" cy="799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73015" cy="799465"/>
                    </a:xfrm>
                    <a:prstGeom prst="rect">
                      <a:avLst/>
                    </a:prstGeom>
                    <a:noFill/>
                  </pic:spPr>
                </pic:pic>
              </a:graphicData>
            </a:graphic>
          </wp:anchor>
        </w:drawing>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6"/>
                <w:szCs w:val="16"/>
                <w:color w:val="auto"/>
              </w:rPr>
            </w:pPr>
          </w:p>
        </w:tc>
        <w:tc>
          <w:tcPr>
            <w:tcW w:w="740" w:type="dxa"/>
            <w:vAlign w:val="bottom"/>
          </w:tcPr>
          <w:p>
            <w:pPr>
              <w:jc w:val="right"/>
              <w:ind w:right="325"/>
              <w:spacing w:after="0"/>
              <w:rPr>
                <w:sz w:val="20"/>
                <w:szCs w:val="20"/>
                <w:color w:val="auto"/>
              </w:rPr>
            </w:pPr>
            <w:r>
              <w:rPr>
                <w:rFonts w:ascii="Arial" w:cs="Arial" w:eastAsia="Arial" w:hAnsi="Arial"/>
                <w:sz w:val="16"/>
                <w:szCs w:val="16"/>
                <w:b w:val="1"/>
                <w:bCs w:val="1"/>
                <w:color w:val="auto"/>
                <w:w w:val="84"/>
              </w:rPr>
              <w:t>2024</w:t>
            </w:r>
          </w:p>
        </w:tc>
      </w:tr>
      <w:tr>
        <w:trPr>
          <w:trHeight w:val="214"/>
        </w:trPr>
        <w:tc>
          <w:tcPr>
            <w:tcW w:w="4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20"/>
                <w:szCs w:val="20"/>
                <w:b w:val="1"/>
                <w:bCs w:val="1"/>
                <w:color w:val="auto"/>
              </w:rPr>
              <w:t>Cash and cash equivalents</w:t>
            </w:r>
          </w:p>
        </w:tc>
        <w:tc>
          <w:tcPr>
            <w:tcW w:w="9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20"/>
                <w:szCs w:val="20"/>
                <w:b w:val="1"/>
                <w:bCs w:val="1"/>
                <w:color w:val="auto"/>
              </w:rPr>
              <w:t>65,802</w:t>
            </w:r>
          </w:p>
        </w:tc>
        <w:tc>
          <w:tcPr>
            <w:tcW w:w="520" w:type="dxa"/>
            <w:vAlign w:val="bottom"/>
          </w:tcPr>
          <w:p>
            <w:pPr>
              <w:jc w:val="right"/>
              <w:ind w:right="20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33,021</w:t>
            </w:r>
          </w:p>
        </w:tc>
      </w:tr>
      <w:tr>
        <w:trPr>
          <w:trHeight w:val="242"/>
        </w:trPr>
        <w:tc>
          <w:tcPr>
            <w:tcW w:w="4680" w:type="dxa"/>
            <w:vAlign w:val="bottom"/>
          </w:tcPr>
          <w:p>
            <w:pPr>
              <w:spacing w:after="0"/>
              <w:rPr>
                <w:sz w:val="20"/>
                <w:szCs w:val="20"/>
                <w:color w:val="auto"/>
              </w:rPr>
            </w:pPr>
            <w:r>
              <w:rPr>
                <w:rFonts w:ascii="Arial" w:cs="Arial" w:eastAsia="Arial" w:hAnsi="Arial"/>
                <w:sz w:val="20"/>
                <w:szCs w:val="20"/>
                <w:b w:val="1"/>
                <w:bCs w:val="1"/>
                <w:color w:val="auto"/>
              </w:rPr>
              <w:t>Restricted cash</w:t>
            </w:r>
          </w:p>
        </w:tc>
        <w:tc>
          <w:tcPr>
            <w:tcW w:w="9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20"/>
                <w:szCs w:val="20"/>
                <w:b w:val="1"/>
                <w:bCs w:val="1"/>
                <w:color w:val="auto"/>
              </w:rPr>
              <w:t>1,846</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1,846</w:t>
            </w:r>
          </w:p>
        </w:tc>
      </w:tr>
      <w:tr>
        <w:trPr>
          <w:trHeight w:val="259"/>
        </w:trPr>
        <w:tc>
          <w:tcPr>
            <w:tcW w:w="4680" w:type="dxa"/>
            <w:vAlign w:val="bottom"/>
          </w:tcPr>
          <w:p>
            <w:pPr>
              <w:ind w:left="200"/>
              <w:spacing w:after="0"/>
              <w:rPr>
                <w:sz w:val="20"/>
                <w:szCs w:val="20"/>
                <w:color w:val="auto"/>
              </w:rPr>
            </w:pPr>
            <w:r>
              <w:rPr>
                <w:rFonts w:ascii="Arial" w:cs="Arial" w:eastAsia="Arial" w:hAnsi="Arial"/>
                <w:sz w:val="20"/>
                <w:szCs w:val="20"/>
                <w:b w:val="1"/>
                <w:bCs w:val="1"/>
                <w:color w:val="auto"/>
                <w:w w:val="95"/>
              </w:rPr>
              <w:t>Total cash, cash equivalents, and restricted cash</w:t>
            </w:r>
          </w:p>
        </w:tc>
        <w:tc>
          <w:tcPr>
            <w:tcW w:w="9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20"/>
                <w:szCs w:val="20"/>
                <w:b w:val="1"/>
                <w:bCs w:val="1"/>
                <w:color w:val="auto"/>
              </w:rPr>
              <w:t>67,648</w:t>
            </w:r>
          </w:p>
        </w:tc>
        <w:tc>
          <w:tcPr>
            <w:tcW w:w="520" w:type="dxa"/>
            <w:vAlign w:val="bottom"/>
          </w:tcPr>
          <w:p>
            <w:pPr>
              <w:jc w:val="right"/>
              <w:ind w:right="20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34,867</w:t>
            </w:r>
          </w:p>
        </w:tc>
      </w:tr>
    </w:tbl>
    <w:p>
      <w:pPr>
        <w:spacing w:after="0" w:line="28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Marketable Securities</w:t>
      </w:r>
    </w:p>
    <w:p>
      <w:pPr>
        <w:spacing w:after="0" w:line="131" w:lineRule="exact"/>
        <w:rPr>
          <w:sz w:val="20"/>
          <w:szCs w:val="20"/>
          <w:color w:val="auto"/>
        </w:rPr>
      </w:pPr>
    </w:p>
    <w:p>
      <w:pPr>
        <w:ind w:left="480" w:right="40"/>
        <w:spacing w:after="0" w:line="284" w:lineRule="auto"/>
        <w:rPr>
          <w:sz w:val="20"/>
          <w:szCs w:val="20"/>
          <w:color w:val="auto"/>
        </w:rPr>
      </w:pPr>
      <w:r>
        <w:rPr>
          <w:rFonts w:ascii="Arial" w:cs="Arial" w:eastAsia="Arial" w:hAnsi="Arial"/>
          <w:sz w:val="17"/>
          <w:szCs w:val="17"/>
          <w:b w:val="1"/>
          <w:bCs w:val="1"/>
          <w:color w:val="auto"/>
        </w:rPr>
        <w:t>All marketable securities have been classified as “available-for-sale” and are carried at fair value, based upon quoted market prices. The Company considers its available-for-sale portfolio as available for use in current operations. Accordingly, the Company may classify certain investments as short-term marketable securities, even though the stated maturity date may be one year or more beyond the current balance sheet date. For available-for-sale debt securities, unrealized gains or losses, net of any related tax effects, are excluded from earnings and are included in other comprehensive income and reported as a separate component of stockholders’ equity until realized. The Company assesses available-for-sale debt securities on a quarterly basis to see if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flows model. Credit-related impairments on available-for-sale debt securities are recognized as an allowance for credit losses with a corresponding adjustment to other income, net in the Company’s consolidated statement of operations. The unrealized loss position that is not credit-related is recorded, net of any related tax effects, in other comprehensive income until realized. There were no credit-related losses recognized for the periods presented.</w:t>
      </w:r>
    </w:p>
    <w:p>
      <w:pPr>
        <w:spacing w:after="0" w:line="99" w:lineRule="exact"/>
        <w:rPr>
          <w:sz w:val="20"/>
          <w:szCs w:val="20"/>
          <w:color w:val="auto"/>
        </w:rPr>
      </w:pPr>
    </w:p>
    <w:p>
      <w:pPr>
        <w:ind w:left="480" w:right="120"/>
        <w:spacing w:after="0" w:line="253" w:lineRule="auto"/>
        <w:rPr>
          <w:sz w:val="20"/>
          <w:szCs w:val="20"/>
          <w:color w:val="auto"/>
        </w:rPr>
      </w:pPr>
      <w:r>
        <w:rPr>
          <w:rFonts w:ascii="Arial" w:cs="Arial" w:eastAsia="Arial" w:hAnsi="Arial"/>
          <w:sz w:val="19"/>
          <w:szCs w:val="19"/>
          <w:b w:val="1"/>
          <w:bCs w:val="1"/>
          <w:color w:val="auto"/>
        </w:rPr>
        <w:t>The cost of securities sold is based on the specific-identification method. The amortized cost of securities is adjusted for amortization of premiums and accretion of discounts to maturity. In accordance with our investment policy, management invests in money market funds, U.S. treasury securities, corporate bonds, certificates of deposit, and commercial paper. The Company has not experienced any losses on its deposits of cash, cash equivalents, and marketable securities.</w:t>
      </w:r>
    </w:p>
    <w:p>
      <w:pPr>
        <w:spacing w:after="0" w:line="22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Fair Value of Financial Instruments</w:t>
      </w:r>
    </w:p>
    <w:p>
      <w:pPr>
        <w:spacing w:after="0" w:line="131" w:lineRule="exact"/>
        <w:rPr>
          <w:sz w:val="20"/>
          <w:szCs w:val="20"/>
          <w:color w:val="auto"/>
        </w:rPr>
      </w:pPr>
    </w:p>
    <w:p>
      <w:pPr>
        <w:ind w:left="480" w:right="180"/>
        <w:spacing w:after="0" w:line="271" w:lineRule="auto"/>
        <w:rPr>
          <w:sz w:val="20"/>
          <w:szCs w:val="20"/>
          <w:color w:val="auto"/>
        </w:rPr>
      </w:pPr>
      <w:r>
        <w:rPr>
          <w:rFonts w:ascii="Arial" w:cs="Arial" w:eastAsia="Arial" w:hAnsi="Arial"/>
          <w:sz w:val="18"/>
          <w:szCs w:val="18"/>
          <w:b w:val="1"/>
          <w:bCs w:val="1"/>
          <w:color w:val="auto"/>
        </w:rPr>
        <w:t>The Company’s financial instruments include cash and cash equivalents, marketable securities, restricted cash, current and noncurrent prepaid expenses, accounts payable, payable to collaboration partner, and accrued liabilities. The Company's investments in marketable securities are measured at fair value. The Company’s other financial instruments approximate fair value due to their relatively short maturities.</w:t>
      </w:r>
    </w:p>
    <w:p>
      <w:pPr>
        <w:spacing w:after="0" w:line="107" w:lineRule="exact"/>
        <w:rPr>
          <w:sz w:val="20"/>
          <w:szCs w:val="20"/>
          <w:color w:val="auto"/>
        </w:rPr>
      </w:pPr>
    </w:p>
    <w:p>
      <w:pPr>
        <w:ind w:left="480" w:right="40"/>
        <w:spacing w:after="0" w:line="269" w:lineRule="auto"/>
        <w:rPr>
          <w:sz w:val="20"/>
          <w:szCs w:val="20"/>
          <w:color w:val="auto"/>
        </w:rPr>
      </w:pPr>
      <w:r>
        <w:rPr>
          <w:rFonts w:ascii="Arial" w:cs="Arial" w:eastAsia="Arial" w:hAnsi="Arial"/>
          <w:sz w:val="18"/>
          <w:szCs w:val="18"/>
          <w:b w:val="1"/>
          <w:bCs w:val="1"/>
          <w:color w:val="auto"/>
        </w:rPr>
        <w:t>For investments in marketable securities,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08" w:lineRule="exact"/>
        <w:rPr>
          <w:sz w:val="20"/>
          <w:szCs w:val="20"/>
          <w:color w:val="auto"/>
        </w:rPr>
      </w:pPr>
    </w:p>
    <w:p>
      <w:pPr>
        <w:ind w:left="980" w:right="840"/>
        <w:spacing w:after="0" w:line="233" w:lineRule="auto"/>
        <w:rPr>
          <w:sz w:val="20"/>
          <w:szCs w:val="20"/>
          <w:color w:val="auto"/>
        </w:rPr>
      </w:pPr>
      <w:r>
        <w:rPr>
          <w:rFonts w:ascii="Arial" w:cs="Arial" w:eastAsia="Arial" w:hAnsi="Arial"/>
          <w:sz w:val="20"/>
          <w:szCs w:val="20"/>
          <w:b w:val="1"/>
          <w:bCs w:val="1"/>
          <w:color w:val="auto"/>
        </w:rPr>
        <w:t>Level 1 – Inputs are unadjusted, quoted prices in active markets for identical assets or liabilities at the measurement date;</w:t>
      </w:r>
    </w:p>
    <w:p>
      <w:pPr>
        <w:spacing w:after="0" w:line="132" w:lineRule="exact"/>
        <w:rPr>
          <w:sz w:val="20"/>
          <w:szCs w:val="20"/>
          <w:color w:val="auto"/>
        </w:rPr>
      </w:pPr>
    </w:p>
    <w:p>
      <w:pPr>
        <w:ind w:left="980"/>
        <w:spacing w:after="0" w:line="237" w:lineRule="auto"/>
        <w:rPr>
          <w:sz w:val="20"/>
          <w:szCs w:val="20"/>
          <w:color w:val="auto"/>
        </w:rPr>
      </w:pPr>
      <w:r>
        <w:rPr>
          <w:rFonts w:ascii="Arial" w:cs="Arial" w:eastAsia="Arial" w:hAnsi="Arial"/>
          <w:sz w:val="20"/>
          <w:szCs w:val="20"/>
          <w:b w:val="1"/>
          <w:bCs w:val="1"/>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33" w:lineRule="exact"/>
        <w:rPr>
          <w:sz w:val="20"/>
          <w:szCs w:val="20"/>
          <w:color w:val="auto"/>
        </w:rPr>
      </w:pPr>
    </w:p>
    <w:p>
      <w:pPr>
        <w:ind w:left="980" w:right="20"/>
        <w:spacing w:after="0" w:line="233" w:lineRule="auto"/>
        <w:rPr>
          <w:sz w:val="20"/>
          <w:szCs w:val="20"/>
          <w:color w:val="auto"/>
        </w:rPr>
      </w:pPr>
      <w:r>
        <w:rPr>
          <w:rFonts w:ascii="Arial" w:cs="Arial" w:eastAsia="Arial" w:hAnsi="Arial"/>
          <w:sz w:val="20"/>
          <w:szCs w:val="20"/>
          <w:b w:val="1"/>
          <w:bCs w:val="1"/>
          <w:color w:val="auto"/>
        </w:rPr>
        <w:t>Level 3 – Unobservable inputs that are significant to the measurement of the fair value of the assets or liabilities that are supported by little or no market data.</w:t>
      </w:r>
    </w:p>
    <w:p>
      <w:pPr>
        <w:sectPr>
          <w:pgSz w:w="12240" w:h="15840" w:orient="portrait"/>
          <w:cols w:equalWidth="0" w:num="1">
            <w:col w:w="9940"/>
          </w:cols>
          <w:pgMar w:left="1440" w:top="1161" w:right="8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110</w:t>
      </w:r>
    </w:p>
    <w:p>
      <w:pPr>
        <w:sectPr>
          <w:pgSz w:w="12240" w:h="15840" w:orient="portrait"/>
          <w:cols w:equalWidth="0" w:num="1">
            <w:col w:w="9940"/>
          </w:cols>
          <w:pgMar w:left="1440" w:top="1161" w:right="860" w:bottom="181" w:gutter="0" w:footer="0" w:header="0"/>
          <w:type w:val="continuous"/>
        </w:sectPr>
      </w:pPr>
    </w:p>
    <w:bookmarkStart w:id="112" w:name="page113"/>
    <w:bookmarkEnd w:id="112"/>
    <w:p>
      <w:pPr>
        <w:ind w:left="480"/>
        <w:spacing w:after="0"/>
        <w:rPr>
          <w:sz w:val="20"/>
          <w:szCs w:val="20"/>
          <w:color w:val="auto"/>
        </w:rPr>
      </w:pPr>
      <w:r>
        <w:rPr>
          <w:rFonts w:ascii="Arial" w:cs="Arial" w:eastAsia="Arial" w:hAnsi="Arial"/>
          <w:sz w:val="20"/>
          <w:szCs w:val="20"/>
          <w:b w:val="1"/>
          <w:bCs w:val="1"/>
          <w:color w:val="auto"/>
        </w:rPr>
        <w:t>Property and Equipment</w:t>
      </w:r>
    </w:p>
    <w:p>
      <w:pPr>
        <w:spacing w:after="0" w:line="131" w:lineRule="exact"/>
        <w:rPr>
          <w:sz w:val="20"/>
          <w:szCs w:val="20"/>
          <w:color w:val="auto"/>
        </w:rPr>
      </w:pPr>
    </w:p>
    <w:p>
      <w:pPr>
        <w:ind w:left="480" w:right="160"/>
        <w:spacing w:after="0" w:line="269" w:lineRule="auto"/>
        <w:rPr>
          <w:sz w:val="20"/>
          <w:szCs w:val="20"/>
          <w:color w:val="auto"/>
        </w:rPr>
      </w:pPr>
      <w:r>
        <w:rPr>
          <w:rFonts w:ascii="Arial" w:cs="Arial" w:eastAsia="Arial" w:hAnsi="Arial"/>
          <w:sz w:val="18"/>
          <w:szCs w:val="18"/>
          <w:b w:val="1"/>
          <w:bCs w:val="1"/>
          <w:color w:val="auto"/>
        </w:rPr>
        <w:t>Property and equipment are stated at cost, net of accumulated depreciation and amortization. Depreciation and amortization is computed using the straight-line method over the estimated useful lives of the respective assets, generally three to five years. Leasehold improvements are amortized over the lesser of their useful lives or the remaining life of the lease. When assets are retired or otherwise disposed of, the cost and related accumulated depreciation and amortization are removed from the consolidated balance sheet and the resulting gain or loss is reflected in the consolidated statements of operations in the period realized. Maintenance and repairs are charged to the consolidated statements of operations as incurred.</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Leases</w:t>
      </w:r>
    </w:p>
    <w:p>
      <w:pPr>
        <w:spacing w:after="0" w:line="131" w:lineRule="exact"/>
        <w:rPr>
          <w:sz w:val="20"/>
          <w:szCs w:val="20"/>
          <w:color w:val="auto"/>
        </w:rPr>
      </w:pPr>
    </w:p>
    <w:p>
      <w:pPr>
        <w:ind w:left="480" w:right="160"/>
        <w:spacing w:after="0" w:line="286" w:lineRule="auto"/>
        <w:rPr>
          <w:sz w:val="20"/>
          <w:szCs w:val="20"/>
          <w:color w:val="auto"/>
        </w:rPr>
      </w:pPr>
      <w:r>
        <w:rPr>
          <w:rFonts w:ascii="Arial" w:cs="Arial" w:eastAsia="Arial" w:hAnsi="Arial"/>
          <w:sz w:val="17"/>
          <w:szCs w:val="17"/>
          <w:b w:val="1"/>
          <w:bCs w:val="1"/>
          <w:color w:val="auto"/>
        </w:rPr>
        <w:t>The Company determines whether an arrangement is or contains a lease at the inception of the arrangement. Leases are recognized on the balance sheet as right-of-use assets and lease liabilities. Lease liabilities and their corresponding right-of-use assets are recorded based on the present value of lease payments over the expected lease term.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 and any prepaid or accrued rent. Rent expense for the operating lease is recognized on a straight-line basis over the lease term and is included in operating expenses on the statements of operations and comprehensive loss. Variable lease payments include lease operating expenses.</w:t>
      </w:r>
    </w:p>
    <w:p>
      <w:pPr>
        <w:spacing w:after="0" w:line="95" w:lineRule="exact"/>
        <w:rPr>
          <w:sz w:val="20"/>
          <w:szCs w:val="20"/>
          <w:color w:val="auto"/>
        </w:rPr>
      </w:pPr>
    </w:p>
    <w:p>
      <w:pPr>
        <w:ind w:left="480" w:right="120"/>
        <w:spacing w:after="0" w:line="312" w:lineRule="auto"/>
        <w:rPr>
          <w:sz w:val="20"/>
          <w:szCs w:val="20"/>
          <w:color w:val="auto"/>
        </w:rPr>
      </w:pPr>
      <w:r>
        <w:rPr>
          <w:rFonts w:ascii="Arial" w:cs="Arial" w:eastAsia="Arial" w:hAnsi="Arial"/>
          <w:sz w:val="17"/>
          <w:szCs w:val="17"/>
          <w:b w:val="1"/>
          <w:bCs w:val="1"/>
          <w:color w:val="auto"/>
        </w:rPr>
        <w:t>The Company excludes balance sheet recognition of operating leases having a term of 12 months or less (short-term leases) and does not separate lease components and non-lease components for its long-term leases.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Impairment of Long-Lived Assets</w:t>
      </w:r>
    </w:p>
    <w:p>
      <w:pPr>
        <w:spacing w:after="0" w:line="131" w:lineRule="exact"/>
        <w:rPr>
          <w:sz w:val="20"/>
          <w:szCs w:val="20"/>
          <w:color w:val="auto"/>
        </w:rPr>
      </w:pPr>
    </w:p>
    <w:p>
      <w:pPr>
        <w:ind w:left="480"/>
        <w:spacing w:after="0" w:line="268" w:lineRule="auto"/>
        <w:rPr>
          <w:sz w:val="20"/>
          <w:szCs w:val="20"/>
          <w:color w:val="auto"/>
        </w:rPr>
      </w:pPr>
      <w:r>
        <w:rPr>
          <w:rFonts w:ascii="Arial" w:cs="Arial" w:eastAsia="Arial" w:hAnsi="Arial"/>
          <w:sz w:val="18"/>
          <w:szCs w:val="18"/>
          <w:b w:val="1"/>
          <w:bCs w:val="1"/>
          <w:color w:val="auto"/>
        </w:rPr>
        <w:t>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the total of the undiscounted future cash flows is less than the carrying amount of the assets, an impairment loss is recognized for the amount by which the carrying amount of the assets exceeds its fair value. For the year ended December 31, 2025 the Company recognized an impairment loss of $2.9 million on the right-of-use asset and the leasehold improvements. The Company recognized an impairment loss of $2.2 million on the right-of-use assets and leasehold improvements for the year ended December 31, 2024.</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Revenue Recognition</w:t>
      </w:r>
    </w:p>
    <w:p>
      <w:pPr>
        <w:spacing w:after="0" w:line="131" w:lineRule="exact"/>
        <w:rPr>
          <w:sz w:val="20"/>
          <w:szCs w:val="20"/>
          <w:color w:val="auto"/>
        </w:rPr>
      </w:pPr>
    </w:p>
    <w:p>
      <w:pPr>
        <w:ind w:left="480" w:right="20"/>
        <w:spacing w:after="0" w:line="268" w:lineRule="auto"/>
        <w:rPr>
          <w:sz w:val="20"/>
          <w:szCs w:val="20"/>
          <w:color w:val="auto"/>
        </w:rPr>
      </w:pPr>
      <w:r>
        <w:rPr>
          <w:rFonts w:ascii="Arial" w:cs="Arial" w:eastAsia="Arial" w:hAnsi="Arial"/>
          <w:sz w:val="18"/>
          <w:szCs w:val="18"/>
          <w:b w:val="1"/>
          <w:bCs w:val="1"/>
          <w:color w:val="auto"/>
        </w:rPr>
        <w:t>The Company recognizes revenue when control of promised goods or services is transferred to customers in an amount that reflects the consideration that is expected to be received for those goods or services. In determining the appropriate amount of revenue to be recognized as the Company fulfills its obligations under contractual arrangements, the Company performs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If it is determined that multiple performance obligations exist, the transaction price is allocated at the inception of the agreement to all identified performance obligations based on the relative standalone selling price (SSP). The relative SSP for each performance obligation is estimated using externally sourced evidence if it is available. If externally sourced evidence is not available, the Company uses its best estimate of the SSP for the performance obligation.</w:t>
      </w:r>
    </w:p>
    <w:p>
      <w:pPr>
        <w:spacing w:after="0" w:line="107" w:lineRule="exact"/>
        <w:rPr>
          <w:sz w:val="20"/>
          <w:szCs w:val="20"/>
          <w:color w:val="auto"/>
        </w:rPr>
      </w:pPr>
    </w:p>
    <w:p>
      <w:pPr>
        <w:ind w:left="480" w:right="60"/>
        <w:spacing w:after="0" w:line="252" w:lineRule="auto"/>
        <w:rPr>
          <w:sz w:val="20"/>
          <w:szCs w:val="20"/>
          <w:color w:val="auto"/>
        </w:rPr>
      </w:pPr>
      <w:r>
        <w:rPr>
          <w:rFonts w:ascii="Arial" w:cs="Arial" w:eastAsia="Arial" w:hAnsi="Arial"/>
          <w:sz w:val="19"/>
          <w:szCs w:val="19"/>
          <w:b w:val="1"/>
          <w:bCs w:val="1"/>
          <w:color w:val="auto"/>
        </w:rPr>
        <w:t>The Company recognizes collaboration revenue at a point in time if control of the promised good or service has been transferred to the customer. The Company recognizes collaboration revenue over time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re-evaluates the estimate of expected costs to satisfy the performance obligation each reporting period.</w:t>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Research and Development Costs</w:t>
      </w:r>
    </w:p>
    <w:p>
      <w:pPr>
        <w:spacing w:after="0" w:line="131" w:lineRule="exact"/>
        <w:rPr>
          <w:sz w:val="20"/>
          <w:szCs w:val="20"/>
          <w:color w:val="auto"/>
        </w:rPr>
      </w:pPr>
    </w:p>
    <w:p>
      <w:pPr>
        <w:ind w:left="480" w:right="240"/>
        <w:spacing w:after="0" w:line="382" w:lineRule="auto"/>
        <w:rPr>
          <w:sz w:val="20"/>
          <w:szCs w:val="20"/>
          <w:color w:val="auto"/>
        </w:rPr>
      </w:pPr>
      <w:r>
        <w:rPr>
          <w:rFonts w:ascii="Arial" w:cs="Arial" w:eastAsia="Arial" w:hAnsi="Arial"/>
          <w:sz w:val="15"/>
          <w:szCs w:val="15"/>
          <w:b w:val="1"/>
          <w:bCs w:val="1"/>
          <w:color w:val="auto"/>
        </w:rPr>
        <w:t>Research and development costs are expensed as incurred and consist primarily of new product development. Research and development costs include salaries and benefits, consultants’ fees, process development costs, stock-</w:t>
      </w:r>
    </w:p>
    <w:p>
      <w:pPr>
        <w:sectPr>
          <w:pgSz w:w="12240" w:h="15840" w:orient="portrait"/>
          <w:cols w:equalWidth="0" w:num="1">
            <w:col w:w="9900"/>
          </w:cols>
          <w:pgMar w:left="1440" w:top="1151" w:right="900" w:bottom="181"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111</w:t>
      </w:r>
    </w:p>
    <w:p>
      <w:pPr>
        <w:sectPr>
          <w:pgSz w:w="12240" w:h="15840" w:orient="portrait"/>
          <w:cols w:equalWidth="0" w:num="1">
            <w:col w:w="9900"/>
          </w:cols>
          <w:pgMar w:left="1440" w:top="1151" w:right="900" w:bottom="181" w:gutter="0" w:footer="0" w:header="0"/>
          <w:type w:val="continuous"/>
        </w:sectPr>
      </w:pPr>
    </w:p>
    <w:bookmarkStart w:id="113" w:name="page114"/>
    <w:bookmarkEnd w:id="113"/>
    <w:p>
      <w:pPr>
        <w:ind w:left="480" w:right="300"/>
        <w:spacing w:after="0" w:line="291" w:lineRule="auto"/>
        <w:rPr>
          <w:sz w:val="20"/>
          <w:szCs w:val="20"/>
          <w:color w:val="auto"/>
        </w:rPr>
      </w:pPr>
      <w:r>
        <w:rPr>
          <w:rFonts w:ascii="Arial" w:cs="Arial" w:eastAsia="Arial" w:hAnsi="Arial"/>
          <w:sz w:val="17"/>
          <w:szCs w:val="17"/>
          <w:b w:val="1"/>
          <w:bCs w:val="1"/>
          <w:color w:val="auto"/>
        </w:rPr>
        <w:t>based compensation, and laboratory supplies, as well as fees paid to third parties that conduct certain research and development activities on the Company’s behalf. In addition, research and development costs include the reimbursable costs incurred for the collaboration agreements, which includes payroll costs for time incurred on projects, laboratory supplies, and third-party research and development activities.</w:t>
      </w:r>
    </w:p>
    <w:p>
      <w:pPr>
        <w:spacing w:after="0" w:line="91" w:lineRule="exact"/>
        <w:rPr>
          <w:sz w:val="20"/>
          <w:szCs w:val="20"/>
          <w:color w:val="auto"/>
        </w:rPr>
      </w:pPr>
    </w:p>
    <w:p>
      <w:pPr>
        <w:ind w:left="480"/>
        <w:spacing w:after="0" w:line="285" w:lineRule="auto"/>
        <w:rPr>
          <w:sz w:val="20"/>
          <w:szCs w:val="20"/>
          <w:color w:val="auto"/>
        </w:rPr>
      </w:pPr>
      <w:r>
        <w:rPr>
          <w:rFonts w:ascii="Arial" w:cs="Arial" w:eastAsia="Arial" w:hAnsi="Arial"/>
          <w:sz w:val="17"/>
          <w:szCs w:val="17"/>
          <w:b w:val="1"/>
          <w:bCs w:val="1"/>
          <w:color w:val="auto"/>
        </w:rPr>
        <w:t>A substantial portion of the Company’s ongoing research and development activities are conducted by third-party service providers. The Company records accrued expenses for estimated preclinical study and clinical trial expenses. Estimates are based on the services performed pursuant to contracts with research institutions, CROs in connection with clinical studies, investigative sites in connection with clinical studies, vendors in connection with preclinical development activities, and contract manufacturing organizations in connection with the production of materials for clinical trials. Further, the Company accrues expenses related to clinical trials based on the level of patient enrollment and activity according to the related agreement. The Company monitors patient enrollment levels and related activity to the extent reasonably possible and make judgments and estimates in determining the accrued balance in each reporting period. If the Company underestimates or overestimates the level of services performed or the costs of these services, actual expenses could differ from estimates. To date, the Company has not experienced significant changes in its estimates of preclinical studies and clinical trial accruals.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Stock-based Compensation</w:t>
      </w:r>
    </w:p>
    <w:p>
      <w:pPr>
        <w:spacing w:after="0" w:line="131" w:lineRule="exact"/>
        <w:rPr>
          <w:sz w:val="20"/>
          <w:szCs w:val="20"/>
          <w:color w:val="auto"/>
        </w:rPr>
      </w:pPr>
    </w:p>
    <w:p>
      <w:pPr>
        <w:ind w:left="480"/>
        <w:spacing w:after="0" w:line="288" w:lineRule="auto"/>
        <w:rPr>
          <w:sz w:val="20"/>
          <w:szCs w:val="20"/>
          <w:color w:val="auto"/>
        </w:rPr>
      </w:pPr>
      <w:r>
        <w:rPr>
          <w:rFonts w:ascii="Arial" w:cs="Arial" w:eastAsia="Arial" w:hAnsi="Arial"/>
          <w:sz w:val="17"/>
          <w:szCs w:val="17"/>
          <w:b w:val="1"/>
          <w:bCs w:val="1"/>
          <w:color w:val="auto"/>
        </w:rPr>
        <w:t>Stock-based compensation is measured on the grant date based on the fair value of the awards. The fair value of options to purchase common stock is measured using the Black-Scholes option-pricing model. Stock-based compensation associated with restricted stock units (RSUs) that vest based only on a service condition is based on the fair value of the Company’s common stock on the grant date, which equals the closing price of the Company’s common stock on the grant date. The Company recognizes expense over the vesting period of the awards. Expense for options and RSUs that vest based only on a service condition is recognized on a straight-line basis.</w:t>
      </w:r>
    </w:p>
    <w:p>
      <w:pPr>
        <w:spacing w:after="0" w:line="93" w:lineRule="exact"/>
        <w:rPr>
          <w:sz w:val="20"/>
          <w:szCs w:val="20"/>
          <w:color w:val="auto"/>
        </w:rPr>
      </w:pPr>
    </w:p>
    <w:p>
      <w:pPr>
        <w:ind w:left="480" w:right="40"/>
        <w:spacing w:after="0" w:line="288" w:lineRule="auto"/>
        <w:rPr>
          <w:sz w:val="20"/>
          <w:szCs w:val="20"/>
          <w:color w:val="auto"/>
        </w:rPr>
      </w:pPr>
      <w:r>
        <w:rPr>
          <w:rFonts w:ascii="Arial" w:cs="Arial" w:eastAsia="Arial" w:hAnsi="Arial"/>
          <w:sz w:val="17"/>
          <w:szCs w:val="17"/>
          <w:b w:val="1"/>
          <w:bCs w:val="1"/>
          <w:color w:val="auto"/>
        </w:rPr>
        <w:t>The fair value of RSUs with market conditions is estimated using a Monte Carlo simulation model. The Monte Carlo model uses the fair value inputs on the grant date to run simulations and take an average of possible outcomes. Assumptions and estimates utilized in the model include the stock price on grant date, risk-free interest rate, dividend yield, expected stock volatility, and estimated period to achieve the market condition. The expense is recognized based on continued employment of the participants, regardless of achievement of the market condition. Expense related to the RSUs with market conditions is recognized using the accelerated attribution method.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Company accounts for forfeitures as they occur for all awards.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Comprehensive Loss</w:t>
      </w:r>
    </w:p>
    <w:p>
      <w:pPr>
        <w:spacing w:after="0" w:line="131" w:lineRule="exact"/>
        <w:rPr>
          <w:sz w:val="20"/>
          <w:szCs w:val="20"/>
          <w:color w:val="auto"/>
        </w:rPr>
      </w:pPr>
    </w:p>
    <w:p>
      <w:pPr>
        <w:jc w:val="both"/>
        <w:ind w:left="480" w:right="180"/>
        <w:spacing w:after="0" w:line="252" w:lineRule="auto"/>
        <w:rPr>
          <w:sz w:val="20"/>
          <w:szCs w:val="20"/>
          <w:color w:val="auto"/>
        </w:rPr>
      </w:pPr>
      <w:r>
        <w:rPr>
          <w:rFonts w:ascii="Arial" w:cs="Arial" w:eastAsia="Arial" w:hAnsi="Arial"/>
          <w:sz w:val="19"/>
          <w:szCs w:val="19"/>
          <w:b w:val="1"/>
          <w:bCs w:val="1"/>
          <w:color w:val="auto"/>
        </w:rPr>
        <w:t>Comprehensive loss includes net loss and certain changes in stockholders’ equity that are the result of transactions and economic events other than those with stockholders. The Company’s only element of other comprehensive loss was net unrealized gain (loss) on marketable securities.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Income Taxes</w:t>
      </w:r>
    </w:p>
    <w:p>
      <w:pPr>
        <w:spacing w:after="0" w:line="131" w:lineRule="exact"/>
        <w:rPr>
          <w:sz w:val="20"/>
          <w:szCs w:val="20"/>
          <w:color w:val="auto"/>
        </w:rPr>
      </w:pPr>
    </w:p>
    <w:p>
      <w:pPr>
        <w:ind w:left="480" w:right="20"/>
        <w:spacing w:after="0" w:line="288" w:lineRule="auto"/>
        <w:rPr>
          <w:sz w:val="20"/>
          <w:szCs w:val="20"/>
          <w:color w:val="auto"/>
        </w:rPr>
      </w:pPr>
      <w:r>
        <w:rPr>
          <w:rFonts w:ascii="Arial" w:cs="Arial" w:eastAsia="Arial" w:hAnsi="Arial"/>
          <w:sz w:val="17"/>
          <w:szCs w:val="17"/>
          <w:b w:val="1"/>
          <w:bCs w:val="1"/>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bases of assets and liabilities and are measured using enacted tax rates and laws that will be in effect when the differences are expected to reverse. The effect of a change in tax rates on deferred tax assets and liabilities is recognized in income in the period that includes the enactment date.</w:t>
      </w:r>
    </w:p>
    <w:p>
      <w:pPr>
        <w:spacing w:after="0" w:line="93" w:lineRule="exact"/>
        <w:rPr>
          <w:sz w:val="20"/>
          <w:szCs w:val="20"/>
          <w:color w:val="auto"/>
        </w:rPr>
      </w:pPr>
    </w:p>
    <w:p>
      <w:pPr>
        <w:ind w:left="480" w:right="20"/>
        <w:spacing w:after="0" w:line="292" w:lineRule="auto"/>
        <w:rPr>
          <w:sz w:val="20"/>
          <w:szCs w:val="20"/>
          <w:color w:val="auto"/>
        </w:rPr>
      </w:pPr>
      <w:r>
        <w:rPr>
          <w:rFonts w:ascii="Arial" w:cs="Arial" w:eastAsia="Arial" w:hAnsi="Arial"/>
          <w:sz w:val="17"/>
          <w:szCs w:val="17"/>
          <w:b w:val="1"/>
          <w:bCs w:val="1"/>
          <w:color w:val="auto"/>
        </w:rPr>
        <w:t>The deferred tax assets are recognized to the extent the Company believes that these assets are more likely than not to be realized. A valuation allowance is provided when it is more likely than not that some portion or all of a deferred tax asset will not be realized. Due to the Company’s historical operating performance and the recorded cumulative net losses in prior periods, the net deferred tax assets have been fully offset by a valuation allowance.</w:t>
      </w:r>
    </w:p>
    <w:p>
      <w:pPr>
        <w:spacing w:after="0" w:line="88" w:lineRule="exact"/>
        <w:rPr>
          <w:sz w:val="20"/>
          <w:szCs w:val="20"/>
          <w:color w:val="auto"/>
        </w:rPr>
      </w:pPr>
    </w:p>
    <w:p>
      <w:pPr>
        <w:ind w:left="480" w:right="40"/>
        <w:spacing w:after="0" w:line="238" w:lineRule="auto"/>
        <w:rPr>
          <w:sz w:val="20"/>
          <w:szCs w:val="20"/>
          <w:color w:val="auto"/>
        </w:rPr>
      </w:pPr>
      <w:r>
        <w:rPr>
          <w:rFonts w:ascii="Arial" w:cs="Arial" w:eastAsia="Arial" w:hAnsi="Arial"/>
          <w:sz w:val="20"/>
          <w:szCs w:val="20"/>
          <w:b w:val="1"/>
          <w:bCs w:val="1"/>
          <w:color w:val="auto"/>
        </w:rPr>
        <w:t>The Company records uncertain tax positions using a two-step process. First, the Company determines whether it is more likely than not that the tax positions will be sustained on the basis of the technical merits of the position. Second, for those tax positions that meet the more-likely-than-not recognition threshold, the Company recognizes the largest amount of tax benefit that is more than 50% likely to be realized upon ultimate settlement with the related tax authority.</w:t>
      </w:r>
    </w:p>
    <w:p>
      <w:pPr>
        <w:sectPr>
          <w:pgSz w:w="12240" w:h="15840" w:orient="portrait"/>
          <w:cols w:equalWidth="0" w:num="1">
            <w:col w:w="9920"/>
          </w:cols>
          <w:pgMar w:left="1440" w:top="1161"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112</w:t>
      </w:r>
    </w:p>
    <w:p>
      <w:pPr>
        <w:sectPr>
          <w:pgSz w:w="12240" w:h="15840" w:orient="portrait"/>
          <w:cols w:equalWidth="0" w:num="1">
            <w:col w:w="9920"/>
          </w:cols>
          <w:pgMar w:left="1440" w:top="1161" w:right="880" w:bottom="181" w:gutter="0" w:footer="0" w:header="0"/>
          <w:type w:val="continuous"/>
        </w:sectPr>
      </w:pPr>
    </w:p>
    <w:bookmarkStart w:id="114" w:name="page115"/>
    <w:bookmarkEnd w:id="114"/>
    <w:p>
      <w:pPr>
        <w:jc w:val="both"/>
        <w:ind w:left="480" w:right="80"/>
        <w:spacing w:after="0" w:line="235" w:lineRule="auto"/>
        <w:rPr>
          <w:sz w:val="20"/>
          <w:szCs w:val="20"/>
          <w:color w:val="auto"/>
        </w:rPr>
      </w:pPr>
      <w:r>
        <w:rPr>
          <w:rFonts w:ascii="Arial" w:cs="Arial" w:eastAsia="Arial" w:hAnsi="Arial"/>
          <w:sz w:val="20"/>
          <w:szCs w:val="20"/>
          <w:b w:val="1"/>
          <w:bCs w:val="1"/>
          <w:color w:val="auto"/>
        </w:rPr>
        <w:t>The Company recognizes interest and penalties related to unrecognized tax benefits within the provision for taxes in the consolidated statements of operations. The Company accrued $0.2 million and $0.2 million interest and penalties for the years ended December 31, 2025 and 2024.</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Employee 401(k) Plan</w:t>
      </w:r>
    </w:p>
    <w:p>
      <w:pPr>
        <w:spacing w:after="0" w:line="131" w:lineRule="exact"/>
        <w:rPr>
          <w:sz w:val="20"/>
          <w:szCs w:val="20"/>
          <w:color w:val="auto"/>
        </w:rPr>
      </w:pPr>
    </w:p>
    <w:p>
      <w:pPr>
        <w:ind w:left="480"/>
        <w:spacing w:after="0" w:line="288" w:lineRule="auto"/>
        <w:rPr>
          <w:sz w:val="20"/>
          <w:szCs w:val="20"/>
          <w:color w:val="auto"/>
        </w:rPr>
      </w:pPr>
      <w:r>
        <w:rPr>
          <w:rFonts w:ascii="Arial" w:cs="Arial" w:eastAsia="Arial" w:hAnsi="Arial"/>
          <w:sz w:val="17"/>
          <w:szCs w:val="17"/>
          <w:b w:val="1"/>
          <w:bCs w:val="1"/>
          <w:color w:val="auto"/>
        </w:rPr>
        <w:t>The Company has a qualified contributory savings plan under Section 401(k) of the Internal Revenue Code (the Code) covering substantially all U.S. employees of Alector. The 401(k) plan is designed to provide tax-deferred retirement benefits in accordance with the provisions of Section 401(k) of the Code. Eligible employees may defer up to 100% of their eligible compensation up to the annual maximum as determined by the Internal Revenue Service. The Company’s contributions to the plan are discretionary. For the years ended December 31, 2025 and 2024, the Company made matching contributions of $0.8 million and $1.1 million, respectively.</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Debt</w:t>
      </w:r>
    </w:p>
    <w:p>
      <w:pPr>
        <w:spacing w:after="0" w:line="131" w:lineRule="exact"/>
        <w:rPr>
          <w:sz w:val="20"/>
          <w:szCs w:val="20"/>
          <w:color w:val="auto"/>
        </w:rPr>
      </w:pPr>
    </w:p>
    <w:p>
      <w:pPr>
        <w:ind w:left="480" w:right="140"/>
        <w:spacing w:after="0" w:line="253" w:lineRule="auto"/>
        <w:rPr>
          <w:sz w:val="20"/>
          <w:szCs w:val="20"/>
          <w:color w:val="auto"/>
        </w:rPr>
      </w:pPr>
      <w:r>
        <w:rPr>
          <w:rFonts w:ascii="Arial" w:cs="Arial" w:eastAsia="Arial" w:hAnsi="Arial"/>
          <w:sz w:val="19"/>
          <w:szCs w:val="19"/>
          <w:b w:val="1"/>
          <w:bCs w:val="1"/>
          <w:color w:val="auto"/>
        </w:rPr>
        <w:t>Debt is initially recognized at cost and presented net of original issue discount and debt issuance costs on the consolidated balance sheets. Amortization of debt discount and debt issuance costs is recognized as interest expense over the period of the debt, using the effective interest rate method.</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Segments</w:t>
      </w:r>
    </w:p>
    <w:p>
      <w:pPr>
        <w:spacing w:after="0" w:line="131" w:lineRule="exact"/>
        <w:rPr>
          <w:sz w:val="20"/>
          <w:szCs w:val="20"/>
          <w:color w:val="auto"/>
        </w:rPr>
      </w:pPr>
    </w:p>
    <w:p>
      <w:pPr>
        <w:ind w:left="480"/>
        <w:spacing w:after="0" w:line="237" w:lineRule="auto"/>
        <w:rPr>
          <w:sz w:val="20"/>
          <w:szCs w:val="20"/>
          <w:color w:val="auto"/>
        </w:rPr>
      </w:pPr>
      <w:r>
        <w:rPr>
          <w:rFonts w:ascii="Arial" w:cs="Arial" w:eastAsia="Arial" w:hAnsi="Arial"/>
          <w:sz w:val="20"/>
          <w:szCs w:val="20"/>
          <w:b w:val="1"/>
          <w:bCs w:val="1"/>
          <w:color w:val="auto"/>
        </w:rPr>
        <w:t>The Company operates in one segment. The Company’s chief operating decision maker (CODM), its Chief Executive Officer, manages the Company’s operations on a consolidated basis for purposes of allocating resources. When evaluating the Company’s financial performance, the CODM reviews total revenues, total expenses and expenses by function.</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The table below is a summary of the segment profit or loss, including significant segment expenses (in thousands):</w:t>
      </w:r>
    </w:p>
    <w:p>
      <w:pPr>
        <w:spacing w:after="0" w:line="159"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Year Ended</w:t>
      </w:r>
    </w:p>
    <w:p>
      <w:pPr>
        <w:ind w:left="7720"/>
        <w:spacing w:after="0" w:line="237" w:lineRule="auto"/>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-12065</wp:posOffset>
            </wp:positionV>
            <wp:extent cx="6145530" cy="2078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45530" cy="2078355"/>
                    </a:xfrm>
                    <a:prstGeom prst="rect">
                      <a:avLst/>
                    </a:prstGeom>
                    <a:noFill/>
                  </pic:spPr>
                </pic:pic>
              </a:graphicData>
            </a:graphic>
          </wp:anchor>
        </w:drawing>
      </w:r>
    </w:p>
    <w:p>
      <w:pPr>
        <w:spacing w:after="0" w:line="1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2024</w:t>
            </w:r>
          </w:p>
        </w:tc>
      </w:tr>
      <w:tr>
        <w:trPr>
          <w:trHeight w:val="257"/>
        </w:trPr>
        <w:tc>
          <w:tcPr>
            <w:tcW w:w="544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142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21,045</w:t>
            </w:r>
          </w:p>
        </w:tc>
        <w:tc>
          <w:tcPr>
            <w:tcW w:w="40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100,558</w:t>
            </w:r>
          </w:p>
        </w:tc>
      </w:tr>
      <w:tr>
        <w:trPr>
          <w:trHeight w:val="245"/>
        </w:trPr>
        <w:tc>
          <w:tcPr>
            <w:tcW w:w="5440" w:type="dxa"/>
            <w:vAlign w:val="bottom"/>
          </w:tcPr>
          <w:p>
            <w:pPr>
              <w:spacing w:after="0"/>
              <w:rPr>
                <w:sz w:val="20"/>
                <w:szCs w:val="20"/>
                <w:color w:val="auto"/>
              </w:rPr>
            </w:pPr>
            <w:r>
              <w:rPr>
                <w:rFonts w:ascii="Arial" w:cs="Arial" w:eastAsia="Arial" w:hAnsi="Arial"/>
                <w:sz w:val="20"/>
                <w:szCs w:val="20"/>
                <w:b w:val="1"/>
                <w:bCs w:val="1"/>
                <w:color w:val="auto"/>
              </w:rPr>
              <w:t>Less:</w:t>
            </w: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5"/>
        </w:trPr>
        <w:tc>
          <w:tcPr>
            <w:tcW w:w="5440" w:type="dxa"/>
            <w:vAlign w:val="bottom"/>
          </w:tcPr>
          <w:p>
            <w:pPr>
              <w:spacing w:after="0"/>
              <w:rPr>
                <w:sz w:val="20"/>
                <w:szCs w:val="20"/>
                <w:color w:val="auto"/>
              </w:rPr>
            </w:pPr>
            <w:r>
              <w:rPr>
                <w:rFonts w:ascii="Arial" w:cs="Arial" w:eastAsia="Arial" w:hAnsi="Arial"/>
                <w:sz w:val="20"/>
                <w:szCs w:val="20"/>
                <w:b w:val="1"/>
                <w:bCs w:val="1"/>
                <w:color w:val="auto"/>
              </w:rPr>
              <w:t>Compensation and benefits</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51,783</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73,223</w:t>
            </w:r>
          </w:p>
        </w:tc>
      </w:tr>
      <w:tr>
        <w:trPr>
          <w:trHeight w:val="242"/>
        </w:trPr>
        <w:tc>
          <w:tcPr>
            <w:tcW w:w="5440" w:type="dxa"/>
            <w:vAlign w:val="bottom"/>
          </w:tcPr>
          <w:p>
            <w:pPr>
              <w:spacing w:after="0"/>
              <w:rPr>
                <w:sz w:val="20"/>
                <w:szCs w:val="20"/>
                <w:color w:val="auto"/>
              </w:rPr>
            </w:pPr>
            <w:r>
              <w:rPr>
                <w:rFonts w:ascii="Arial" w:cs="Arial" w:eastAsia="Arial" w:hAnsi="Arial"/>
                <w:sz w:val="20"/>
                <w:szCs w:val="20"/>
                <w:b w:val="1"/>
                <w:bCs w:val="1"/>
                <w:color w:val="auto"/>
              </w:rPr>
              <w:t>Lab expenses and outside research services</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12,644</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14,881</w:t>
            </w:r>
          </w:p>
        </w:tc>
      </w:tr>
      <w:tr>
        <w:trPr>
          <w:trHeight w:val="245"/>
        </w:trPr>
        <w:tc>
          <w:tcPr>
            <w:tcW w:w="5440" w:type="dxa"/>
            <w:vAlign w:val="bottom"/>
          </w:tcPr>
          <w:p>
            <w:pPr>
              <w:spacing w:after="0"/>
              <w:rPr>
                <w:sz w:val="20"/>
                <w:szCs w:val="20"/>
                <w:color w:val="auto"/>
              </w:rPr>
            </w:pPr>
            <w:r>
              <w:rPr>
                <w:rFonts w:ascii="Arial" w:cs="Arial" w:eastAsia="Arial" w:hAnsi="Arial"/>
                <w:sz w:val="20"/>
                <w:szCs w:val="20"/>
                <w:b w:val="1"/>
                <w:bCs w:val="1"/>
                <w:color w:val="auto"/>
              </w:rPr>
              <w:t>Clinical supply costs</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12,039</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22,460</w:t>
            </w:r>
          </w:p>
        </w:tc>
      </w:tr>
      <w:tr>
        <w:trPr>
          <w:trHeight w:val="245"/>
        </w:trPr>
        <w:tc>
          <w:tcPr>
            <w:tcW w:w="5440" w:type="dxa"/>
            <w:vAlign w:val="bottom"/>
          </w:tcPr>
          <w:p>
            <w:pPr>
              <w:spacing w:after="0"/>
              <w:rPr>
                <w:sz w:val="20"/>
                <w:szCs w:val="20"/>
                <w:color w:val="auto"/>
              </w:rPr>
            </w:pPr>
            <w:r>
              <w:rPr>
                <w:rFonts w:ascii="Arial" w:cs="Arial" w:eastAsia="Arial" w:hAnsi="Arial"/>
                <w:sz w:val="20"/>
                <w:szCs w:val="20"/>
                <w:b w:val="1"/>
                <w:bCs w:val="1"/>
                <w:color w:val="auto"/>
              </w:rPr>
              <w:t>Clinical trials</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23,360</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58,577</w:t>
            </w:r>
          </w:p>
        </w:tc>
      </w:tr>
      <w:tr>
        <w:trPr>
          <w:trHeight w:val="242"/>
        </w:trPr>
        <w:tc>
          <w:tcPr>
            <w:tcW w:w="5440" w:type="dxa"/>
            <w:vAlign w:val="bottom"/>
          </w:tcPr>
          <w:p>
            <w:pPr>
              <w:spacing w:after="0"/>
              <w:rPr>
                <w:sz w:val="20"/>
                <w:szCs w:val="20"/>
                <w:color w:val="auto"/>
              </w:rPr>
            </w:pPr>
            <w:r>
              <w:rPr>
                <w:rFonts w:ascii="Arial" w:cs="Arial" w:eastAsia="Arial" w:hAnsi="Arial"/>
                <w:sz w:val="20"/>
                <w:szCs w:val="20"/>
                <w:b w:val="1"/>
                <w:bCs w:val="1"/>
                <w:color w:val="auto"/>
              </w:rPr>
              <w:t>Support functions</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30,668</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34,379</w:t>
            </w:r>
          </w:p>
        </w:tc>
      </w:tr>
      <w:tr>
        <w:trPr>
          <w:trHeight w:val="285"/>
        </w:trPr>
        <w:tc>
          <w:tcPr>
            <w:tcW w:w="5440" w:type="dxa"/>
            <w:vAlign w:val="bottom"/>
          </w:tcPr>
          <w:p>
            <w:pPr>
              <w:spacing w:after="0" w:line="284" w:lineRule="exact"/>
              <w:rPr>
                <w:sz w:val="20"/>
                <w:szCs w:val="20"/>
                <w:color w:val="auto"/>
              </w:rPr>
            </w:pPr>
            <w:r>
              <w:rPr>
                <w:rFonts w:ascii="Arial" w:cs="Arial" w:eastAsia="Arial" w:hAnsi="Arial"/>
                <w:sz w:val="20"/>
                <w:szCs w:val="20"/>
                <w:b w:val="1"/>
                <w:bCs w:val="1"/>
                <w:color w:val="auto"/>
              </w:rPr>
              <w:t>Other segment expenses</w:t>
            </w:r>
            <w:r>
              <w:rPr>
                <w:rFonts w:ascii="Arial" w:cs="Arial" w:eastAsia="Arial" w:hAnsi="Arial"/>
                <w:sz w:val="25"/>
                <w:szCs w:val="25"/>
                <w:b w:val="1"/>
                <w:bCs w:val="1"/>
                <w:color w:val="auto"/>
                <w:vertAlign w:val="superscript"/>
              </w:rPr>
              <w:t>(a)</w:t>
            </w:r>
          </w:p>
        </w:tc>
        <w:tc>
          <w:tcPr>
            <w:tcW w:w="1420" w:type="dxa"/>
            <w:vAlign w:val="bottom"/>
          </w:tcPr>
          <w:p>
            <w:pPr>
              <w:spacing w:after="0"/>
              <w:rPr>
                <w:sz w:val="24"/>
                <w:szCs w:val="24"/>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46,558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42,035</w:t>
            </w:r>
          </w:p>
        </w:tc>
      </w:tr>
      <w:tr>
        <w:trPr>
          <w:trHeight w:val="219"/>
        </w:trPr>
        <w:tc>
          <w:tcPr>
            <w:tcW w:w="5440" w:type="dxa"/>
            <w:vAlign w:val="bottom"/>
          </w:tcPr>
          <w:p>
            <w:pPr>
              <w:spacing w:after="0" w:line="220" w:lineRule="exact"/>
              <w:rPr>
                <w:sz w:val="20"/>
                <w:szCs w:val="20"/>
                <w:color w:val="auto"/>
              </w:rPr>
            </w:pPr>
            <w:r>
              <w:rPr>
                <w:rFonts w:ascii="Arial" w:cs="Arial" w:eastAsia="Arial" w:hAnsi="Arial"/>
                <w:sz w:val="20"/>
                <w:szCs w:val="20"/>
                <w:b w:val="1"/>
                <w:bCs w:val="1"/>
                <w:color w:val="auto"/>
              </w:rPr>
              <w:t>Total operating expenses</w:t>
            </w:r>
          </w:p>
        </w:tc>
        <w:tc>
          <w:tcPr>
            <w:tcW w:w="1420" w:type="dxa"/>
            <w:vAlign w:val="bottom"/>
          </w:tcPr>
          <w:p>
            <w:pPr>
              <w:spacing w:after="0"/>
              <w:rPr>
                <w:sz w:val="19"/>
                <w:szCs w:val="19"/>
                <w:color w:val="auto"/>
              </w:rPr>
            </w:pPr>
          </w:p>
        </w:tc>
        <w:tc>
          <w:tcPr>
            <w:tcW w:w="1240" w:type="dxa"/>
            <w:vAlign w:val="bottom"/>
          </w:tcPr>
          <w:p>
            <w:pPr>
              <w:jc w:val="right"/>
              <w:ind w:right="82"/>
              <w:spacing w:after="0" w:line="220" w:lineRule="exact"/>
              <w:rPr>
                <w:sz w:val="20"/>
                <w:szCs w:val="20"/>
                <w:color w:val="auto"/>
              </w:rPr>
            </w:pPr>
            <w:r>
              <w:rPr>
                <w:rFonts w:ascii="Arial" w:cs="Arial" w:eastAsia="Arial" w:hAnsi="Arial"/>
                <w:sz w:val="20"/>
                <w:szCs w:val="20"/>
                <w:b w:val="1"/>
                <w:bCs w:val="1"/>
                <w:color w:val="auto"/>
              </w:rPr>
              <w:t>177,052</w:t>
            </w:r>
          </w:p>
        </w:tc>
        <w:tc>
          <w:tcPr>
            <w:tcW w:w="400" w:type="dxa"/>
            <w:vAlign w:val="bottom"/>
          </w:tcPr>
          <w:p>
            <w:pPr>
              <w:spacing w:after="0"/>
              <w:rPr>
                <w:sz w:val="19"/>
                <w:szCs w:val="19"/>
                <w:color w:val="auto"/>
              </w:rPr>
            </w:pPr>
          </w:p>
        </w:tc>
        <w:tc>
          <w:tcPr>
            <w:tcW w:w="1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245,555</w:t>
            </w:r>
          </w:p>
        </w:tc>
      </w:tr>
      <w:tr>
        <w:trPr>
          <w:trHeight w:val="245"/>
        </w:trPr>
        <w:tc>
          <w:tcPr>
            <w:tcW w:w="5440" w:type="dxa"/>
            <w:vAlign w:val="bottom"/>
          </w:tcPr>
          <w:p>
            <w:pPr>
              <w:spacing w:after="0"/>
              <w:rPr>
                <w:sz w:val="20"/>
                <w:szCs w:val="20"/>
                <w:color w:val="auto"/>
              </w:rPr>
            </w:pPr>
            <w:r>
              <w:rPr>
                <w:rFonts w:ascii="Arial" w:cs="Arial" w:eastAsia="Arial" w:hAnsi="Arial"/>
                <w:sz w:val="20"/>
                <w:szCs w:val="20"/>
                <w:b w:val="1"/>
                <w:bCs w:val="1"/>
                <w:color w:val="auto"/>
              </w:rPr>
              <w:t>Loss from operations</w:t>
            </w:r>
          </w:p>
        </w:tc>
        <w:tc>
          <w:tcPr>
            <w:tcW w:w="142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b w:val="1"/>
                <w:bCs w:val="1"/>
                <w:color w:val="auto"/>
              </w:rPr>
              <w:t>(156,007)</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(144,997)</w:t>
            </w:r>
          </w:p>
        </w:tc>
      </w:tr>
      <w:tr>
        <w:trPr>
          <w:trHeight w:val="242"/>
        </w:trPr>
        <w:tc>
          <w:tcPr>
            <w:tcW w:w="5440" w:type="dxa"/>
            <w:vAlign w:val="bottom"/>
          </w:tcPr>
          <w:p>
            <w:pPr>
              <w:spacing w:after="0"/>
              <w:rPr>
                <w:sz w:val="20"/>
                <w:szCs w:val="20"/>
                <w:color w:val="auto"/>
              </w:rPr>
            </w:pPr>
            <w:r>
              <w:rPr>
                <w:rFonts w:ascii="Arial" w:cs="Arial" w:eastAsia="Arial" w:hAnsi="Arial"/>
                <w:sz w:val="20"/>
                <w:szCs w:val="20"/>
                <w:b w:val="1"/>
                <w:bCs w:val="1"/>
                <w:color w:val="auto"/>
              </w:rPr>
              <w:t>Other income, net</w:t>
            </w:r>
          </w:p>
        </w:tc>
        <w:tc>
          <w:tcPr>
            <w:tcW w:w="142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rPr>
              <w:t>13,246</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26,076</w:t>
            </w:r>
          </w:p>
        </w:tc>
      </w:tr>
      <w:tr>
        <w:trPr>
          <w:trHeight w:val="259"/>
        </w:trPr>
        <w:tc>
          <w:tcPr>
            <w:tcW w:w="5440" w:type="dxa"/>
            <w:vAlign w:val="bottom"/>
          </w:tcPr>
          <w:p>
            <w:pPr>
              <w:spacing w:after="0"/>
              <w:rPr>
                <w:sz w:val="20"/>
                <w:szCs w:val="20"/>
                <w:color w:val="auto"/>
              </w:rPr>
            </w:pPr>
            <w:r>
              <w:rPr>
                <w:rFonts w:ascii="Arial" w:cs="Arial" w:eastAsia="Arial" w:hAnsi="Arial"/>
                <w:sz w:val="20"/>
                <w:szCs w:val="20"/>
                <w:b w:val="1"/>
                <w:bCs w:val="1"/>
                <w:color w:val="auto"/>
              </w:rPr>
              <w:t>Segment and consolidated loss before income taxes</w:t>
            </w:r>
          </w:p>
        </w:tc>
        <w:tc>
          <w:tcPr>
            <w:tcW w:w="142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b w:val="1"/>
                <w:bCs w:val="1"/>
                <w:color w:val="auto"/>
              </w:rPr>
              <w:t>(142,761)</w:t>
            </w:r>
          </w:p>
        </w:tc>
        <w:tc>
          <w:tcPr>
            <w:tcW w:w="40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(118,921)</w:t>
            </w:r>
          </w:p>
        </w:tc>
      </w:tr>
    </w:tbl>
    <w:p>
      <w:pPr>
        <w:spacing w:after="0" w:line="177" w:lineRule="exact"/>
        <w:rPr>
          <w:sz w:val="20"/>
          <w:szCs w:val="20"/>
          <w:color w:val="auto"/>
        </w:rPr>
      </w:pPr>
    </w:p>
    <w:p>
      <w:pPr>
        <w:ind w:left="480" w:right="180" w:firstLine="10"/>
        <w:spacing w:after="0" w:line="385" w:lineRule="auto"/>
        <w:tabs>
          <w:tab w:leader="none" w:pos="751"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Other segment expenses include consultants &amp; contractor expense, contra-R&amp;D expense for GSK collaboration, depreciation expense, impairment loss, restructuring expense, and stock-based compensation expense.</w:t>
      </w:r>
    </w:p>
    <w:p>
      <w:pPr>
        <w:sectPr>
          <w:pgSz w:w="12240" w:h="15840" w:orient="portrait"/>
          <w:cols w:equalWidth="0" w:num="1">
            <w:col w:w="9920"/>
          </w:cols>
          <w:pgMar w:left="1440" w:top="1161"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113</w:t>
      </w:r>
    </w:p>
    <w:p>
      <w:pPr>
        <w:sectPr>
          <w:pgSz w:w="12240" w:h="15840" w:orient="portrait"/>
          <w:cols w:equalWidth="0" w:num="1">
            <w:col w:w="9920"/>
          </w:cols>
          <w:pgMar w:left="1440" w:top="1161" w:right="880" w:bottom="181" w:gutter="0" w:footer="0" w:header="0"/>
          <w:type w:val="continuous"/>
        </w:sectPr>
      </w:pPr>
    </w:p>
    <w:bookmarkStart w:id="115" w:name="page116"/>
    <w:bookmarkEnd w:id="115"/>
    <w:p>
      <w:pPr>
        <w:ind w:left="500" w:hanging="500"/>
        <w:spacing w:after="0"/>
        <w:tabs>
          <w:tab w:leader="none" w:pos="5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130" w:lineRule="exact"/>
        <w:rPr>
          <w:rFonts w:ascii="Arial" w:cs="Arial" w:eastAsia="Arial" w:hAnsi="Arial"/>
          <w:sz w:val="20"/>
          <w:szCs w:val="20"/>
          <w:b w:val="1"/>
          <w:bCs w:val="1"/>
          <w:color w:val="auto"/>
        </w:rPr>
      </w:pPr>
    </w:p>
    <w:p>
      <w:pPr>
        <w:ind w:left="480" w:right="160"/>
        <w:spacing w:after="0" w:line="233" w:lineRule="auto"/>
        <w:rPr>
          <w:rFonts w:ascii="Arial" w:cs="Arial" w:eastAsia="Arial" w:hAnsi="Arial"/>
          <w:sz w:val="20"/>
          <w:szCs w:val="20"/>
          <w:b w:val="1"/>
          <w:bCs w:val="1"/>
          <w:color w:val="auto"/>
        </w:rPr>
      </w:pPr>
      <w:r>
        <w:rPr>
          <w:rFonts w:ascii="Arial" w:cs="Arial" w:eastAsia="Arial" w:hAnsi="Arial"/>
          <w:sz w:val="20"/>
          <w:szCs w:val="20"/>
          <w:b w:val="1"/>
          <w:bCs w:val="1"/>
          <w:color w:val="auto"/>
        </w:rPr>
        <w:t>The following tables summarize the Company’s financial assets measured at fair value on a recurring basis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-156845</wp:posOffset>
            </wp:positionV>
            <wp:extent cx="5956935" cy="4353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56935" cy="4353560"/>
                    </a:xfrm>
                    <a:prstGeom prst="rect">
                      <a:avLst/>
                    </a:prstGeom>
                    <a:noFill/>
                  </pic:spPr>
                </pic:pic>
              </a:graphicData>
            </a:graphic>
          </wp:anchor>
        </w:drawing>
      </w:r>
    </w:p>
    <w:p>
      <w:pPr>
        <w:spacing w:after="0" w:line="37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2025</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0"/>
        </w:trPr>
        <w:tc>
          <w:tcPr>
            <w:tcW w:w="27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5"/>
                <w:szCs w:val="15"/>
                <w:color w:val="auto"/>
              </w:rPr>
            </w:pPr>
          </w:p>
        </w:tc>
        <w:tc>
          <w:tcPr>
            <w:tcW w:w="1080" w:type="dxa"/>
            <w:vAlign w:val="bottom"/>
          </w:tcPr>
          <w:p>
            <w:pPr>
              <w:jc w:val="center"/>
              <w:ind w:right="145"/>
              <w:spacing w:after="0" w:line="180" w:lineRule="exact"/>
              <w:rPr>
                <w:sz w:val="20"/>
                <w:szCs w:val="20"/>
                <w:color w:val="auto"/>
              </w:rPr>
            </w:pPr>
            <w:r>
              <w:rPr>
                <w:rFonts w:ascii="Arial" w:cs="Arial" w:eastAsia="Arial" w:hAnsi="Arial"/>
                <w:sz w:val="16"/>
                <w:szCs w:val="16"/>
                <w:b w:val="1"/>
                <w:bCs w:val="1"/>
                <w:color w:val="auto"/>
                <w:w w:val="91"/>
              </w:rPr>
              <w:t>Amortized</w:t>
            </w:r>
          </w:p>
        </w:tc>
        <w:tc>
          <w:tcPr>
            <w:tcW w:w="240" w:type="dxa"/>
            <w:vAlign w:val="bottom"/>
          </w:tcPr>
          <w:p>
            <w:pPr>
              <w:spacing w:after="0"/>
              <w:rPr>
                <w:sz w:val="15"/>
                <w:szCs w:val="15"/>
                <w:color w:val="auto"/>
              </w:rPr>
            </w:pPr>
          </w:p>
        </w:tc>
        <w:tc>
          <w:tcPr>
            <w:tcW w:w="1220" w:type="dxa"/>
            <w:vAlign w:val="bottom"/>
          </w:tcPr>
          <w:p>
            <w:pPr>
              <w:jc w:val="center"/>
              <w:ind w:right="167"/>
              <w:spacing w:after="0" w:line="180" w:lineRule="exact"/>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5"/>
                <w:szCs w:val="15"/>
                <w:color w:val="auto"/>
              </w:rPr>
            </w:pPr>
          </w:p>
        </w:tc>
        <w:tc>
          <w:tcPr>
            <w:tcW w:w="1100" w:type="dxa"/>
            <w:vAlign w:val="bottom"/>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15"/>
                <w:szCs w:val="15"/>
                <w:color w:val="auto"/>
              </w:rPr>
            </w:pPr>
          </w:p>
        </w:tc>
        <w:tc>
          <w:tcPr>
            <w:tcW w:w="1040" w:type="dxa"/>
            <w:vAlign w:val="bottom"/>
          </w:tcPr>
          <w:p>
            <w:pPr>
              <w:jc w:val="center"/>
              <w:ind w:right="25"/>
              <w:spacing w:after="0" w:line="180" w:lineRule="exact"/>
              <w:rPr>
                <w:sz w:val="20"/>
                <w:szCs w:val="20"/>
                <w:color w:val="auto"/>
              </w:rPr>
            </w:pPr>
            <w:r>
              <w:rPr>
                <w:rFonts w:ascii="Arial" w:cs="Arial" w:eastAsia="Arial" w:hAnsi="Arial"/>
                <w:sz w:val="16"/>
                <w:szCs w:val="16"/>
                <w:b w:val="1"/>
                <w:bCs w:val="1"/>
                <w:color w:val="auto"/>
                <w:w w:val="98"/>
              </w:rPr>
              <w:t>Fair Market</w:t>
            </w:r>
          </w:p>
        </w:tc>
      </w:tr>
      <w:tr>
        <w:trPr>
          <w:trHeight w:val="182"/>
        </w:trPr>
        <w:tc>
          <w:tcPr>
            <w:tcW w:w="270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4"/>
              </w:rPr>
              <w:t>Hierarchy</w:t>
            </w:r>
          </w:p>
        </w:tc>
        <w:tc>
          <w:tcPr>
            <w:tcW w:w="300" w:type="dxa"/>
            <w:vAlign w:val="bottom"/>
          </w:tcPr>
          <w:p>
            <w:pPr>
              <w:spacing w:after="0"/>
              <w:rPr>
                <w:sz w:val="15"/>
                <w:szCs w:val="15"/>
                <w:color w:val="auto"/>
              </w:rPr>
            </w:pPr>
          </w:p>
        </w:tc>
        <w:tc>
          <w:tcPr>
            <w:tcW w:w="1080" w:type="dxa"/>
            <w:vAlign w:val="bottom"/>
          </w:tcPr>
          <w:p>
            <w:pPr>
              <w:jc w:val="center"/>
              <w:ind w:right="145"/>
              <w:spacing w:after="0" w:line="182" w:lineRule="exact"/>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5"/>
                <w:szCs w:val="15"/>
                <w:color w:val="auto"/>
              </w:rPr>
            </w:pPr>
          </w:p>
        </w:tc>
        <w:tc>
          <w:tcPr>
            <w:tcW w:w="1220" w:type="dxa"/>
            <w:vAlign w:val="bottom"/>
          </w:tcPr>
          <w:p>
            <w:pPr>
              <w:jc w:val="center"/>
              <w:ind w:right="167"/>
              <w:spacing w:after="0" w:line="182" w:lineRule="exact"/>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5"/>
                <w:szCs w:val="15"/>
                <w:color w:val="auto"/>
              </w:rPr>
            </w:pPr>
          </w:p>
        </w:tc>
        <w:tc>
          <w:tcPr>
            <w:tcW w:w="11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3"/>
              </w:rPr>
              <w:t>Losses</w:t>
            </w:r>
          </w:p>
        </w:tc>
        <w:tc>
          <w:tcPr>
            <w:tcW w:w="260" w:type="dxa"/>
            <w:vAlign w:val="bottom"/>
          </w:tcPr>
          <w:p>
            <w:pPr>
              <w:spacing w:after="0"/>
              <w:rPr>
                <w:sz w:val="15"/>
                <w:szCs w:val="15"/>
                <w:color w:val="auto"/>
              </w:rPr>
            </w:pPr>
          </w:p>
        </w:tc>
        <w:tc>
          <w:tcPr>
            <w:tcW w:w="1040" w:type="dxa"/>
            <w:vAlign w:val="bottom"/>
          </w:tcPr>
          <w:p>
            <w:pPr>
              <w:jc w:val="center"/>
              <w:ind w:right="25"/>
              <w:spacing w:after="0" w:line="182" w:lineRule="exact"/>
              <w:rPr>
                <w:sz w:val="20"/>
                <w:szCs w:val="20"/>
                <w:color w:val="auto"/>
              </w:rPr>
            </w:pPr>
            <w:r>
              <w:rPr>
                <w:rFonts w:ascii="Arial" w:cs="Arial" w:eastAsia="Arial" w:hAnsi="Arial"/>
                <w:sz w:val="16"/>
                <w:szCs w:val="16"/>
                <w:b w:val="1"/>
                <w:bCs w:val="1"/>
                <w:color w:val="auto"/>
                <w:w w:val="93"/>
              </w:rPr>
              <w:t>Value</w:t>
            </w:r>
          </w:p>
        </w:tc>
      </w:tr>
      <w:tr>
        <w:trPr>
          <w:trHeight w:val="180"/>
        </w:trPr>
        <w:tc>
          <w:tcPr>
            <w:tcW w:w="2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07"/>
              <w:spacing w:after="0" w:line="180" w:lineRule="exact"/>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2700" w:type="dxa"/>
            <w:vAlign w:val="bottom"/>
          </w:tcPr>
          <w:p>
            <w:pPr>
              <w:spacing w:after="0" w:line="229" w:lineRule="exact"/>
              <w:rPr>
                <w:sz w:val="20"/>
                <w:szCs w:val="20"/>
                <w:color w:val="auto"/>
              </w:rPr>
            </w:pPr>
            <w:r>
              <w:rPr>
                <w:rFonts w:ascii="Arial" w:cs="Arial" w:eastAsia="Arial" w:hAnsi="Arial"/>
                <w:sz w:val="20"/>
                <w:szCs w:val="20"/>
                <w:b w:val="1"/>
                <w:bCs w:val="1"/>
                <w:color w:val="auto"/>
              </w:rPr>
              <w:t>Money market funds</w:t>
            </w:r>
          </w:p>
        </w:tc>
        <w:tc>
          <w:tcPr>
            <w:tcW w:w="11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Level 1</w:t>
            </w:r>
          </w:p>
        </w:tc>
        <w:tc>
          <w:tcPr>
            <w:tcW w:w="3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36,834</w:t>
            </w:r>
          </w:p>
        </w:tc>
        <w:tc>
          <w:tcPr>
            <w:tcW w:w="2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67"/>
              <w:spacing w:after="0" w:line="229" w:lineRule="exact"/>
              <w:rPr>
                <w:sz w:val="20"/>
                <w:szCs w:val="20"/>
                <w:color w:val="auto"/>
              </w:rPr>
            </w:pPr>
            <w:r>
              <w:rPr>
                <w:rFonts w:ascii="Arial" w:cs="Arial" w:eastAsia="Arial" w:hAnsi="Arial"/>
                <w:sz w:val="20"/>
                <w:szCs w:val="20"/>
                <w:b w:val="1"/>
                <w:bCs w:val="1"/>
                <w:color w:val="auto"/>
              </w:rPr>
              <w:t>—</w:t>
            </w:r>
          </w:p>
        </w:tc>
        <w:tc>
          <w:tcPr>
            <w:tcW w:w="1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ind w:right="80"/>
              <w:spacing w:after="0" w:line="229" w:lineRule="exact"/>
              <w:rPr>
                <w:sz w:val="20"/>
                <w:szCs w:val="20"/>
                <w:color w:val="auto"/>
              </w:rPr>
            </w:pPr>
            <w:r>
              <w:rPr>
                <w:rFonts w:ascii="Arial" w:cs="Arial" w:eastAsia="Arial" w:hAnsi="Arial"/>
                <w:sz w:val="20"/>
                <w:szCs w:val="20"/>
                <w:b w:val="1"/>
                <w:bCs w:val="1"/>
                <w:color w:val="auto"/>
              </w:rPr>
              <w:t>—</w:t>
            </w:r>
          </w:p>
        </w:tc>
        <w:tc>
          <w:tcPr>
            <w:tcW w:w="2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36,834</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U.S. government treasury</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securities</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1</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13,915</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13</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13,928</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Certificates of deposit</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9,468</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7</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9,475</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92,887</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9</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(7)</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92,889</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Corporate bonds</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102,135</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151</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(7)</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102,279</w:t>
            </w:r>
          </w:p>
        </w:tc>
      </w:tr>
      <w:tr>
        <w:trPr>
          <w:trHeight w:val="245"/>
        </w:trPr>
        <w:tc>
          <w:tcPr>
            <w:tcW w:w="2700" w:type="dxa"/>
            <w:vAlign w:val="bottom"/>
          </w:tcPr>
          <w:p>
            <w:pPr>
              <w:ind w:left="200"/>
              <w:spacing w:after="0"/>
              <w:rPr>
                <w:sz w:val="20"/>
                <w:szCs w:val="20"/>
                <w:color w:val="auto"/>
              </w:rPr>
            </w:pPr>
            <w:r>
              <w:rPr>
                <w:rFonts w:ascii="Arial" w:cs="Arial" w:eastAsia="Arial" w:hAnsi="Arial"/>
                <w:sz w:val="20"/>
                <w:szCs w:val="20"/>
                <w:b w:val="1"/>
                <w:bCs w:val="1"/>
                <w:color w:val="auto"/>
                <w:w w:val="96"/>
              </w:rPr>
              <w:t>Total cash equivalents and</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1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255,239</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180</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(14)</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255,405</w:t>
            </w:r>
          </w:p>
        </w:tc>
      </w:tr>
      <w:tr>
        <w:trPr>
          <w:trHeight w:val="458"/>
        </w:trPr>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2024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9"/>
        </w:trPr>
        <w:tc>
          <w:tcPr>
            <w:tcW w:w="27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7"/>
                <w:szCs w:val="17"/>
                <w:color w:val="auto"/>
              </w:rPr>
            </w:pPr>
          </w:p>
        </w:tc>
        <w:tc>
          <w:tcPr>
            <w:tcW w:w="1080" w:type="dxa"/>
            <w:vAlign w:val="bottom"/>
          </w:tcPr>
          <w:p>
            <w:pPr>
              <w:jc w:val="center"/>
              <w:ind w:right="145"/>
              <w:spacing w:after="0"/>
              <w:rPr>
                <w:sz w:val="20"/>
                <w:szCs w:val="20"/>
                <w:color w:val="auto"/>
              </w:rPr>
            </w:pPr>
            <w:r>
              <w:rPr>
                <w:rFonts w:ascii="Arial" w:cs="Arial" w:eastAsia="Arial" w:hAnsi="Arial"/>
                <w:sz w:val="16"/>
                <w:szCs w:val="16"/>
                <w:b w:val="1"/>
                <w:bCs w:val="1"/>
                <w:color w:val="auto"/>
                <w:w w:val="91"/>
              </w:rPr>
              <w:t>Amortized</w:t>
            </w:r>
          </w:p>
        </w:tc>
        <w:tc>
          <w:tcPr>
            <w:tcW w:w="240" w:type="dxa"/>
            <w:vAlign w:val="bottom"/>
          </w:tcPr>
          <w:p>
            <w:pPr>
              <w:spacing w:after="0"/>
              <w:rPr>
                <w:sz w:val="17"/>
                <w:szCs w:val="17"/>
                <w:color w:val="auto"/>
              </w:rPr>
            </w:pPr>
          </w:p>
        </w:tc>
        <w:tc>
          <w:tcPr>
            <w:tcW w:w="1220" w:type="dxa"/>
            <w:vAlign w:val="bottom"/>
          </w:tcPr>
          <w:p>
            <w:pPr>
              <w:jc w:val="center"/>
              <w:ind w:right="167"/>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17"/>
                <w:szCs w:val="17"/>
                <w:color w:val="auto"/>
              </w:rPr>
            </w:pPr>
          </w:p>
        </w:tc>
        <w:tc>
          <w:tcPr>
            <w:tcW w:w="1040" w:type="dxa"/>
            <w:vAlign w:val="bottom"/>
          </w:tcPr>
          <w:p>
            <w:pPr>
              <w:jc w:val="center"/>
              <w:ind w:right="25"/>
              <w:spacing w:after="0"/>
              <w:rPr>
                <w:sz w:val="20"/>
                <w:szCs w:val="20"/>
                <w:color w:val="auto"/>
              </w:rPr>
            </w:pPr>
            <w:r>
              <w:rPr>
                <w:rFonts w:ascii="Arial" w:cs="Arial" w:eastAsia="Arial" w:hAnsi="Arial"/>
                <w:sz w:val="16"/>
                <w:szCs w:val="16"/>
                <w:b w:val="1"/>
                <w:bCs w:val="1"/>
                <w:color w:val="auto"/>
                <w:w w:val="98"/>
              </w:rPr>
              <w:t>Fair Market</w:t>
            </w:r>
          </w:p>
        </w:tc>
      </w:tr>
      <w:tr>
        <w:trPr>
          <w:trHeight w:val="184"/>
        </w:trPr>
        <w:tc>
          <w:tcPr>
            <w:tcW w:w="27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Hierarchy</w:t>
            </w:r>
          </w:p>
        </w:tc>
        <w:tc>
          <w:tcPr>
            <w:tcW w:w="300" w:type="dxa"/>
            <w:vAlign w:val="bottom"/>
          </w:tcPr>
          <w:p>
            <w:pPr>
              <w:spacing w:after="0"/>
              <w:rPr>
                <w:sz w:val="16"/>
                <w:szCs w:val="16"/>
                <w:color w:val="auto"/>
              </w:rPr>
            </w:pPr>
          </w:p>
        </w:tc>
        <w:tc>
          <w:tcPr>
            <w:tcW w:w="1080" w:type="dxa"/>
            <w:vAlign w:val="bottom"/>
          </w:tcPr>
          <w:p>
            <w:pPr>
              <w:jc w:val="center"/>
              <w:ind w:right="145"/>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6"/>
                <w:szCs w:val="16"/>
                <w:color w:val="auto"/>
              </w:rPr>
            </w:pPr>
          </w:p>
        </w:tc>
        <w:tc>
          <w:tcPr>
            <w:tcW w:w="1220" w:type="dxa"/>
            <w:vAlign w:val="bottom"/>
          </w:tcPr>
          <w:p>
            <w:pPr>
              <w:jc w:val="center"/>
              <w:ind w:right="167"/>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Losses</w:t>
            </w:r>
          </w:p>
        </w:tc>
        <w:tc>
          <w:tcPr>
            <w:tcW w:w="260" w:type="dxa"/>
            <w:vAlign w:val="bottom"/>
          </w:tcPr>
          <w:p>
            <w:pPr>
              <w:spacing w:after="0"/>
              <w:rPr>
                <w:sz w:val="16"/>
                <w:szCs w:val="16"/>
                <w:color w:val="auto"/>
              </w:rPr>
            </w:pPr>
          </w:p>
        </w:tc>
        <w:tc>
          <w:tcPr>
            <w:tcW w:w="1040" w:type="dxa"/>
            <w:vAlign w:val="bottom"/>
          </w:tcPr>
          <w:p>
            <w:pPr>
              <w:jc w:val="center"/>
              <w:ind w:right="25"/>
              <w:spacing w:after="0"/>
              <w:rPr>
                <w:sz w:val="20"/>
                <w:szCs w:val="20"/>
                <w:color w:val="auto"/>
              </w:rPr>
            </w:pPr>
            <w:r>
              <w:rPr>
                <w:rFonts w:ascii="Arial" w:cs="Arial" w:eastAsia="Arial" w:hAnsi="Arial"/>
                <w:sz w:val="16"/>
                <w:szCs w:val="16"/>
                <w:b w:val="1"/>
                <w:bCs w:val="1"/>
                <w:color w:val="auto"/>
                <w:w w:val="93"/>
              </w:rPr>
              <w:t>Value</w:t>
            </w:r>
          </w:p>
        </w:tc>
      </w:tr>
      <w:tr>
        <w:trPr>
          <w:trHeight w:val="180"/>
        </w:trPr>
        <w:tc>
          <w:tcPr>
            <w:tcW w:w="27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07"/>
              <w:spacing w:after="0" w:line="180" w:lineRule="exact"/>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29"/>
        </w:trPr>
        <w:tc>
          <w:tcPr>
            <w:tcW w:w="2700" w:type="dxa"/>
            <w:vAlign w:val="bottom"/>
          </w:tcPr>
          <w:p>
            <w:pPr>
              <w:spacing w:after="0" w:line="229" w:lineRule="exact"/>
              <w:rPr>
                <w:sz w:val="20"/>
                <w:szCs w:val="20"/>
                <w:color w:val="auto"/>
              </w:rPr>
            </w:pPr>
            <w:r>
              <w:rPr>
                <w:rFonts w:ascii="Arial" w:cs="Arial" w:eastAsia="Arial" w:hAnsi="Arial"/>
                <w:sz w:val="20"/>
                <w:szCs w:val="20"/>
                <w:b w:val="1"/>
                <w:bCs w:val="1"/>
                <w:color w:val="auto"/>
              </w:rPr>
              <w:t>Money market funds</w:t>
            </w:r>
          </w:p>
        </w:tc>
        <w:tc>
          <w:tcPr>
            <w:tcW w:w="11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Level 1</w:t>
            </w:r>
          </w:p>
        </w:tc>
        <w:tc>
          <w:tcPr>
            <w:tcW w:w="3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31,310</w:t>
            </w:r>
          </w:p>
        </w:tc>
        <w:tc>
          <w:tcPr>
            <w:tcW w:w="2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67"/>
              <w:spacing w:after="0" w:line="229" w:lineRule="exact"/>
              <w:rPr>
                <w:sz w:val="20"/>
                <w:szCs w:val="20"/>
                <w:color w:val="auto"/>
              </w:rPr>
            </w:pPr>
            <w:r>
              <w:rPr>
                <w:rFonts w:ascii="Arial" w:cs="Arial" w:eastAsia="Arial" w:hAnsi="Arial"/>
                <w:sz w:val="20"/>
                <w:szCs w:val="20"/>
                <w:b w:val="1"/>
                <w:bCs w:val="1"/>
                <w:color w:val="auto"/>
              </w:rPr>
              <w:t>—</w:t>
            </w:r>
          </w:p>
        </w:tc>
        <w:tc>
          <w:tcPr>
            <w:tcW w:w="1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ind w:right="80"/>
              <w:spacing w:after="0" w:line="229" w:lineRule="exact"/>
              <w:rPr>
                <w:sz w:val="20"/>
                <w:szCs w:val="20"/>
                <w:color w:val="auto"/>
              </w:rPr>
            </w:pPr>
            <w:r>
              <w:rPr>
                <w:rFonts w:ascii="Arial" w:cs="Arial" w:eastAsia="Arial" w:hAnsi="Arial"/>
                <w:sz w:val="20"/>
                <w:szCs w:val="20"/>
                <w:b w:val="1"/>
                <w:bCs w:val="1"/>
                <w:color w:val="auto"/>
              </w:rPr>
              <w:t>—</w:t>
            </w:r>
          </w:p>
        </w:tc>
        <w:tc>
          <w:tcPr>
            <w:tcW w:w="2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31,310</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U.S. government treasury</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securities</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1</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72,360</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38</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(38)</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72,360</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Certificates of deposit</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15,955</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4</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15,958</w:t>
            </w:r>
          </w:p>
        </w:tc>
      </w:tr>
      <w:tr>
        <w:trPr>
          <w:trHeight w:val="228"/>
        </w:trPr>
        <w:tc>
          <w:tcPr>
            <w:tcW w:w="2700" w:type="dxa"/>
            <w:vAlign w:val="bottom"/>
          </w:tcPr>
          <w:p>
            <w:pPr>
              <w:spacing w:after="0" w:line="228" w:lineRule="exact"/>
              <w:rPr>
                <w:sz w:val="20"/>
                <w:szCs w:val="20"/>
                <w:color w:val="auto"/>
              </w:rPr>
            </w:pPr>
            <w:r>
              <w:rPr>
                <w:rFonts w:ascii="Arial" w:cs="Arial" w:eastAsia="Arial" w:hAnsi="Arial"/>
                <w:sz w:val="20"/>
                <w:szCs w:val="20"/>
                <w:b w:val="1"/>
                <w:bCs w:val="1"/>
                <w:color w:val="auto"/>
              </w:rPr>
              <w:t>Commercial paper</w:t>
            </w:r>
          </w:p>
        </w:tc>
        <w:tc>
          <w:tcPr>
            <w:tcW w:w="11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81,744</w:t>
            </w:r>
          </w:p>
        </w:tc>
        <w:tc>
          <w:tcPr>
            <w:tcW w:w="240" w:type="dxa"/>
            <w:vAlign w:val="bottom"/>
          </w:tcPr>
          <w:p>
            <w:pPr>
              <w:spacing w:after="0"/>
              <w:rPr>
                <w:sz w:val="19"/>
                <w:szCs w:val="19"/>
                <w:color w:val="auto"/>
              </w:rPr>
            </w:pPr>
          </w:p>
        </w:tc>
        <w:tc>
          <w:tcPr>
            <w:tcW w:w="1220" w:type="dxa"/>
            <w:vAlign w:val="bottom"/>
          </w:tcPr>
          <w:p>
            <w:pPr>
              <w:jc w:val="right"/>
              <w:ind w:right="67"/>
              <w:spacing w:after="0" w:line="228" w:lineRule="exact"/>
              <w:rPr>
                <w:sz w:val="20"/>
                <w:szCs w:val="20"/>
                <w:color w:val="auto"/>
              </w:rPr>
            </w:pPr>
            <w:r>
              <w:rPr>
                <w:rFonts w:ascii="Arial" w:cs="Arial" w:eastAsia="Arial" w:hAnsi="Arial"/>
                <w:sz w:val="20"/>
                <w:szCs w:val="20"/>
                <w:b w:val="1"/>
                <w:bCs w:val="1"/>
                <w:color w:val="auto"/>
              </w:rPr>
              <w:t>51</w:t>
            </w:r>
          </w:p>
        </w:tc>
        <w:tc>
          <w:tcPr>
            <w:tcW w:w="180" w:type="dxa"/>
            <w:vAlign w:val="bottom"/>
          </w:tcPr>
          <w:p>
            <w:pPr>
              <w:spacing w:after="0"/>
              <w:rPr>
                <w:sz w:val="19"/>
                <w:szCs w:val="19"/>
                <w:color w:val="auto"/>
              </w:rPr>
            </w:pPr>
          </w:p>
        </w:tc>
        <w:tc>
          <w:tcPr>
            <w:tcW w:w="1100" w:type="dxa"/>
            <w:vAlign w:val="bottom"/>
            <w:gridSpan w:val="2"/>
          </w:tcPr>
          <w:p>
            <w:pPr>
              <w:jc w:val="right"/>
              <w:ind w:right="20"/>
              <w:spacing w:after="0" w:line="228" w:lineRule="exact"/>
              <w:rPr>
                <w:sz w:val="20"/>
                <w:szCs w:val="20"/>
                <w:color w:val="auto"/>
              </w:rPr>
            </w:pPr>
            <w:r>
              <w:rPr>
                <w:rFonts w:ascii="Arial" w:cs="Arial" w:eastAsia="Arial" w:hAnsi="Arial"/>
                <w:sz w:val="20"/>
                <w:szCs w:val="20"/>
                <w:b w:val="1"/>
                <w:bCs w:val="1"/>
                <w:color w:val="auto"/>
              </w:rPr>
              <w:t>(15)</w:t>
            </w:r>
          </w:p>
        </w:tc>
        <w:tc>
          <w:tcPr>
            <w:tcW w:w="26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81,780</w:t>
            </w:r>
          </w:p>
        </w:tc>
      </w:tr>
      <w:tr>
        <w:trPr>
          <w:trHeight w:val="230"/>
        </w:trPr>
        <w:tc>
          <w:tcPr>
            <w:tcW w:w="2700" w:type="dxa"/>
            <w:vAlign w:val="bottom"/>
          </w:tcPr>
          <w:p>
            <w:pPr>
              <w:spacing w:after="0"/>
              <w:rPr>
                <w:sz w:val="20"/>
                <w:szCs w:val="20"/>
                <w:color w:val="auto"/>
              </w:rPr>
            </w:pPr>
            <w:r>
              <w:rPr>
                <w:rFonts w:ascii="Arial" w:cs="Arial" w:eastAsia="Arial" w:hAnsi="Arial"/>
                <w:sz w:val="20"/>
                <w:szCs w:val="20"/>
                <w:b w:val="1"/>
                <w:bCs w:val="1"/>
                <w:color w:val="auto"/>
              </w:rPr>
              <w:t>Corporate bonds</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210,056</w:t>
            </w:r>
          </w:p>
        </w:tc>
        <w:tc>
          <w:tcPr>
            <w:tcW w:w="240" w:type="dxa"/>
            <w:vAlign w:val="bottom"/>
          </w:tcPr>
          <w:p>
            <w:pPr>
              <w:spacing w:after="0"/>
              <w:rPr>
                <w:sz w:val="20"/>
                <w:szCs w:val="20"/>
                <w:color w:val="auto"/>
              </w:rPr>
            </w:pP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301</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(79)</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210,278</w:t>
            </w:r>
          </w:p>
        </w:tc>
      </w:tr>
      <w:tr>
        <w:trPr>
          <w:trHeight w:val="245"/>
        </w:trPr>
        <w:tc>
          <w:tcPr>
            <w:tcW w:w="2700" w:type="dxa"/>
            <w:vAlign w:val="bottom"/>
          </w:tcPr>
          <w:p>
            <w:pPr>
              <w:ind w:left="200"/>
              <w:spacing w:after="0"/>
              <w:rPr>
                <w:sz w:val="20"/>
                <w:szCs w:val="20"/>
                <w:color w:val="auto"/>
              </w:rPr>
            </w:pPr>
            <w:r>
              <w:rPr>
                <w:rFonts w:ascii="Arial" w:cs="Arial" w:eastAsia="Arial" w:hAnsi="Arial"/>
                <w:sz w:val="20"/>
                <w:szCs w:val="20"/>
                <w:b w:val="1"/>
                <w:bCs w:val="1"/>
                <w:color w:val="auto"/>
                <w:w w:val="96"/>
              </w:rPr>
              <w:t>Total cash equivalents and</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1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411,425</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67"/>
              <w:spacing w:after="0"/>
              <w:rPr>
                <w:sz w:val="20"/>
                <w:szCs w:val="20"/>
                <w:color w:val="auto"/>
              </w:rPr>
            </w:pPr>
            <w:r>
              <w:rPr>
                <w:rFonts w:ascii="Arial" w:cs="Arial" w:eastAsia="Arial" w:hAnsi="Arial"/>
                <w:sz w:val="20"/>
                <w:szCs w:val="20"/>
                <w:b w:val="1"/>
                <w:bCs w:val="1"/>
                <w:color w:val="auto"/>
              </w:rPr>
              <w:t>394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(133)</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411,686</w:t>
            </w:r>
          </w:p>
        </w:tc>
      </w:tr>
    </w:tbl>
    <w:p>
      <w:pPr>
        <w:spacing w:after="0" w:line="200" w:lineRule="exact"/>
        <w:rPr>
          <w:sz w:val="20"/>
          <w:szCs w:val="20"/>
          <w:color w:val="auto"/>
        </w:rPr>
      </w:pPr>
    </w:p>
    <w:p>
      <w:pPr>
        <w:spacing w:after="0" w:line="223" w:lineRule="exact"/>
        <w:rPr>
          <w:sz w:val="20"/>
          <w:szCs w:val="20"/>
          <w:color w:val="auto"/>
        </w:rPr>
      </w:pPr>
    </w:p>
    <w:p>
      <w:pPr>
        <w:ind w:left="480"/>
        <w:spacing w:after="0" w:line="241" w:lineRule="auto"/>
        <w:rPr>
          <w:sz w:val="20"/>
          <w:szCs w:val="20"/>
          <w:color w:val="auto"/>
        </w:rPr>
      </w:pPr>
      <w:r>
        <w:rPr>
          <w:rFonts w:ascii="Arial" w:cs="Arial" w:eastAsia="Arial" w:hAnsi="Arial"/>
          <w:sz w:val="18"/>
          <w:szCs w:val="18"/>
          <w:b w:val="1"/>
          <w:bCs w:val="1"/>
          <w:color w:val="auto"/>
        </w:rPr>
        <w:t xml:space="preserve">The Company’s Level 2 </w:t>
      </w:r>
      <w:r>
        <w:rPr>
          <w:rFonts w:ascii="Arial" w:cs="Arial" w:eastAsia="Arial" w:hAnsi="Arial"/>
          <w:sz w:val="18"/>
          <w:szCs w:val="18"/>
          <w:b w:val="1"/>
          <w:bCs w:val="1"/>
          <w:color w:val="auto"/>
          <w:highlight w:val="white"/>
        </w:rPr>
        <w:t>securities</w:t>
      </w:r>
      <w:r>
        <w:rPr>
          <w:sz w:val="1"/>
          <w:szCs w:val="1"/>
          <w:color w:val="auto"/>
        </w:rPr>
        <w:drawing>
          <wp:inline distT="0" distB="0" distL="0" distR="0">
            <wp:extent cx="57150" cy="1524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 cy="152400"/>
                    </a:xfrm>
                    <a:prstGeom prst="rect">
                      <a:avLst/>
                    </a:prstGeom>
                    <a:noFill/>
                    <a:ln>
                      <a:noFill/>
                    </a:ln>
                  </pic:spPr>
                </pic:pic>
              </a:graphicData>
            </a:graphic>
          </wp:inline>
        </w:drawing>
      </w:r>
      <w:r>
        <w:rPr>
          <w:rFonts w:ascii="Arial" w:cs="Arial" w:eastAsia="Arial" w:hAnsi="Arial"/>
          <w:sz w:val="18"/>
          <w:szCs w:val="18"/>
          <w:b w:val="1"/>
          <w:bCs w:val="1"/>
          <w:color w:val="auto"/>
          <w:highlight w:val="white"/>
        </w:rPr>
        <w:t>are valued using third-party pricing sources. The pricing services utilize industry</w:t>
      </w:r>
      <w:r>
        <w:rPr>
          <w:sz w:val="1"/>
          <w:szCs w:val="1"/>
          <w:color w:val="auto"/>
        </w:rPr>
        <w:drawing>
          <wp:inline distT="0" distB="0" distL="0" distR="0">
            <wp:extent cx="59055" cy="1524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55" cy="15240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standard valuation models for which all significant inputs are observable. The Company classifies marketable securities available to fund current operations as current assets. As of December 31, 2025, the remaining contractual</w:t>
      </w:r>
      <w:r>
        <w:rPr>
          <w:sz w:val="1"/>
          <w:szCs w:val="1"/>
          <w:color w:val="auto"/>
        </w:rPr>
        <w:drawing>
          <wp:inline distT="0" distB="0" distL="0" distR="0">
            <wp:extent cx="57150" cy="1524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 cy="15240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maturities of $214.4 million of investments were less than one year and $41.0 million of investments were after one year through two years. The Company does not intend to sell the investments that are currently in an unrealized loss position, and it is highly unlikely that the Company will be required to sell the investments before recovery of their amortized cost basis, which may be at maturity. For the years ended December 31, 2025 and 2024, the Company sold marketable securities for the total proceeds of $3.0 million and $2.6 million for immaterial realized losses or gains based on the specific identification method.</w:t>
      </w:r>
    </w:p>
    <w:p>
      <w:pPr>
        <w:sectPr>
          <w:pgSz w:w="12240" w:h="15840" w:orient="portrait"/>
          <w:cols w:equalWidth="0" w:num="1">
            <w:col w:w="9900"/>
          </w:cols>
          <w:pgMar w:left="1440" w:top="1151" w:right="9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114</w:t>
      </w:r>
    </w:p>
    <w:p>
      <w:pPr>
        <w:sectPr>
          <w:pgSz w:w="12240" w:h="15840" w:orient="portrait"/>
          <w:cols w:equalWidth="0" w:num="1">
            <w:col w:w="9900"/>
          </w:cols>
          <w:pgMar w:left="1440" w:top="1151" w:right="900" w:bottom="181" w:gutter="0" w:footer="0" w:header="0"/>
          <w:type w:val="continuous"/>
        </w:sectPr>
      </w:pPr>
    </w:p>
    <w:bookmarkStart w:id="116" w:name="page117"/>
    <w:bookmarkEnd w:id="116"/>
    <w:p>
      <w:pPr>
        <w:ind w:left="400" w:hanging="400"/>
        <w:spacing w:after="0"/>
        <w:tabs>
          <w:tab w:leader="none" w:pos="4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Contingencies</w:t>
      </w:r>
    </w:p>
    <w:p>
      <w:pPr>
        <w:spacing w:after="0" w:line="129" w:lineRule="exact"/>
        <w:rPr>
          <w:sz w:val="20"/>
          <w:szCs w:val="20"/>
          <w:color w:val="auto"/>
        </w:rPr>
      </w:pPr>
    </w:p>
    <w:p>
      <w:pPr>
        <w:ind w:left="480" w:right="40"/>
        <w:spacing w:after="0" w:line="253" w:lineRule="auto"/>
        <w:rPr>
          <w:sz w:val="20"/>
          <w:szCs w:val="20"/>
          <w:color w:val="auto"/>
        </w:rPr>
      </w:pPr>
      <w:r>
        <w:rPr>
          <w:rFonts w:ascii="Arial" w:cs="Arial" w:eastAsia="Arial" w:hAnsi="Arial"/>
          <w:sz w:val="19"/>
          <w:szCs w:val="19"/>
          <w:b w:val="1"/>
          <w:bCs w:val="1"/>
          <w:color w:val="auto"/>
        </w:rPr>
        <w:t>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December 31, 2025, the Company does not believe that any such matters, individually or in the aggregate, will have a material adverse effect on the Company’s financial position, results of operations or cash flows.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Indemnification</w:t>
      </w:r>
    </w:p>
    <w:p>
      <w:pPr>
        <w:spacing w:after="0" w:line="129" w:lineRule="exact"/>
        <w:rPr>
          <w:sz w:val="20"/>
          <w:szCs w:val="20"/>
          <w:color w:val="auto"/>
        </w:rPr>
      </w:pPr>
    </w:p>
    <w:p>
      <w:pPr>
        <w:ind w:left="480" w:right="80"/>
        <w:spacing w:after="0" w:line="285" w:lineRule="auto"/>
        <w:rPr>
          <w:sz w:val="20"/>
          <w:szCs w:val="20"/>
          <w:color w:val="auto"/>
        </w:rPr>
      </w:pPr>
      <w:r>
        <w:rPr>
          <w:rFonts w:ascii="Arial" w:cs="Arial" w:eastAsia="Arial" w:hAnsi="Arial"/>
          <w:sz w:val="17"/>
          <w:szCs w:val="17"/>
          <w:b w:val="1"/>
          <w:bCs w:val="1"/>
          <w:color w:val="auto"/>
        </w:rPr>
        <w:t>The Company enters into customary indemnification arrangements in the ordinary course of business with vendors, clinical trial sites and other parties. Pursuant to these arrangements, the Company indemnifies, holds harmless and agrees to reimburse the indemnified parties for certain losses suffered or incurred by the indemnified party.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has not recorded a liability related to such indemnification agreements as of December 31, 2025 or 2024. As permitted under Delaware law, the Company has entered into indemnification agreements with its directors and officers that requires it to indemnify its directors and officers against liabilities that may arise by reason of their status or service as directors or officers to the fullest extent permitted by law. The Company also has directors’ and officers’ insurance.</w:t>
      </w:r>
    </w:p>
    <w:p>
      <w:pPr>
        <w:spacing w:after="0" w:line="200" w:lineRule="exact"/>
        <w:rPr>
          <w:sz w:val="20"/>
          <w:szCs w:val="20"/>
          <w:color w:val="auto"/>
        </w:rPr>
      </w:pPr>
    </w:p>
    <w:p>
      <w:pPr>
        <w:spacing w:after="0" w:line="236" w:lineRule="exact"/>
        <w:rPr>
          <w:sz w:val="20"/>
          <w:szCs w:val="20"/>
          <w:color w:val="auto"/>
        </w:rPr>
      </w:pPr>
    </w:p>
    <w:p>
      <w:pPr>
        <w:ind w:left="400" w:hanging="400"/>
        <w:spacing w:after="0"/>
        <w:tabs>
          <w:tab w:leader="none" w:pos="4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Collaboration Agreements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GSK</w:t>
      </w:r>
    </w:p>
    <w:p>
      <w:pPr>
        <w:spacing w:after="0" w:line="131" w:lineRule="exact"/>
        <w:rPr>
          <w:sz w:val="20"/>
          <w:szCs w:val="20"/>
          <w:color w:val="auto"/>
        </w:rPr>
      </w:pPr>
    </w:p>
    <w:p>
      <w:pPr>
        <w:ind w:left="480" w:right="220"/>
        <w:spacing w:after="0" w:line="252" w:lineRule="auto"/>
        <w:rPr>
          <w:sz w:val="20"/>
          <w:szCs w:val="20"/>
          <w:color w:val="auto"/>
        </w:rPr>
      </w:pPr>
      <w:r>
        <w:rPr>
          <w:rFonts w:ascii="Arial" w:cs="Arial" w:eastAsia="Arial" w:hAnsi="Arial"/>
          <w:sz w:val="19"/>
          <w:szCs w:val="19"/>
          <w:b w:val="1"/>
          <w:bCs w:val="1"/>
          <w:color w:val="auto"/>
        </w:rPr>
        <w:t>On July 1, 2021, the Company entered into a Collaboration and License Agreement with Glaxo Wellcome UK Limited, a subsidiary of GlaxoSmithKline plc (GSK), pursuant to which the Company and GSK collaborate on the global development and commercialization of progranulin-elevating monoclonal antibodies, including latozinemab and nivisnebart (formerly AL101/GSK4527226) (GSK Agreement). The GSK Agreement became effective on August 17, 2021.</w:t>
      </w:r>
    </w:p>
    <w:p>
      <w:pPr>
        <w:spacing w:after="0" w:line="123" w:lineRule="exact"/>
        <w:rPr>
          <w:sz w:val="20"/>
          <w:szCs w:val="20"/>
          <w:color w:val="auto"/>
        </w:rPr>
      </w:pPr>
    </w:p>
    <w:p>
      <w:pPr>
        <w:ind w:left="480"/>
        <w:spacing w:after="0" w:line="269" w:lineRule="auto"/>
        <w:rPr>
          <w:sz w:val="20"/>
          <w:szCs w:val="20"/>
          <w:color w:val="auto"/>
        </w:rPr>
      </w:pPr>
      <w:r>
        <w:rPr>
          <w:rFonts w:ascii="Arial" w:cs="Arial" w:eastAsia="Arial" w:hAnsi="Arial"/>
          <w:sz w:val="18"/>
          <w:szCs w:val="18"/>
          <w:b w:val="1"/>
          <w:bCs w:val="1"/>
          <w:color w:val="auto"/>
        </w:rPr>
        <w:t>Under the terms of the GSK Agreement, the Company received $700 million in upfront payments, of which $500 million was received in August 2021 and $200 million was received in January 2022. In addition, the Company may be eligible to receive up to an additional $1.5 billion in clinical development, regulatory, and commercial launch-related milestone payments, subject to successful advancement and commercialization of product candidates in multiple indications under the agreement. In the United States, the Company and GSK will equally share profits and losses from commercialization of product candidates under the agreement. Outside of the United States, the Company will be eligible for double-digit tiered royalties.</w:t>
      </w:r>
    </w:p>
    <w:p>
      <w:pPr>
        <w:spacing w:after="0" w:line="106" w:lineRule="exact"/>
        <w:rPr>
          <w:sz w:val="20"/>
          <w:szCs w:val="20"/>
          <w:color w:val="auto"/>
        </w:rPr>
      </w:pPr>
    </w:p>
    <w:p>
      <w:pPr>
        <w:ind w:left="480" w:right="340"/>
        <w:spacing w:after="0" w:line="252" w:lineRule="auto"/>
        <w:rPr>
          <w:sz w:val="20"/>
          <w:szCs w:val="20"/>
          <w:color w:val="auto"/>
        </w:rPr>
      </w:pPr>
      <w:r>
        <w:rPr>
          <w:rFonts w:ascii="Arial" w:cs="Arial" w:eastAsia="Arial" w:hAnsi="Arial"/>
          <w:sz w:val="19"/>
          <w:szCs w:val="19"/>
          <w:b w:val="1"/>
          <w:bCs w:val="1"/>
          <w:color w:val="auto"/>
        </w:rPr>
        <w:t>The Company and GSK will conduct development jointly, with GSK conducting Phase 3 clinical trials for Alzheimer’s disease, Parkinson’s disease and other non-orphan indications. GSK is conducting the initial Phase 2 trial for nivisnebart in Alzheimer’s disease. Development costs will be shared 60% by GSK and 40% by the Company, except that, subject to the GSK Amendment (defined below), the Company will solely bear the development costs of the initial Phase 2 clinical trials under the development plan, and the parties will share manufacturing development costs equally.</w:t>
      </w:r>
    </w:p>
    <w:p>
      <w:pPr>
        <w:spacing w:after="0" w:line="124" w:lineRule="exact"/>
        <w:rPr>
          <w:sz w:val="20"/>
          <w:szCs w:val="20"/>
          <w:color w:val="auto"/>
        </w:rPr>
      </w:pPr>
    </w:p>
    <w:p>
      <w:pPr>
        <w:ind w:left="480"/>
        <w:spacing w:after="0" w:line="287" w:lineRule="auto"/>
        <w:rPr>
          <w:sz w:val="20"/>
          <w:szCs w:val="20"/>
          <w:color w:val="auto"/>
        </w:rPr>
      </w:pPr>
      <w:r>
        <w:rPr>
          <w:rFonts w:ascii="Arial" w:cs="Arial" w:eastAsia="Arial" w:hAnsi="Arial"/>
          <w:sz w:val="17"/>
          <w:szCs w:val="17"/>
          <w:b w:val="1"/>
          <w:bCs w:val="1"/>
          <w:color w:val="auto"/>
        </w:rPr>
        <w:t>In May 2023, the Company and GSK amended the GSK Agreement (GSK Amendment). Under the terms of the GSK Amendment, the Company is responsible for funding and sharing in GSK’s and the Company’s development costs up to $140.5 million for the conduct of the initial Phase 2 trial for nivisnebart in Alzheimer’s disease. The GSK Amendment was determined to be a contract modification to the GSK Agreement. The expected cost reimbursement to GSK was accounted for as a refund liability, which reduced the transaction price for the GSK Agreement. The refund liability is an estimate of variable consideration calculated as the difference between the Company’s maximum funding of $140.5 million and the Company’s cost budget estimated using the expected value method.</w:t>
      </w:r>
    </w:p>
    <w:p>
      <w:pPr>
        <w:spacing w:after="0" w:line="94" w:lineRule="exact"/>
        <w:rPr>
          <w:sz w:val="20"/>
          <w:szCs w:val="20"/>
          <w:color w:val="auto"/>
        </w:rPr>
      </w:pPr>
    </w:p>
    <w:p>
      <w:pPr>
        <w:ind w:left="480"/>
        <w:spacing w:after="0" w:line="289" w:lineRule="auto"/>
        <w:rPr>
          <w:sz w:val="20"/>
          <w:szCs w:val="20"/>
          <w:color w:val="auto"/>
        </w:rPr>
      </w:pPr>
      <w:r>
        <w:rPr>
          <w:rFonts w:ascii="Arial" w:cs="Arial" w:eastAsia="Arial" w:hAnsi="Arial"/>
          <w:sz w:val="17"/>
          <w:szCs w:val="17"/>
          <w:b w:val="1"/>
          <w:bCs w:val="1"/>
          <w:color w:val="auto"/>
        </w:rPr>
        <w:t>During the three months ended September 30, 2023, as a result of the planned closure of the latozinemab Phase 2 trial and concurrent agreement by the Company to cost-share additional research and development, the Company determined there was a modification of the GSK Agreement, resulting in a decrease of the scope of the performance obligation associated with the latozinemab FTD-C9orf72 Phase 2 trial and an increase in the amount of research and development cost-shared by the Company in future periods. The impact of this additional cost share was accounted</w:t>
      </w:r>
    </w:p>
    <w:p>
      <w:pPr>
        <w:sectPr>
          <w:pgSz w:w="12240" w:h="15840" w:orient="portrait"/>
          <w:cols w:equalWidth="0" w:num="1">
            <w:col w:w="9920"/>
          </w:cols>
          <w:pgMar w:left="1440" w:top="1151" w:right="880" w:bottom="181" w:gutter="0" w:footer="0" w:header="0"/>
        </w:sectPr>
      </w:pP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115</w:t>
      </w:r>
    </w:p>
    <w:p>
      <w:pPr>
        <w:sectPr>
          <w:pgSz w:w="12240" w:h="15840" w:orient="portrait"/>
          <w:cols w:equalWidth="0" w:num="1">
            <w:col w:w="9920"/>
          </w:cols>
          <w:pgMar w:left="1440" w:top="1151" w:right="880" w:bottom="181" w:gutter="0" w:footer="0" w:header="0"/>
          <w:type w:val="continuous"/>
        </w:sectPr>
      </w:pPr>
    </w:p>
    <w:bookmarkStart w:id="117" w:name="page118"/>
    <w:bookmarkEnd w:id="117"/>
    <w:p>
      <w:pPr>
        <w:ind w:left="480" w:right="620"/>
        <w:spacing w:after="0" w:line="234" w:lineRule="auto"/>
        <w:rPr>
          <w:sz w:val="20"/>
          <w:szCs w:val="20"/>
          <w:color w:val="auto"/>
        </w:rPr>
      </w:pPr>
      <w:r>
        <w:rPr>
          <w:rFonts w:ascii="Arial" w:cs="Arial" w:eastAsia="Arial" w:hAnsi="Arial"/>
          <w:sz w:val="20"/>
          <w:szCs w:val="20"/>
          <w:b w:val="1"/>
          <w:bCs w:val="1"/>
          <w:color w:val="auto"/>
        </w:rPr>
        <w:t>for as a refund liability, which reduced the transaction price for the GSK Agreement. The refund liability is an estimate of variable consideration.</w:t>
      </w:r>
    </w:p>
    <w:p>
      <w:pPr>
        <w:spacing w:after="0" w:line="130" w:lineRule="exact"/>
        <w:rPr>
          <w:sz w:val="20"/>
          <w:szCs w:val="20"/>
          <w:color w:val="auto"/>
        </w:rPr>
      </w:pPr>
    </w:p>
    <w:p>
      <w:pPr>
        <w:ind w:left="480" w:right="100"/>
        <w:spacing w:after="0" w:line="270" w:lineRule="auto"/>
        <w:rPr>
          <w:sz w:val="20"/>
          <w:szCs w:val="20"/>
          <w:color w:val="auto"/>
        </w:rPr>
      </w:pPr>
      <w:r>
        <w:rPr>
          <w:rFonts w:ascii="Arial" w:cs="Arial" w:eastAsia="Arial" w:hAnsi="Arial"/>
          <w:sz w:val="18"/>
          <w:szCs w:val="18"/>
          <w:b w:val="1"/>
          <w:bCs w:val="1"/>
          <w:color w:val="auto"/>
        </w:rPr>
        <w:t>The Company concluded that the GSK Agreement is within the scope of ASC 808, Collaborative Arrangements, as both parties are active participants in the activities and are exposed to significant risks and rewards dependent on the success of the commercialization of latozinemab and nivisnebart. Certain elements are required to be accounted for under ASC 606, Revenue From Contracts With Customers, where the counterparty is a customer for a good or service that is a distinct unit of account.</w:t>
      </w:r>
    </w:p>
    <w:p>
      <w:pPr>
        <w:spacing w:after="0" w:line="108" w:lineRule="exact"/>
        <w:rPr>
          <w:sz w:val="20"/>
          <w:szCs w:val="20"/>
          <w:color w:val="auto"/>
        </w:rPr>
      </w:pPr>
    </w:p>
    <w:p>
      <w:pPr>
        <w:ind w:left="480" w:right="260"/>
        <w:spacing w:after="0" w:line="273" w:lineRule="auto"/>
        <w:rPr>
          <w:sz w:val="20"/>
          <w:szCs w:val="20"/>
          <w:color w:val="auto"/>
        </w:rPr>
      </w:pPr>
      <w:r>
        <w:rPr>
          <w:rFonts w:ascii="Arial" w:cs="Arial" w:eastAsia="Arial" w:hAnsi="Arial"/>
          <w:sz w:val="18"/>
          <w:szCs w:val="18"/>
          <w:b w:val="1"/>
          <w:bCs w:val="1"/>
          <w:color w:val="auto"/>
        </w:rPr>
        <w:t>The Company determined that the distinct performance obligations under ASC 606 consisted of: (i) license and know-how to latozinemab FTD-GRN, and (ii) the research and development activities, including license rights and know-how, relating to products in Phase 2 or earlier stages of development.</w:t>
      </w:r>
    </w:p>
    <w:p>
      <w:pPr>
        <w:spacing w:after="0" w:line="102" w:lineRule="exact"/>
        <w:rPr>
          <w:sz w:val="20"/>
          <w:szCs w:val="20"/>
          <w:color w:val="auto"/>
        </w:rPr>
      </w:pPr>
    </w:p>
    <w:p>
      <w:pPr>
        <w:ind w:left="480" w:right="40"/>
        <w:spacing w:after="0" w:line="252" w:lineRule="auto"/>
        <w:rPr>
          <w:sz w:val="20"/>
          <w:szCs w:val="20"/>
          <w:color w:val="auto"/>
        </w:rPr>
      </w:pPr>
      <w:r>
        <w:rPr>
          <w:rFonts w:ascii="Arial" w:cs="Arial" w:eastAsia="Arial" w:hAnsi="Arial"/>
          <w:sz w:val="19"/>
          <w:szCs w:val="19"/>
          <w:b w:val="1"/>
          <w:bCs w:val="1"/>
          <w:color w:val="auto"/>
        </w:rPr>
        <w:t>The transaction price at inception included fixed consideration consisting of the upfront payments of $700 million. The transaction price as of December 31, 2025 was decreased to $568.0 million due to the estimated refund liabilities created from the contract modifications. The Company reassessed the remaining estimated refund liabilities to collaboration partner as of December 31, 2025 to be $11.4 million. All potential future milestones and other payments were considered constrained at the inception of the GSK Agreement and as of December 31, 2025, since the Company could not conclude it was probable that a significant reversal in the amount of revenue recognized would not occur.</w:t>
      </w:r>
    </w:p>
    <w:p>
      <w:pPr>
        <w:spacing w:after="0" w:line="125" w:lineRule="exact"/>
        <w:rPr>
          <w:sz w:val="20"/>
          <w:szCs w:val="20"/>
          <w:color w:val="auto"/>
        </w:rPr>
      </w:pPr>
    </w:p>
    <w:p>
      <w:pPr>
        <w:ind w:left="480" w:right="80"/>
        <w:spacing w:after="0" w:line="284" w:lineRule="auto"/>
        <w:rPr>
          <w:sz w:val="20"/>
          <w:szCs w:val="20"/>
          <w:color w:val="auto"/>
        </w:rPr>
      </w:pPr>
      <w:r>
        <w:rPr>
          <w:rFonts w:ascii="Arial" w:cs="Arial" w:eastAsia="Arial" w:hAnsi="Arial"/>
          <w:sz w:val="17"/>
          <w:szCs w:val="17"/>
          <w:b w:val="1"/>
          <w:bCs w:val="1"/>
          <w:color w:val="auto"/>
        </w:rPr>
        <w:t>The respective standalone value for each of the performance obligations was allocated to the transaction price. The estimated SSP of each performance obligation was determined using discounted cash flows from the expected commercialization of latozinemab and nivisnebart and estimated research and development costs to be incurred by the Company in each of the initial Phase 2 clinical trials. The estimate of SSP for each performance obligation reflects management’s assumptions, which may include forecasted revenues, development timelines, discount rates, and probabilities of technical and regulatory success. For the license for FTD-GRN, the Company determined that GSK could benefit from the license at the time the license was granted and therefore, the related performance obligation was satisfied at a point in time. For the product candidates in Phase 2 or earlier stages of development, the Company determined that GSK could not benefit from the licenses without the corresponding development services that the Company has committed to perform due the earlier stage of development for these licenses. Except where agreed to otherwise, the Company will perform research and development activities through the end of the initial Phase 2 clinical trials. Revenue will be recognized over time as the research and development activities are performed. The Company will measure progress based on actual costs incurred to date compared to the overall total expected costs to satisfy the performance obligations.</w:t>
      </w:r>
    </w:p>
    <w:p>
      <w:pPr>
        <w:spacing w:after="0" w:line="102" w:lineRule="exact"/>
        <w:rPr>
          <w:sz w:val="20"/>
          <w:szCs w:val="20"/>
          <w:color w:val="auto"/>
        </w:rPr>
      </w:pPr>
    </w:p>
    <w:p>
      <w:pPr>
        <w:ind w:left="480"/>
        <w:spacing w:after="0" w:line="285" w:lineRule="auto"/>
        <w:rPr>
          <w:sz w:val="20"/>
          <w:szCs w:val="20"/>
          <w:color w:val="auto"/>
        </w:rPr>
      </w:pPr>
      <w:r>
        <w:rPr>
          <w:rFonts w:ascii="Arial" w:cs="Arial" w:eastAsia="Arial" w:hAnsi="Arial"/>
          <w:sz w:val="17"/>
          <w:szCs w:val="17"/>
          <w:b w:val="1"/>
          <w:bCs w:val="1"/>
          <w:color w:val="auto"/>
        </w:rPr>
        <w:t>The research and development activities for products in Phase 3 clinical development were determined to be within the scope of ASC 808. Both parties will be active participants in the development, manufacturing, and commercialization of the product and are exposed to significant risks and rewards that are dependent on the commercial success of the products. The Company and GSK participate in profit and loss sharing for each program commensurate with each party’s cost-sharing responsibilities during research and development. ASC 808 does not provide recognition and measurement guidance. As such, the Company determined that ASC 730, Research and Development, was appropriate to analogize to based on the nature of the cost-sharing provision of the agreement. The Company has concluded that payments to or reimbursements from GSK related to these services will be accounted for as an increase to or reduction of research and development expenses, respectively.</w:t>
      </w:r>
    </w:p>
    <w:p>
      <w:pPr>
        <w:spacing w:after="0" w:line="100" w:lineRule="exact"/>
        <w:rPr>
          <w:sz w:val="20"/>
          <w:szCs w:val="20"/>
          <w:color w:val="auto"/>
        </w:rPr>
      </w:pPr>
    </w:p>
    <w:p>
      <w:pPr>
        <w:ind w:left="480" w:right="20"/>
        <w:spacing w:after="0" w:line="268" w:lineRule="auto"/>
        <w:rPr>
          <w:sz w:val="20"/>
          <w:szCs w:val="20"/>
          <w:color w:val="auto"/>
        </w:rPr>
      </w:pPr>
      <w:r>
        <w:rPr>
          <w:rFonts w:ascii="Arial" w:cs="Arial" w:eastAsia="Arial" w:hAnsi="Arial"/>
          <w:sz w:val="18"/>
          <w:szCs w:val="18"/>
          <w:b w:val="1"/>
          <w:bCs w:val="1"/>
          <w:color w:val="auto"/>
        </w:rPr>
        <w:t>Collaboration revenue under the GSK Agreement during the year ended December 31, 2025, and 2024, was $21.0 million and $54.1 million, respectively, the entire amount of which was included in deferred revenue at the beginning of the period. The deferred revenue related to the GSK Agreement was $171.2 million and $195.8 million as of December 31, 2025 and 2024. The deferred revenue is expected to be recognized over the research and development period of the programs through the completion of initial Phase 2 clinical trials. For the year ended December 31, 2025, we recorded an $8.9 million increase to collaboration revenue under the GSK Agreement due to a decrease in total expected costs to satisfy the performance obligations for the nivisnebart program. This change in estimate decreased net loss by $8.9 million, or $0.08 per share.</w:t>
      </w:r>
    </w:p>
    <w:p>
      <w:pPr>
        <w:spacing w:after="0" w:line="112" w:lineRule="exact"/>
        <w:rPr>
          <w:sz w:val="20"/>
          <w:szCs w:val="20"/>
          <w:color w:val="auto"/>
        </w:rPr>
      </w:pPr>
    </w:p>
    <w:p>
      <w:pPr>
        <w:ind w:left="480" w:right="60"/>
        <w:spacing w:after="0" w:line="237" w:lineRule="auto"/>
        <w:rPr>
          <w:sz w:val="20"/>
          <w:szCs w:val="20"/>
          <w:color w:val="auto"/>
        </w:rPr>
      </w:pPr>
      <w:r>
        <w:rPr>
          <w:rFonts w:ascii="Arial" w:cs="Arial" w:eastAsia="Arial" w:hAnsi="Arial"/>
          <w:sz w:val="20"/>
          <w:szCs w:val="20"/>
          <w:b w:val="1"/>
          <w:bCs w:val="1"/>
          <w:color w:val="auto"/>
        </w:rPr>
        <w:t>Costs associated with co-development activities performed under the agreement are included in research and development expenses in the consolidated statements of operations, with any reimbursement of costs by GSK reflected as a reduction of such expenses. For the year ended December 31, 2025 and 2024, the Company recognized a reduction of research and development expense of $6.8 million and $23.3 million, respectively, under the GSK Agreement.</w:t>
      </w:r>
    </w:p>
    <w:p>
      <w:pPr>
        <w:sectPr>
          <w:pgSz w:w="12240" w:h="15840" w:orient="portrait"/>
          <w:cols w:equalWidth="0" w:num="1">
            <w:col w:w="9920"/>
          </w:cols>
          <w:pgMar w:left="1440" w:top="1161"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116</w:t>
      </w:r>
    </w:p>
    <w:p>
      <w:pPr>
        <w:sectPr>
          <w:pgSz w:w="12240" w:h="15840" w:orient="portrait"/>
          <w:cols w:equalWidth="0" w:num="1">
            <w:col w:w="9920"/>
          </w:cols>
          <w:pgMar w:left="1440" w:top="1161" w:right="880" w:bottom="181" w:gutter="0" w:footer="0" w:header="0"/>
          <w:type w:val="continuous"/>
        </w:sectPr>
      </w:pPr>
    </w:p>
    <w:bookmarkStart w:id="118" w:name="page119"/>
    <w:bookmarkEnd w:id="118"/>
    <w:p>
      <w:pPr>
        <w:ind w:left="440"/>
        <w:spacing w:after="0"/>
        <w:rPr>
          <w:sz w:val="20"/>
          <w:szCs w:val="20"/>
          <w:color w:val="auto"/>
        </w:rPr>
      </w:pPr>
      <w:r>
        <w:rPr>
          <w:rFonts w:ascii="Arial" w:cs="Arial" w:eastAsia="Arial" w:hAnsi="Arial"/>
          <w:sz w:val="20"/>
          <w:szCs w:val="20"/>
          <w:b w:val="1"/>
          <w:bCs w:val="1"/>
          <w:color w:val="auto"/>
        </w:rPr>
        <w:t>AbbVie</w:t>
      </w:r>
    </w:p>
    <w:p>
      <w:pPr>
        <w:spacing w:after="0" w:line="251" w:lineRule="exact"/>
        <w:rPr>
          <w:sz w:val="20"/>
          <w:szCs w:val="20"/>
          <w:color w:val="auto"/>
        </w:rPr>
      </w:pPr>
    </w:p>
    <w:p>
      <w:pPr>
        <w:ind w:left="440"/>
        <w:spacing w:after="0" w:line="252" w:lineRule="auto"/>
        <w:rPr>
          <w:sz w:val="20"/>
          <w:szCs w:val="20"/>
          <w:color w:val="auto"/>
        </w:rPr>
      </w:pPr>
      <w:r>
        <w:rPr>
          <w:rFonts w:ascii="Arial" w:cs="Arial" w:eastAsia="Arial" w:hAnsi="Arial"/>
          <w:sz w:val="19"/>
          <w:szCs w:val="19"/>
          <w:b w:val="1"/>
          <w:bCs w:val="1"/>
          <w:color w:val="auto"/>
        </w:rPr>
        <w:t>The Company entered into an agreement in October 2017 with AbbVie Biotechnology, Ltd. (AbbVie) to co-develop antibodies to two program targets in preclinical development (AbbVie Agreement). Under the terms of the AbbVie Agreement, AbbVie made $205.0 million in upfront payments, of which $5.0 million and $200.0 million were received by the Company in October 2017 and January 2018, respectively. The Company was to perform research and development services for the two programs through the end of Phase 2 clinical trials, which were each considered to be separate performance obligations.</w:t>
      </w:r>
    </w:p>
    <w:p>
      <w:pPr>
        <w:spacing w:after="0" w:line="243" w:lineRule="exact"/>
        <w:rPr>
          <w:sz w:val="20"/>
          <w:szCs w:val="20"/>
          <w:color w:val="auto"/>
        </w:rPr>
      </w:pPr>
    </w:p>
    <w:p>
      <w:pPr>
        <w:ind w:left="440" w:right="100"/>
        <w:spacing w:after="0" w:line="287" w:lineRule="auto"/>
        <w:rPr>
          <w:sz w:val="20"/>
          <w:szCs w:val="20"/>
          <w:color w:val="auto"/>
        </w:rPr>
      </w:pPr>
      <w:r>
        <w:rPr>
          <w:rFonts w:ascii="Arial" w:cs="Arial" w:eastAsia="Arial" w:hAnsi="Arial"/>
          <w:sz w:val="17"/>
          <w:szCs w:val="17"/>
          <w:b w:val="1"/>
          <w:bCs w:val="1"/>
          <w:color w:val="auto"/>
        </w:rPr>
        <w:t>In 2022, AbbVie decided to terminate one of the two collaboration programs, the CD33 collaboration program. In February 2023, the Company and AbbVie amended the AbbVie Agreement (AbbVie Amendment), which resulted in the Company receiving a $17.8 million milestone payment for the dosing of the first patient in an LTE trial and an additional $12.5 million to support the enrollment of additional patients to replace discontinuations in 2023. In November 2024, we decided to stop the long term extension study of our product candidate AL002 based on the results of the INVOKE-2 Phase 2 clinical trial evaluating the safety and efficacy of AL002 in slowing disease progression in individuals with early AD. AL002 failed to meet the primary endpoint in that trial.</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transaction price as of December 31, 2024 included fixed consideration consisting of the upfront payments of</w:t>
      </w:r>
    </w:p>
    <w:p>
      <w:pPr>
        <w:spacing w:after="0" w:line="35" w:lineRule="exact"/>
        <w:rPr>
          <w:sz w:val="20"/>
          <w:szCs w:val="20"/>
          <w:color w:val="auto"/>
        </w:rPr>
      </w:pPr>
    </w:p>
    <w:p>
      <w:pPr>
        <w:ind w:left="440" w:right="40"/>
        <w:spacing w:after="0" w:line="234" w:lineRule="auto"/>
        <w:rPr>
          <w:sz w:val="20"/>
          <w:szCs w:val="20"/>
          <w:color w:val="auto"/>
        </w:rPr>
      </w:pPr>
      <w:r>
        <w:rPr>
          <w:rFonts w:ascii="Arial" w:cs="Arial" w:eastAsia="Arial" w:hAnsi="Arial"/>
          <w:sz w:val="20"/>
          <w:szCs w:val="20"/>
          <w:b w:val="1"/>
          <w:bCs w:val="1"/>
          <w:color w:val="auto"/>
        </w:rPr>
        <w:t>$205.0 million, the $17.8 million LTE milestone payment, and the $12.5 million payment for enrollment of additional patients.</w:t>
      </w:r>
    </w:p>
    <w:p>
      <w:pPr>
        <w:spacing w:after="0" w:line="252" w:lineRule="exact"/>
        <w:rPr>
          <w:sz w:val="20"/>
          <w:szCs w:val="20"/>
          <w:color w:val="auto"/>
        </w:rPr>
      </w:pPr>
    </w:p>
    <w:p>
      <w:pPr>
        <w:ind w:left="440" w:right="20"/>
        <w:spacing w:after="0" w:line="252" w:lineRule="auto"/>
        <w:rPr>
          <w:sz w:val="20"/>
          <w:szCs w:val="20"/>
          <w:color w:val="auto"/>
        </w:rPr>
      </w:pPr>
      <w:r>
        <w:rPr>
          <w:rFonts w:ascii="Arial" w:cs="Arial" w:eastAsia="Arial" w:hAnsi="Arial"/>
          <w:sz w:val="19"/>
          <w:szCs w:val="19"/>
          <w:b w:val="1"/>
          <w:bCs w:val="1"/>
          <w:color w:val="auto"/>
        </w:rPr>
        <w:t>Collaboration revenue under the AbbVie Agreement during the years ended December 31, 2024 was $46.4 million, all of which was included in deferred revenue at the beginning of the period. Collaboration revenue under the AbbVie Agreement was fully recognized as of December 31, 2024. The performance obligation was satisfied in December 2024, and all remaining deferred revenue has been recognized. In January 2025, AbbVie decided to terminate the TREM2 collaboration program, under which AL002 was being developed, which resulted in termination of the AbbVie Agreement.</w:t>
      </w:r>
    </w:p>
    <w:p>
      <w:pPr>
        <w:spacing w:after="0" w:line="244" w:lineRule="exact"/>
        <w:rPr>
          <w:sz w:val="20"/>
          <w:szCs w:val="20"/>
          <w:color w:val="auto"/>
        </w:rPr>
      </w:pPr>
    </w:p>
    <w:p>
      <w:pPr>
        <w:ind w:left="480" w:right="7020" w:hanging="480"/>
        <w:spacing w:after="0" w:line="430" w:lineRule="auto"/>
        <w:tabs>
          <w:tab w:leader="none" w:pos="49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 Property and Equipment, Net</w:t>
      </w:r>
    </w:p>
    <w:p>
      <w:pPr>
        <w:ind w:left="480"/>
        <w:spacing w:after="0"/>
        <w:rPr>
          <w:rFonts w:ascii="Arial" w:cs="Arial" w:eastAsia="Arial" w:hAnsi="Arial"/>
          <w:sz w:val="17"/>
          <w:szCs w:val="17"/>
          <w:b w:val="1"/>
          <w:bCs w:val="1"/>
          <w:color w:val="auto"/>
        </w:rPr>
      </w:pPr>
      <w:r>
        <w:rPr>
          <w:rFonts w:ascii="Arial" w:cs="Arial" w:eastAsia="Arial" w:hAnsi="Arial"/>
          <w:sz w:val="20"/>
          <w:szCs w:val="20"/>
          <w:b w:val="1"/>
          <w:bCs w:val="1"/>
          <w:color w:val="auto"/>
        </w:rPr>
        <w:t>Property and equipment, net consists of the following:</w:t>
      </w:r>
    </w:p>
    <w:p>
      <w:pPr>
        <w:spacing w:after="0" w:line="396"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20" w:type="dxa"/>
            <w:vAlign w:val="bottom"/>
            <w:gridSpan w:val="3"/>
          </w:tcPr>
          <w:p>
            <w:pPr>
              <w:jc w:val="right"/>
              <w:ind w:right="583"/>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366"/>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840" w:type="dxa"/>
            <w:vAlign w:val="bottom"/>
          </w:tcPr>
          <w:p>
            <w:pPr>
              <w:jc w:val="right"/>
              <w:ind w:right="303"/>
              <w:spacing w:after="0"/>
              <w:rPr>
                <w:sz w:val="20"/>
                <w:szCs w:val="20"/>
                <w:color w:val="auto"/>
              </w:rPr>
            </w:pPr>
            <w:r>
              <w:rPr>
                <w:rFonts w:ascii="Arial" w:cs="Arial" w:eastAsia="Arial" w:hAnsi="Arial"/>
                <w:sz w:val="16"/>
                <w:szCs w:val="16"/>
                <w:b w:val="1"/>
                <w:bCs w:val="1"/>
                <w:color w:val="auto"/>
              </w:rPr>
              <w:t>2024</w:t>
            </w:r>
          </w:p>
        </w:tc>
      </w:tr>
      <w:tr>
        <w:trPr>
          <w:trHeight w:val="199"/>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gridSpan w:val="3"/>
          </w:tcPr>
          <w:p>
            <w:pPr>
              <w:jc w:val="right"/>
              <w:ind w:right="563"/>
              <w:spacing w:after="0"/>
              <w:rPr>
                <w:sz w:val="20"/>
                <w:szCs w:val="20"/>
                <w:color w:val="auto"/>
              </w:rPr>
            </w:pPr>
            <w:r>
              <w:rPr>
                <w:rFonts w:ascii="Arial" w:cs="Arial" w:eastAsia="Arial" w:hAnsi="Arial"/>
                <w:sz w:val="16"/>
                <w:szCs w:val="16"/>
                <w:b w:val="1"/>
                <w:bCs w:val="1"/>
                <w:color w:val="auto"/>
              </w:rPr>
              <w:t>(In thousands)</w:t>
            </w:r>
          </w:p>
        </w:tc>
      </w:tr>
      <w:tr>
        <w:trPr>
          <w:trHeight w:val="229"/>
        </w:trPr>
        <w:tc>
          <w:tcPr>
            <w:tcW w:w="4320" w:type="dxa"/>
            <w:vAlign w:val="bottom"/>
          </w:tcPr>
          <w:p>
            <w:pPr>
              <w:spacing w:after="0" w:line="229" w:lineRule="exact"/>
              <w:rPr>
                <w:sz w:val="20"/>
                <w:szCs w:val="20"/>
                <w:color w:val="auto"/>
              </w:rPr>
            </w:pPr>
            <w:r>
              <w:rPr>
                <w:rFonts w:ascii="Arial" w:cs="Arial" w:eastAsia="Arial" w:hAnsi="Arial"/>
                <w:sz w:val="20"/>
                <w:szCs w:val="20"/>
                <w:b w:val="1"/>
                <w:bCs w:val="1"/>
                <w:color w:val="auto"/>
              </w:rPr>
              <w:t>Computer equipment</w:t>
            </w:r>
          </w:p>
        </w:tc>
        <w:tc>
          <w:tcPr>
            <w:tcW w:w="580" w:type="dxa"/>
            <w:vAlign w:val="bottom"/>
          </w:tcPr>
          <w:p>
            <w:pPr>
              <w:jc w:val="right"/>
              <w:ind w:right="20"/>
              <w:spacing w:after="0" w:line="229"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26"/>
              <w:spacing w:after="0" w:line="229" w:lineRule="exact"/>
              <w:rPr>
                <w:sz w:val="20"/>
                <w:szCs w:val="20"/>
                <w:color w:val="auto"/>
              </w:rPr>
            </w:pPr>
            <w:r>
              <w:rPr>
                <w:rFonts w:ascii="Arial" w:cs="Arial" w:eastAsia="Arial" w:hAnsi="Arial"/>
                <w:sz w:val="20"/>
                <w:szCs w:val="20"/>
                <w:b w:val="1"/>
                <w:bCs w:val="1"/>
                <w:color w:val="auto"/>
              </w:rPr>
              <w:t>2,407</w:t>
            </w:r>
          </w:p>
        </w:tc>
        <w:tc>
          <w:tcPr>
            <w:tcW w:w="280" w:type="dxa"/>
            <w:vAlign w:val="bottom"/>
          </w:tcPr>
          <w:p>
            <w:pPr>
              <w:jc w:val="right"/>
              <w:ind w:right="20"/>
              <w:spacing w:after="0" w:line="22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2,407</w:t>
            </w:r>
          </w:p>
        </w:tc>
      </w:tr>
      <w:tr>
        <w:trPr>
          <w:trHeight w:val="230"/>
        </w:trPr>
        <w:tc>
          <w:tcPr>
            <w:tcW w:w="432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58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20"/>
                <w:szCs w:val="20"/>
                <w:b w:val="1"/>
                <w:bCs w:val="1"/>
                <w:color w:val="auto"/>
              </w:rPr>
              <w:t>2,439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2,439</w:t>
            </w:r>
          </w:p>
        </w:tc>
      </w:tr>
      <w:tr>
        <w:trPr>
          <w:trHeight w:val="230"/>
        </w:trPr>
        <w:tc>
          <w:tcPr>
            <w:tcW w:w="4320" w:type="dxa"/>
            <w:vAlign w:val="bottom"/>
          </w:tcPr>
          <w:p>
            <w:pPr>
              <w:spacing w:after="0"/>
              <w:rPr>
                <w:sz w:val="20"/>
                <w:szCs w:val="20"/>
                <w:color w:val="auto"/>
              </w:rPr>
            </w:pPr>
            <w:r>
              <w:rPr>
                <w:rFonts w:ascii="Arial" w:cs="Arial" w:eastAsia="Arial" w:hAnsi="Arial"/>
                <w:sz w:val="20"/>
                <w:szCs w:val="20"/>
                <w:b w:val="1"/>
                <w:bCs w:val="1"/>
                <w:color w:val="auto"/>
              </w:rPr>
              <w:t>Lab equipment</w:t>
            </w:r>
          </w:p>
        </w:tc>
        <w:tc>
          <w:tcPr>
            <w:tcW w:w="58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20"/>
                <w:szCs w:val="20"/>
                <w:b w:val="1"/>
                <w:bCs w:val="1"/>
                <w:color w:val="auto"/>
              </w:rPr>
              <w:t>18,546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18,884</w:t>
            </w:r>
          </w:p>
        </w:tc>
      </w:tr>
      <w:tr>
        <w:trPr>
          <w:trHeight w:val="228"/>
        </w:trPr>
        <w:tc>
          <w:tcPr>
            <w:tcW w:w="4320" w:type="dxa"/>
            <w:vAlign w:val="bottom"/>
          </w:tcPr>
          <w:p>
            <w:pPr>
              <w:spacing w:after="0" w:line="228" w:lineRule="exact"/>
              <w:rPr>
                <w:sz w:val="20"/>
                <w:szCs w:val="20"/>
                <w:color w:val="auto"/>
              </w:rPr>
            </w:pPr>
            <w:r>
              <w:rPr>
                <w:rFonts w:ascii="Arial" w:cs="Arial" w:eastAsia="Arial" w:hAnsi="Arial"/>
                <w:sz w:val="20"/>
                <w:szCs w:val="20"/>
                <w:b w:val="1"/>
                <w:bCs w:val="1"/>
                <w:color w:val="auto"/>
              </w:rPr>
              <w:t>Leasehold improvements</w:t>
            </w:r>
          </w:p>
        </w:tc>
        <w:tc>
          <w:tcPr>
            <w:tcW w:w="580" w:type="dxa"/>
            <w:vAlign w:val="bottom"/>
          </w:tcPr>
          <w:p>
            <w:pPr>
              <w:spacing w:after="0"/>
              <w:rPr>
                <w:sz w:val="19"/>
                <w:szCs w:val="19"/>
                <w:color w:val="auto"/>
              </w:rPr>
            </w:pPr>
          </w:p>
        </w:tc>
        <w:tc>
          <w:tcPr>
            <w:tcW w:w="900" w:type="dxa"/>
            <w:vAlign w:val="bottom"/>
          </w:tcPr>
          <w:p>
            <w:pPr>
              <w:jc w:val="right"/>
              <w:ind w:right="26"/>
              <w:spacing w:after="0" w:line="228" w:lineRule="exact"/>
              <w:rPr>
                <w:sz w:val="20"/>
                <w:szCs w:val="20"/>
                <w:color w:val="auto"/>
              </w:rPr>
            </w:pPr>
            <w:r>
              <w:rPr>
                <w:rFonts w:ascii="Arial" w:cs="Arial" w:eastAsia="Arial" w:hAnsi="Arial"/>
                <w:sz w:val="20"/>
                <w:szCs w:val="20"/>
                <w:b w:val="1"/>
                <w:bCs w:val="1"/>
                <w:color w:val="auto"/>
              </w:rPr>
              <w:t>24,942</w:t>
            </w:r>
          </w:p>
        </w:tc>
        <w:tc>
          <w:tcPr>
            <w:tcW w:w="28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26,357</w:t>
            </w:r>
          </w:p>
        </w:tc>
      </w:tr>
      <w:tr>
        <w:trPr>
          <w:trHeight w:val="286"/>
        </w:trPr>
        <w:tc>
          <w:tcPr>
            <w:tcW w:w="4320" w:type="dxa"/>
            <w:vAlign w:val="bottom"/>
          </w:tcPr>
          <w:p>
            <w:pPr>
              <w:ind w:left="180"/>
              <w:spacing w:after="0"/>
              <w:rPr>
                <w:sz w:val="20"/>
                <w:szCs w:val="20"/>
                <w:color w:val="auto"/>
              </w:rPr>
            </w:pPr>
            <w:r>
              <w:rPr>
                <w:rFonts w:ascii="Arial" w:cs="Arial" w:eastAsia="Arial" w:hAnsi="Arial"/>
                <w:sz w:val="20"/>
                <w:szCs w:val="20"/>
                <w:b w:val="1"/>
                <w:bCs w:val="1"/>
                <w:color w:val="auto"/>
              </w:rPr>
              <w:t>Property and equipment, gross</w:t>
            </w:r>
          </w:p>
        </w:tc>
        <w:tc>
          <w:tcPr>
            <w:tcW w:w="58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Arial" w:cs="Arial" w:eastAsia="Arial" w:hAnsi="Arial"/>
                <w:sz w:val="20"/>
                <w:szCs w:val="20"/>
                <w:b w:val="1"/>
                <w:bCs w:val="1"/>
                <w:color w:val="auto"/>
              </w:rPr>
              <w:t>48,334</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50,087</w:t>
            </w:r>
          </w:p>
        </w:tc>
      </w:tr>
      <w:tr>
        <w:trPr>
          <w:trHeight w:val="228"/>
        </w:trPr>
        <w:tc>
          <w:tcPr>
            <w:tcW w:w="4320" w:type="dxa"/>
            <w:vAlign w:val="bottom"/>
          </w:tcPr>
          <w:p>
            <w:pPr>
              <w:ind w:left="100"/>
              <w:spacing w:after="0" w:line="228" w:lineRule="exact"/>
              <w:rPr>
                <w:sz w:val="20"/>
                <w:szCs w:val="20"/>
                <w:color w:val="auto"/>
              </w:rPr>
            </w:pPr>
            <w:r>
              <w:rPr>
                <w:rFonts w:ascii="Arial" w:cs="Arial" w:eastAsia="Arial" w:hAnsi="Arial"/>
                <w:sz w:val="20"/>
                <w:szCs w:val="20"/>
                <w:b w:val="1"/>
                <w:bCs w:val="1"/>
                <w:color w:val="auto"/>
                <w:w w:val="90"/>
              </w:rPr>
              <w:t>Less accumulated depreciation and amortization</w:t>
            </w:r>
          </w:p>
        </w:tc>
        <w:tc>
          <w:tcPr>
            <w:tcW w:w="58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(37,493)</w:t>
            </w:r>
          </w:p>
        </w:tc>
        <w:tc>
          <w:tcPr>
            <w:tcW w:w="28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(32,942)</w:t>
            </w:r>
          </w:p>
        </w:tc>
      </w:tr>
      <w:tr>
        <w:trPr>
          <w:trHeight w:val="247"/>
        </w:trPr>
        <w:tc>
          <w:tcPr>
            <w:tcW w:w="4320" w:type="dxa"/>
            <w:vAlign w:val="bottom"/>
          </w:tcPr>
          <w:p>
            <w:pPr>
              <w:ind w:left="140"/>
              <w:spacing w:after="0"/>
              <w:rPr>
                <w:sz w:val="20"/>
                <w:szCs w:val="20"/>
                <w:color w:val="auto"/>
              </w:rPr>
            </w:pPr>
            <w:r>
              <w:rPr>
                <w:rFonts w:ascii="Arial" w:cs="Arial" w:eastAsia="Arial" w:hAnsi="Arial"/>
                <w:sz w:val="20"/>
                <w:szCs w:val="20"/>
                <w:b w:val="1"/>
                <w:bCs w:val="1"/>
                <w:color w:val="auto"/>
              </w:rPr>
              <w:t>Total property and equipment, net</w:t>
            </w:r>
          </w:p>
        </w:tc>
        <w:tc>
          <w:tcPr>
            <w:tcW w:w="58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26"/>
              <w:spacing w:after="0"/>
              <w:rPr>
                <w:sz w:val="20"/>
                <w:szCs w:val="20"/>
                <w:color w:val="auto"/>
              </w:rPr>
            </w:pPr>
            <w:r>
              <w:rPr>
                <w:rFonts w:ascii="Arial" w:cs="Arial" w:eastAsia="Arial" w:hAnsi="Arial"/>
                <w:sz w:val="20"/>
                <w:szCs w:val="20"/>
                <w:b w:val="1"/>
                <w:bCs w:val="1"/>
                <w:color w:val="auto"/>
              </w:rPr>
              <w:t>10,841</w:t>
            </w:r>
          </w:p>
        </w:tc>
        <w:tc>
          <w:tcPr>
            <w:tcW w:w="28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17,145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-1330960</wp:posOffset>
            </wp:positionV>
            <wp:extent cx="4441825" cy="3354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41825" cy="3354070"/>
                    </a:xfrm>
                    <a:prstGeom prst="rect">
                      <a:avLst/>
                    </a:prstGeom>
                    <a:noFill/>
                  </pic:spPr>
                </pic:pic>
              </a:graphicData>
            </a:graphic>
          </wp:anchor>
        </w:drawing>
      </w:r>
    </w:p>
    <w:p>
      <w:pPr>
        <w:spacing w:after="0" w:line="26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Accrued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Accrued liabilities consist of the following:</w:t>
      </w:r>
    </w:p>
    <w:p>
      <w:pPr>
        <w:sectPr>
          <w:pgSz w:w="12240" w:h="15840" w:orient="portrait"/>
          <w:cols w:equalWidth="0" w:num="1">
            <w:col w:w="9940"/>
          </w:cols>
          <w:pgMar w:left="1440" w:top="1151" w:right="8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Accrued employee compensation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5"/>
          <w:szCs w:val="15"/>
          <w:b w:val="1"/>
          <w:bCs w:val="1"/>
          <w:color w:val="auto"/>
        </w:rPr>
        <w:t>Accrued research and development costs</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Accrued professional services</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Other</w:t>
      </w:r>
    </w:p>
    <w:p>
      <w:pPr>
        <w:spacing w:after="0" w:line="29"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auto"/>
        </w:rPr>
        <w:t>Total accrued liabilities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578"/>
        <w:spacing w:after="0"/>
        <w:rPr>
          <w:sz w:val="20"/>
          <w:szCs w:val="20"/>
          <w:color w:val="auto"/>
        </w:rPr>
      </w:pPr>
      <w:r>
        <w:rPr>
          <w:rFonts w:ascii="Arial" w:cs="Arial" w:eastAsia="Arial" w:hAnsi="Arial"/>
          <w:sz w:val="16"/>
          <w:szCs w:val="16"/>
          <w:b w:val="1"/>
          <w:bCs w:val="1"/>
          <w:color w:val="auto"/>
        </w:rPr>
        <w:t>December 31,</w:t>
      </w:r>
    </w:p>
    <w:p>
      <w:pPr>
        <w:spacing w:after="0" w:line="30" w:lineRule="exact"/>
        <w:rPr>
          <w:sz w:val="20"/>
          <w:szCs w:val="20"/>
          <w:color w:val="auto"/>
        </w:rPr>
      </w:pPr>
    </w:p>
    <w:p>
      <w:pPr>
        <w:ind w:left="342"/>
        <w:spacing w:after="0"/>
        <w:tabs>
          <w:tab w:leader="none" w:pos="1542"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7" w:lineRule="exact"/>
        <w:rPr>
          <w:sz w:val="20"/>
          <w:szCs w:val="20"/>
          <w:color w:val="auto"/>
        </w:rPr>
      </w:pPr>
    </w:p>
    <w:p>
      <w:pPr>
        <w:jc w:val="center"/>
        <w:ind w:right="1578"/>
        <w:spacing w:after="0"/>
        <w:rPr>
          <w:sz w:val="20"/>
          <w:szCs w:val="20"/>
          <w:color w:val="auto"/>
        </w:rPr>
      </w:pPr>
      <w:r>
        <w:rPr>
          <w:rFonts w:ascii="Arial" w:cs="Arial" w:eastAsia="Arial" w:hAnsi="Arial"/>
          <w:sz w:val="16"/>
          <w:szCs w:val="16"/>
          <w:b w:val="1"/>
          <w:bCs w:val="1"/>
          <w:color w:val="auto"/>
        </w:rPr>
        <w:t>(In thousands)</w:t>
      </w:r>
    </w:p>
    <w:p>
      <w:pPr>
        <w:ind w:left="462" w:hanging="462"/>
        <w:spacing w:after="0"/>
        <w:tabs>
          <w:tab w:leader="none" w:pos="46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12,941  $</w:t>
      </w:r>
      <w:r>
        <w:rPr>
          <w:rFonts w:ascii="Arial" w:cs="Arial" w:eastAsia="Arial" w:hAnsi="Arial"/>
          <w:sz w:val="15"/>
          <w:szCs w:val="15"/>
          <w:b w:val="1"/>
          <w:bCs w:val="1"/>
          <w:color w:val="auto"/>
        </w:rPr>
        <w:t>18,213</w:t>
      </w:r>
      <w:r>
        <w:rPr>
          <w:rFonts w:ascii="Arial" w:cs="Arial" w:eastAsia="Arial" w:hAnsi="Arial"/>
          <w:sz w:val="1"/>
          <w:szCs w:val="1"/>
          <w:b w:val="1"/>
          <w:bCs w:val="1"/>
          <w:color w:val="auto"/>
        </w:rPr>
        <w:drawing>
          <wp:inline distT="0" distB="0" distL="0" distR="0">
            <wp:extent cx="66675" cy="1619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75" cy="161925"/>
                    </a:xfrm>
                    <a:prstGeom prst="rect">
                      <a:avLst/>
                    </a:prstGeom>
                    <a:noFill/>
                    <a:ln>
                      <a:noFill/>
                    </a:ln>
                  </pic:spPr>
                </pic:pic>
              </a:graphicData>
            </a:graphic>
          </wp:inline>
        </w:drawing>
      </w:r>
    </w:p>
    <w:p>
      <w:pPr>
        <w:ind w:left="562"/>
        <w:spacing w:after="0" w:line="211" w:lineRule="auto"/>
        <w:tabs>
          <w:tab w:leader="none" w:pos="1762" w:val="left"/>
        </w:tabs>
        <w:rPr>
          <w:sz w:val="20"/>
          <w:szCs w:val="20"/>
          <w:color w:val="auto"/>
        </w:rPr>
      </w:pPr>
      <w:r>
        <w:rPr>
          <w:rFonts w:ascii="Arial" w:cs="Arial" w:eastAsia="Arial" w:hAnsi="Arial"/>
          <w:sz w:val="20"/>
          <w:szCs w:val="20"/>
          <w:b w:val="1"/>
          <w:bCs w:val="1"/>
          <w:color w:val="auto"/>
        </w:rPr>
        <w:t>5,565</w:t>
      </w:r>
      <w:r>
        <w:rPr>
          <w:sz w:val="20"/>
          <w:szCs w:val="20"/>
          <w:color w:val="auto"/>
        </w:rPr>
        <w:tab/>
      </w:r>
      <w:r>
        <w:rPr>
          <w:rFonts w:ascii="Arial" w:cs="Arial" w:eastAsia="Arial" w:hAnsi="Arial"/>
          <w:sz w:val="20"/>
          <w:szCs w:val="20"/>
          <w:b w:val="1"/>
          <w:bCs w:val="1"/>
          <w:color w:val="auto"/>
        </w:rPr>
        <w:t>8,977</w:t>
      </w:r>
    </w:p>
    <w:p>
      <w:pPr>
        <w:ind w:left="1782" w:hanging="1067"/>
        <w:spacing w:after="0"/>
        <w:tabs>
          <w:tab w:leader="none" w:pos="1782"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1,218</w:t>
      </w:r>
      <w:r>
        <w:rPr>
          <w:rFonts w:ascii="Arial" w:cs="Arial" w:eastAsia="Arial" w:hAnsi="Arial"/>
          <w:sz w:val="1"/>
          <w:szCs w:val="1"/>
          <w:b w:val="1"/>
          <w:bCs w:val="1"/>
          <w:color w:val="auto"/>
        </w:rPr>
        <w:drawing>
          <wp:inline distT="0" distB="0" distL="0" distR="0">
            <wp:extent cx="66675" cy="1524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75" cy="152400"/>
                    </a:xfrm>
                    <a:prstGeom prst="rect">
                      <a:avLst/>
                    </a:prstGeom>
                    <a:noFill/>
                    <a:ln>
                      <a:noFill/>
                    </a:ln>
                  </pic:spPr>
                </pic:pic>
              </a:graphicData>
            </a:graphic>
          </wp:inline>
        </w:drawing>
      </w:r>
    </w:p>
    <w:p>
      <w:pPr>
        <w:ind w:left="1922" w:hanging="1207"/>
        <w:spacing w:after="0"/>
        <w:tabs>
          <w:tab w:leader="none" w:pos="1922"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482</w:t>
      </w:r>
      <w:r>
        <w:rPr>
          <w:rFonts w:ascii="Arial" w:cs="Arial" w:eastAsia="Arial" w:hAnsi="Arial"/>
          <w:sz w:val="1"/>
          <w:szCs w:val="1"/>
          <w:b w:val="1"/>
          <w:bCs w:val="1"/>
          <w:color w:val="auto"/>
        </w:rPr>
        <w:drawing>
          <wp:inline distT="0" distB="0" distL="0" distR="0">
            <wp:extent cx="66675" cy="1619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 cy="161925"/>
                    </a:xfrm>
                    <a:prstGeom prst="rect">
                      <a:avLst/>
                    </a:prstGeom>
                    <a:noFill/>
                    <a:ln>
                      <a:noFill/>
                    </a:ln>
                  </pic:spPr>
                </pic:pic>
              </a:graphicData>
            </a:graphic>
          </wp:inline>
        </w:drawing>
      </w:r>
    </w:p>
    <w:p>
      <w:pPr>
        <w:spacing w:after="0" w:line="8" w:lineRule="exact"/>
        <w:rPr>
          <w:sz w:val="20"/>
          <w:szCs w:val="20"/>
          <w:color w:val="auto"/>
        </w:rPr>
      </w:pPr>
    </w:p>
    <w:p>
      <w:pPr>
        <w:ind w:left="2"/>
        <w:spacing w:after="0"/>
        <w:tabs>
          <w:tab w:leader="none" w:pos="442" w:val="left"/>
          <w:tab w:leader="none" w:pos="1202" w:val="left"/>
          <w:tab w:leader="none" w:pos="1662"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19,299</w:t>
        <w:tab/>
        <w:t>$</w:t>
      </w:r>
      <w:r>
        <w:rPr>
          <w:sz w:val="20"/>
          <w:szCs w:val="20"/>
          <w:color w:val="auto"/>
        </w:rPr>
        <w:tab/>
      </w:r>
      <w:r>
        <w:rPr>
          <w:rFonts w:ascii="Arial" w:cs="Arial" w:eastAsia="Arial" w:hAnsi="Arial"/>
          <w:sz w:val="18"/>
          <w:szCs w:val="18"/>
          <w:b w:val="1"/>
          <w:bCs w:val="1"/>
          <w:color w:val="auto"/>
        </w:rPr>
        <w:t>28,890</w:t>
      </w:r>
    </w:p>
    <w:p>
      <w:pPr>
        <w:spacing w:after="0" w:line="200" w:lineRule="exact"/>
        <w:rPr>
          <w:sz w:val="20"/>
          <w:szCs w:val="20"/>
          <w:color w:val="auto"/>
        </w:rPr>
      </w:pPr>
    </w:p>
    <w:p>
      <w:pPr>
        <w:sectPr>
          <w:pgSz w:w="12240" w:h="15840" w:orient="portrait"/>
          <w:cols w:equalWidth="0" w:num="2">
            <w:col w:w="5418" w:space="720"/>
            <w:col w:w="3802"/>
          </w:cols>
          <w:pgMar w:left="1440" w:top="1151" w:right="860" w:bottom="181"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117</w:t>
      </w:r>
    </w:p>
    <w:p>
      <w:pPr>
        <w:sectPr>
          <w:pgSz w:w="12240" w:h="15840" w:orient="portrait"/>
          <w:cols w:equalWidth="0" w:num="1">
            <w:col w:w="9940"/>
          </w:cols>
          <w:pgMar w:left="1440" w:top="1151" w:right="860" w:bottom="181"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hanging="460"/>
        <w:spacing w:after="0"/>
        <w:tabs>
          <w:tab w:leader="none" w:pos="4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131" w:lineRule="exact"/>
        <w:rPr>
          <w:sz w:val="20"/>
          <w:szCs w:val="20"/>
          <w:color w:val="auto"/>
        </w:rPr>
      </w:pPr>
    </w:p>
    <w:p>
      <w:pPr>
        <w:ind w:left="480" w:right="40"/>
        <w:spacing w:after="0" w:line="268" w:lineRule="auto"/>
        <w:rPr>
          <w:sz w:val="20"/>
          <w:szCs w:val="20"/>
          <w:color w:val="auto"/>
        </w:rPr>
      </w:pPr>
      <w:r>
        <w:rPr>
          <w:rFonts w:ascii="Arial" w:cs="Arial" w:eastAsia="Arial" w:hAnsi="Arial"/>
          <w:sz w:val="18"/>
          <w:szCs w:val="18"/>
          <w:b w:val="1"/>
          <w:bCs w:val="1"/>
          <w:color w:val="auto"/>
        </w:rPr>
        <w:t>In June 2018, the Company signed a lease agreement to lease approximately 105,000 square feet in office and laboratory space in South San Francisco which serves as the Company’s headquarters (the Headquarters). The lease expires in 2029 with an option to renew for a period of ten years. The landlord paid for $15.7 million of tenant improvements. In connection with the lease, the Company entered into a letter of credit arrangement in the amount of $1.5 million as collateral for the lease, which is classified as restricted cash on the consolidated balance sheets. In October 2020, the Company signed a lease agreement to lease approximately 18,700 square feet of office and laboratory space in Newark, California. The lease term ends on February 6, 2028 with an option to extend for an additional five years. The landlord is obligated to pay for up to $0.4 million of tenant improvements. The measurement of the lease liabilities for the leases excludes the options to extend the term of the lease as such extensions are not reasonably certain to occur. Variable lease costs for all of the Company’s leases consist of operating expenses for the spaces.</w:t>
      </w:r>
    </w:p>
    <w:p>
      <w:pPr>
        <w:spacing w:after="0" w:line="107" w:lineRule="exact"/>
        <w:rPr>
          <w:sz w:val="20"/>
          <w:szCs w:val="20"/>
          <w:color w:val="auto"/>
        </w:rPr>
      </w:pPr>
    </w:p>
    <w:p>
      <w:pPr>
        <w:ind w:left="480" w:right="660"/>
        <w:spacing w:after="0" w:line="234" w:lineRule="auto"/>
        <w:rPr>
          <w:sz w:val="20"/>
          <w:szCs w:val="20"/>
          <w:color w:val="auto"/>
        </w:rPr>
      </w:pPr>
      <w:r>
        <w:rPr>
          <w:rFonts w:ascii="Arial" w:cs="Arial" w:eastAsia="Arial" w:hAnsi="Arial"/>
          <w:sz w:val="20"/>
          <w:szCs w:val="20"/>
          <w:b w:val="1"/>
          <w:bCs w:val="1"/>
          <w:color w:val="auto"/>
        </w:rPr>
        <w:t>In October 2023, the Company entered into an agreement to sublease approximately 13,250 square feet of the Headquarters. This sublease expired in November 2024.</w:t>
      </w:r>
    </w:p>
    <w:p>
      <w:pPr>
        <w:spacing w:after="0" w:line="132" w:lineRule="exact"/>
        <w:rPr>
          <w:sz w:val="20"/>
          <w:szCs w:val="20"/>
          <w:color w:val="auto"/>
        </w:rPr>
      </w:pPr>
    </w:p>
    <w:p>
      <w:pPr>
        <w:ind w:left="480" w:right="240"/>
        <w:spacing w:after="0" w:line="236" w:lineRule="auto"/>
        <w:rPr>
          <w:sz w:val="20"/>
          <w:szCs w:val="20"/>
          <w:color w:val="auto"/>
        </w:rPr>
      </w:pPr>
      <w:r>
        <w:rPr>
          <w:rFonts w:ascii="Arial" w:cs="Arial" w:eastAsia="Arial" w:hAnsi="Arial"/>
          <w:sz w:val="20"/>
          <w:szCs w:val="20"/>
          <w:b w:val="1"/>
          <w:bCs w:val="1"/>
          <w:color w:val="auto"/>
        </w:rPr>
        <w:t>In February 2023, the Company entered into an agreement to sublease approximately 9,300 square feet of the Headquarters. This sublease expired in July 2025. The sublessee paid its proportionate share of operating expenses for the space.</w:t>
      </w:r>
    </w:p>
    <w:p>
      <w:pPr>
        <w:spacing w:after="0" w:line="133" w:lineRule="exact"/>
        <w:rPr>
          <w:sz w:val="20"/>
          <w:szCs w:val="20"/>
          <w:color w:val="auto"/>
        </w:rPr>
      </w:pPr>
    </w:p>
    <w:p>
      <w:pPr>
        <w:ind w:left="480"/>
        <w:spacing w:after="0" w:line="252" w:lineRule="auto"/>
        <w:rPr>
          <w:sz w:val="20"/>
          <w:szCs w:val="20"/>
          <w:color w:val="auto"/>
        </w:rPr>
      </w:pPr>
      <w:r>
        <w:rPr>
          <w:rFonts w:ascii="Arial" w:cs="Arial" w:eastAsia="Arial" w:hAnsi="Arial"/>
          <w:sz w:val="19"/>
          <w:szCs w:val="19"/>
          <w:b w:val="1"/>
          <w:bCs w:val="1"/>
          <w:color w:val="auto"/>
        </w:rPr>
        <w:t>In August 2024, the Company approved a plan to transition operations from its laboratory and office space in Newark, California to its South San Francisco headquarters. The Company recorded an impairment loss of $1.1 million and $2.2 million in general and administrative expenses to write-down the right-of-use asset and the leasehold improvements for the year ended December 31, 2025 and 2024.</w:t>
      </w:r>
    </w:p>
    <w:p>
      <w:pPr>
        <w:spacing w:after="0" w:line="122" w:lineRule="exact"/>
        <w:rPr>
          <w:sz w:val="20"/>
          <w:szCs w:val="20"/>
          <w:color w:val="auto"/>
        </w:rPr>
      </w:pPr>
    </w:p>
    <w:p>
      <w:pPr>
        <w:ind w:left="480" w:right="180"/>
        <w:spacing w:after="0" w:line="353" w:lineRule="auto"/>
        <w:rPr>
          <w:sz w:val="20"/>
          <w:szCs w:val="20"/>
          <w:color w:val="auto"/>
        </w:rPr>
      </w:pPr>
      <w:r>
        <w:rPr>
          <w:rFonts w:ascii="Arial" w:cs="Arial" w:eastAsia="Arial" w:hAnsi="Arial"/>
          <w:sz w:val="15"/>
          <w:szCs w:val="15"/>
          <w:b w:val="1"/>
          <w:bCs w:val="1"/>
          <w:color w:val="auto"/>
        </w:rPr>
        <w:t>In February 2025, the Company entered into an agreement to sublease approximately 13,000 square feet of the Headquarters. In August 2025, the subleased area was expanded to approximately 15,200 square feet. This sublease will expire in March 2029, and the sublessee pays its proportionate share of operating expenses for the space.</w:t>
      </w:r>
    </w:p>
    <w:p>
      <w:pPr>
        <w:spacing w:after="0" w:line="48" w:lineRule="exact"/>
        <w:rPr>
          <w:sz w:val="20"/>
          <w:szCs w:val="20"/>
          <w:color w:val="auto"/>
        </w:rPr>
      </w:pPr>
    </w:p>
    <w:p>
      <w:pPr>
        <w:ind w:left="480" w:right="580"/>
        <w:spacing w:after="0" w:line="234" w:lineRule="auto"/>
        <w:rPr>
          <w:sz w:val="20"/>
          <w:szCs w:val="20"/>
          <w:color w:val="auto"/>
        </w:rPr>
      </w:pPr>
      <w:r>
        <w:rPr>
          <w:rFonts w:ascii="Arial" w:cs="Arial" w:eastAsia="Arial" w:hAnsi="Arial"/>
          <w:sz w:val="20"/>
          <w:szCs w:val="20"/>
          <w:b w:val="1"/>
          <w:bCs w:val="1"/>
          <w:color w:val="auto"/>
        </w:rPr>
        <w:t>In December 2025, the Company entered into an agreement to sublease approximately 7,700 square feet of the Headquarters. This sublease will expire in July 2027.</w:t>
      </w:r>
    </w:p>
    <w:p>
      <w:pPr>
        <w:spacing w:after="0" w:line="132" w:lineRule="exact"/>
        <w:rPr>
          <w:sz w:val="20"/>
          <w:szCs w:val="20"/>
          <w:color w:val="auto"/>
        </w:rPr>
      </w:pPr>
    </w:p>
    <w:p>
      <w:pPr>
        <w:ind w:left="480" w:right="240"/>
        <w:spacing w:after="0" w:line="253" w:lineRule="auto"/>
        <w:rPr>
          <w:sz w:val="20"/>
          <w:szCs w:val="20"/>
          <w:color w:val="auto"/>
        </w:rPr>
      </w:pPr>
      <w:r>
        <w:rPr>
          <w:rFonts w:ascii="Arial" w:cs="Arial" w:eastAsia="Arial" w:hAnsi="Arial"/>
          <w:sz w:val="19"/>
          <w:szCs w:val="19"/>
          <w:b w:val="1"/>
          <w:bCs w:val="1"/>
          <w:color w:val="auto"/>
        </w:rPr>
        <w:t>For the year ended December 31, 2025, the Company recorded an impairment loss of $1.8 million related to the subleased space at its Headquarters, which was included in general and administrative expenses, to write-down the associated right-of-use asset and the 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55880</wp:posOffset>
            </wp:positionV>
            <wp:extent cx="5764530" cy="20980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4530" cy="2098040"/>
                    </a:xfrm>
                    <a:prstGeom prst="rect">
                      <a:avLst/>
                    </a:prstGeom>
                    <a:noFill/>
                  </pic:spPr>
                </pic:pic>
              </a:graphicData>
            </a:graphic>
          </wp:anchor>
        </w:drawing>
      </w:r>
    </w:p>
    <w:p>
      <w:pPr>
        <w:spacing w:after="0" w:line="9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components of lease expense were as follows:</w:t>
      </w:r>
    </w:p>
    <w:p>
      <w:pPr>
        <w:spacing w:after="0" w:line="200" w:lineRule="exact"/>
        <w:rPr>
          <w:sz w:val="20"/>
          <w:szCs w:val="20"/>
          <w:color w:val="auto"/>
        </w:rPr>
      </w:pP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6"/>
                <w:szCs w:val="16"/>
                <w:color w:val="auto"/>
              </w:rPr>
            </w:pPr>
          </w:p>
        </w:tc>
      </w:tr>
      <w:tr>
        <w:trPr>
          <w:trHeight w:val="211"/>
        </w:trPr>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ind w:right="52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8"/>
                <w:szCs w:val="18"/>
                <w:color w:val="auto"/>
              </w:rPr>
            </w:pPr>
          </w:p>
        </w:tc>
        <w:tc>
          <w:tcPr>
            <w:tcW w:w="900" w:type="dxa"/>
            <w:vAlign w:val="bottom"/>
          </w:tcPr>
          <w:p>
            <w:pPr>
              <w:jc w:val="right"/>
              <w:ind w:right="444"/>
              <w:spacing w:after="0"/>
              <w:rPr>
                <w:sz w:val="20"/>
                <w:szCs w:val="20"/>
                <w:color w:val="auto"/>
              </w:rPr>
            </w:pPr>
            <w:r>
              <w:rPr>
                <w:rFonts w:ascii="Arial" w:cs="Arial" w:eastAsia="Arial" w:hAnsi="Arial"/>
                <w:sz w:val="16"/>
                <w:szCs w:val="16"/>
                <w:b w:val="1"/>
                <w:bCs w:val="1"/>
                <w:color w:val="auto"/>
                <w:w w:val="95"/>
              </w:rPr>
              <w:t>2024</w:t>
            </w:r>
          </w:p>
        </w:tc>
      </w:tr>
      <w:tr>
        <w:trPr>
          <w:trHeight w:val="214"/>
        </w:trPr>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20"/>
                <w:szCs w:val="20"/>
                <w:b w:val="1"/>
                <w:bCs w:val="1"/>
                <w:color w:val="auto"/>
              </w:rPr>
              <w:t>Operating lease cost</w:t>
            </w:r>
          </w:p>
        </w:tc>
        <w:tc>
          <w:tcPr>
            <w:tcW w:w="480" w:type="dxa"/>
            <w:vAlign w:val="bottom"/>
          </w:tcPr>
          <w:p>
            <w:pPr>
              <w:jc w:val="right"/>
              <w:ind w:right="8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69"/>
              <w:spacing w:after="0"/>
              <w:rPr>
                <w:sz w:val="20"/>
                <w:szCs w:val="20"/>
                <w:color w:val="auto"/>
              </w:rPr>
            </w:pPr>
            <w:r>
              <w:rPr>
                <w:rFonts w:ascii="Arial" w:cs="Arial" w:eastAsia="Arial" w:hAnsi="Arial"/>
                <w:sz w:val="20"/>
                <w:szCs w:val="20"/>
                <w:b w:val="1"/>
                <w:bCs w:val="1"/>
                <w:color w:val="auto"/>
              </w:rPr>
              <w:t>6,499</w:t>
            </w:r>
          </w:p>
        </w:tc>
        <w:tc>
          <w:tcPr>
            <w:tcW w:w="480" w:type="dxa"/>
            <w:vAlign w:val="bottom"/>
          </w:tcPr>
          <w:p>
            <w:pPr>
              <w:jc w:val="right"/>
              <w:ind w:right="20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6,494</w:t>
            </w:r>
          </w:p>
        </w:tc>
      </w:tr>
      <w:tr>
        <w:trPr>
          <w:trHeight w:val="245"/>
        </w:trPr>
        <w:tc>
          <w:tcPr>
            <w:tcW w:w="4060" w:type="dxa"/>
            <w:vAlign w:val="bottom"/>
          </w:tcPr>
          <w:p>
            <w:pPr>
              <w:spacing w:after="0"/>
              <w:rPr>
                <w:sz w:val="20"/>
                <w:szCs w:val="20"/>
                <w:color w:val="auto"/>
              </w:rPr>
            </w:pPr>
            <w:r>
              <w:rPr>
                <w:rFonts w:ascii="Arial" w:cs="Arial" w:eastAsia="Arial" w:hAnsi="Arial"/>
                <w:sz w:val="20"/>
                <w:szCs w:val="20"/>
                <w:b w:val="1"/>
                <w:bCs w:val="1"/>
                <w:color w:val="auto"/>
              </w:rPr>
              <w:t>Variable lease cost</w:t>
            </w:r>
          </w:p>
        </w:tc>
        <w:tc>
          <w:tcPr>
            <w:tcW w:w="480" w:type="dxa"/>
            <w:vAlign w:val="bottom"/>
          </w:tcPr>
          <w:p>
            <w:pPr>
              <w:spacing w:after="0"/>
              <w:rPr>
                <w:sz w:val="21"/>
                <w:szCs w:val="21"/>
                <w:color w:val="auto"/>
              </w:rPr>
            </w:pPr>
          </w:p>
        </w:tc>
        <w:tc>
          <w:tcPr>
            <w:tcW w:w="1120" w:type="dxa"/>
            <w:vAlign w:val="bottom"/>
          </w:tcPr>
          <w:p>
            <w:pPr>
              <w:jc w:val="right"/>
              <w:ind w:right="69"/>
              <w:spacing w:after="0"/>
              <w:rPr>
                <w:sz w:val="20"/>
                <w:szCs w:val="20"/>
                <w:color w:val="auto"/>
              </w:rPr>
            </w:pPr>
            <w:r>
              <w:rPr>
                <w:rFonts w:ascii="Arial" w:cs="Arial" w:eastAsia="Arial" w:hAnsi="Arial"/>
                <w:sz w:val="20"/>
                <w:szCs w:val="20"/>
                <w:b w:val="1"/>
                <w:bCs w:val="1"/>
                <w:color w:val="auto"/>
              </w:rPr>
              <w:t>3,674</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3,410</w:t>
            </w:r>
          </w:p>
        </w:tc>
      </w:tr>
      <w:tr>
        <w:trPr>
          <w:trHeight w:val="245"/>
        </w:trPr>
        <w:tc>
          <w:tcPr>
            <w:tcW w:w="4060" w:type="dxa"/>
            <w:vAlign w:val="bottom"/>
          </w:tcPr>
          <w:p>
            <w:pPr>
              <w:spacing w:after="0"/>
              <w:rPr>
                <w:sz w:val="20"/>
                <w:szCs w:val="20"/>
                <w:color w:val="auto"/>
              </w:rPr>
            </w:pPr>
            <w:r>
              <w:rPr>
                <w:rFonts w:ascii="Arial" w:cs="Arial" w:eastAsia="Arial" w:hAnsi="Arial"/>
                <w:sz w:val="20"/>
                <w:szCs w:val="20"/>
                <w:b w:val="1"/>
                <w:bCs w:val="1"/>
                <w:color w:val="auto"/>
                <w:w w:val="87"/>
              </w:rPr>
              <w:t>Sublease income and reimbursement of variable</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8"/>
        </w:trPr>
        <w:tc>
          <w:tcPr>
            <w:tcW w:w="4060" w:type="dxa"/>
            <w:vAlign w:val="bottom"/>
          </w:tcPr>
          <w:p>
            <w:pPr>
              <w:spacing w:after="0" w:line="228" w:lineRule="exact"/>
              <w:rPr>
                <w:sz w:val="20"/>
                <w:szCs w:val="20"/>
                <w:color w:val="auto"/>
              </w:rPr>
            </w:pPr>
            <w:r>
              <w:rPr>
                <w:rFonts w:ascii="Arial" w:cs="Arial" w:eastAsia="Arial" w:hAnsi="Arial"/>
                <w:sz w:val="20"/>
                <w:szCs w:val="20"/>
                <w:b w:val="1"/>
                <w:bCs w:val="1"/>
                <w:color w:val="auto"/>
              </w:rPr>
              <w:t>lease cost</w:t>
            </w:r>
          </w:p>
        </w:tc>
        <w:tc>
          <w:tcPr>
            <w:tcW w:w="48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(1,182)</w:t>
            </w:r>
          </w:p>
        </w:tc>
        <w:tc>
          <w:tcPr>
            <w:tcW w:w="48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(2,444)</w:t>
            </w:r>
          </w:p>
        </w:tc>
      </w:tr>
      <w:tr>
        <w:trPr>
          <w:trHeight w:val="259"/>
        </w:trPr>
        <w:tc>
          <w:tcPr>
            <w:tcW w:w="4060" w:type="dxa"/>
            <w:vAlign w:val="bottom"/>
          </w:tcPr>
          <w:p>
            <w:pPr>
              <w:ind w:left="160"/>
              <w:spacing w:after="0"/>
              <w:rPr>
                <w:sz w:val="20"/>
                <w:szCs w:val="20"/>
                <w:color w:val="auto"/>
              </w:rPr>
            </w:pPr>
            <w:r>
              <w:rPr>
                <w:rFonts w:ascii="Arial" w:cs="Arial" w:eastAsia="Arial" w:hAnsi="Arial"/>
                <w:sz w:val="20"/>
                <w:szCs w:val="20"/>
                <w:b w:val="1"/>
                <w:bCs w:val="1"/>
                <w:color w:val="auto"/>
              </w:rPr>
              <w:t>Total</w:t>
            </w:r>
          </w:p>
        </w:tc>
        <w:tc>
          <w:tcPr>
            <w:tcW w:w="480" w:type="dxa"/>
            <w:vAlign w:val="bottom"/>
          </w:tcPr>
          <w:p>
            <w:pPr>
              <w:jc w:val="right"/>
              <w:ind w:right="8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69"/>
              <w:spacing w:after="0"/>
              <w:rPr>
                <w:sz w:val="20"/>
                <w:szCs w:val="20"/>
                <w:color w:val="auto"/>
              </w:rPr>
            </w:pPr>
            <w:r>
              <w:rPr>
                <w:rFonts w:ascii="Arial" w:cs="Arial" w:eastAsia="Arial" w:hAnsi="Arial"/>
                <w:sz w:val="20"/>
                <w:szCs w:val="20"/>
                <w:b w:val="1"/>
                <w:bCs w:val="1"/>
                <w:color w:val="auto"/>
              </w:rPr>
              <w:t>8,991</w:t>
            </w:r>
          </w:p>
        </w:tc>
        <w:tc>
          <w:tcPr>
            <w:tcW w:w="480" w:type="dxa"/>
            <w:vAlign w:val="bottom"/>
          </w:tcPr>
          <w:p>
            <w:pPr>
              <w:jc w:val="right"/>
              <w:ind w:right="20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7,460</w:t>
            </w:r>
          </w:p>
        </w:tc>
      </w:tr>
    </w:tbl>
    <w:p>
      <w:pPr>
        <w:spacing w:after="0" w:line="200" w:lineRule="exact"/>
        <w:rPr>
          <w:sz w:val="20"/>
          <w:szCs w:val="20"/>
          <w:color w:val="auto"/>
        </w:rPr>
      </w:pPr>
    </w:p>
    <w:p>
      <w:pPr>
        <w:spacing w:after="0" w:line="253" w:lineRule="exact"/>
        <w:rPr>
          <w:sz w:val="20"/>
          <w:szCs w:val="20"/>
          <w:color w:val="auto"/>
        </w:rPr>
      </w:pPr>
    </w:p>
    <w:p>
      <w:pPr>
        <w:ind w:left="480" w:right="20"/>
        <w:spacing w:after="0" w:line="253" w:lineRule="auto"/>
        <w:rPr>
          <w:sz w:val="20"/>
          <w:szCs w:val="20"/>
          <w:color w:val="auto"/>
        </w:rPr>
      </w:pPr>
      <w:r>
        <w:rPr>
          <w:rFonts w:ascii="Arial" w:cs="Arial" w:eastAsia="Arial" w:hAnsi="Arial"/>
          <w:sz w:val="15"/>
          <w:szCs w:val="15"/>
          <w:b w:val="1"/>
          <w:bCs w:val="1"/>
          <w:color w:val="auto"/>
        </w:rPr>
        <w:t xml:space="preserve">As of December 31, 2025, the weighted-average remaining lease term for operating leases was 3.2 years and the </w:t>
      </w:r>
      <w:r>
        <w:rPr>
          <w:rFonts w:ascii="Arial" w:cs="Arial" w:eastAsia="Arial" w:hAnsi="Arial"/>
          <w:sz w:val="15"/>
          <w:szCs w:val="15"/>
          <w:b w:val="1"/>
          <w:bCs w:val="1"/>
          <w:color w:val="auto"/>
          <w:highlight w:val="white"/>
        </w:rPr>
        <w:t>weighted-average discount rate was 8.6%. Cash paid for amounts included in the measurement of lease liabilities for</w:t>
      </w:r>
      <w:r>
        <w:rPr>
          <w:sz w:val="1"/>
          <w:szCs w:val="1"/>
          <w:color w:val="auto"/>
        </w:rPr>
        <w:drawing>
          <wp:inline distT="0" distB="0" distL="0" distR="0">
            <wp:extent cx="59055" cy="1619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55" cy="161925"/>
                    </a:xfrm>
                    <a:prstGeom prst="rect">
                      <a:avLst/>
                    </a:prstGeom>
                    <a:noFill/>
                    <a:ln>
                      <a:noFill/>
                    </a:ln>
                  </pic:spPr>
                </pic:pic>
              </a:graphicData>
            </a:graphic>
          </wp:inline>
        </w:drawing>
      </w:r>
    </w:p>
    <w:p>
      <w:pPr>
        <w:sectPr>
          <w:pgSz w:w="12240" w:h="15840" w:orient="portrait"/>
          <w:cols w:equalWidth="0" w:num="1">
            <w:col w:w="9920"/>
          </w:cols>
          <w:pgMar w:left="1440" w:top="1440"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118</w:t>
      </w:r>
    </w:p>
    <w:p>
      <w:pPr>
        <w:sectPr>
          <w:pgSz w:w="12240" w:h="15840" w:orient="portrait"/>
          <w:cols w:equalWidth="0" w:num="1">
            <w:col w:w="9920"/>
          </w:cols>
          <w:pgMar w:left="1440" w:top="1440" w:right="880" w:bottom="181" w:gutter="0" w:footer="0" w:header="0"/>
          <w:type w:val="continuous"/>
        </w:sectPr>
      </w:pPr>
    </w:p>
    <w:bookmarkStart w:id="120" w:name="page121"/>
    <w:bookmarkEnd w:id="120"/>
    <w:p>
      <w:pPr>
        <w:ind w:left="480" w:right="380"/>
        <w:spacing w:after="0" w:line="254" w:lineRule="auto"/>
        <w:rPr>
          <w:sz w:val="20"/>
          <w:szCs w:val="20"/>
          <w:color w:val="auto"/>
        </w:rPr>
      </w:pPr>
      <w:r>
        <w:rPr>
          <w:rFonts w:ascii="Arial" w:cs="Arial" w:eastAsia="Arial" w:hAnsi="Arial"/>
          <w:sz w:val="19"/>
          <w:szCs w:val="19"/>
          <w:b w:val="1"/>
          <w:bCs w:val="1"/>
          <w:color w:val="auto"/>
        </w:rPr>
        <w:t>the year ended December 31, 2025 and 2024 was $9.0 million and $8.7 million, respectively, was included in net cash used in operating activities in our consolidated statements of cash flows.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The following are the lease payments owed under the Company’s operating leases as of December 31, 2025:</w:t>
      </w:r>
    </w:p>
    <w:p>
      <w:pPr>
        <w:spacing w:after="0" w:line="305"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(In thousands)</w:t>
            </w:r>
          </w:p>
        </w:tc>
      </w:tr>
      <w:tr>
        <w:trPr>
          <w:trHeight w:val="258"/>
        </w:trPr>
        <w:tc>
          <w:tcPr>
            <w:tcW w:w="410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1440" w:type="dxa"/>
            <w:vAlign w:val="bottom"/>
          </w:tcPr>
          <w:p>
            <w:pPr>
              <w:jc w:val="right"/>
              <w:ind w:right="167"/>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9,477</w:t>
            </w:r>
          </w:p>
        </w:tc>
      </w:tr>
      <w:tr>
        <w:trPr>
          <w:trHeight w:val="245"/>
        </w:trPr>
        <w:tc>
          <w:tcPr>
            <w:tcW w:w="410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1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9,804</w:t>
            </w:r>
          </w:p>
        </w:tc>
      </w:tr>
      <w:tr>
        <w:trPr>
          <w:trHeight w:val="242"/>
        </w:trPr>
        <w:tc>
          <w:tcPr>
            <w:tcW w:w="410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1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8,969</w:t>
            </w:r>
          </w:p>
        </w:tc>
      </w:tr>
      <w:tr>
        <w:trPr>
          <w:trHeight w:val="245"/>
        </w:trPr>
        <w:tc>
          <w:tcPr>
            <w:tcW w:w="4100" w:type="dxa"/>
            <w:vAlign w:val="bottom"/>
          </w:tcPr>
          <w:p>
            <w:pPr>
              <w:spacing w:after="0"/>
              <w:rPr>
                <w:sz w:val="20"/>
                <w:szCs w:val="20"/>
                <w:color w:val="auto"/>
              </w:rPr>
            </w:pPr>
            <w:r>
              <w:rPr>
                <w:rFonts w:ascii="Arial" w:cs="Arial" w:eastAsia="Arial" w:hAnsi="Arial"/>
                <w:sz w:val="20"/>
                <w:szCs w:val="20"/>
                <w:b w:val="1"/>
                <w:bCs w:val="1"/>
                <w:color w:val="auto"/>
              </w:rPr>
              <w:t>2029</w:t>
            </w:r>
          </w:p>
        </w:tc>
        <w:tc>
          <w:tcPr>
            <w:tcW w:w="1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2,209</w:t>
            </w:r>
          </w:p>
        </w:tc>
      </w:tr>
      <w:tr>
        <w:trPr>
          <w:trHeight w:val="259"/>
        </w:trPr>
        <w:tc>
          <w:tcPr>
            <w:tcW w:w="4100" w:type="dxa"/>
            <w:vAlign w:val="bottom"/>
          </w:tcPr>
          <w:p>
            <w:pPr>
              <w:ind w:left="200"/>
              <w:spacing w:after="0"/>
              <w:rPr>
                <w:sz w:val="20"/>
                <w:szCs w:val="20"/>
                <w:color w:val="auto"/>
              </w:rPr>
            </w:pPr>
            <w:r>
              <w:rPr>
                <w:rFonts w:ascii="Arial" w:cs="Arial" w:eastAsia="Arial" w:hAnsi="Arial"/>
                <w:sz w:val="20"/>
                <w:szCs w:val="20"/>
                <w:b w:val="1"/>
                <w:bCs w:val="1"/>
                <w:color w:val="auto"/>
              </w:rPr>
              <w:t>Total undiscounted lease payments</w:t>
            </w:r>
          </w:p>
        </w:tc>
        <w:tc>
          <w:tcPr>
            <w:tcW w:w="1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30,459</w:t>
            </w:r>
          </w:p>
        </w:tc>
      </w:tr>
      <w:tr>
        <w:trPr>
          <w:trHeight w:val="242"/>
        </w:trPr>
        <w:tc>
          <w:tcPr>
            <w:tcW w:w="4100" w:type="dxa"/>
            <w:vAlign w:val="bottom"/>
          </w:tcPr>
          <w:p>
            <w:pPr>
              <w:spacing w:after="0"/>
              <w:rPr>
                <w:sz w:val="20"/>
                <w:szCs w:val="20"/>
                <w:color w:val="auto"/>
              </w:rPr>
            </w:pPr>
            <w:r>
              <w:rPr>
                <w:rFonts w:ascii="Arial" w:cs="Arial" w:eastAsia="Arial" w:hAnsi="Arial"/>
                <w:sz w:val="20"/>
                <w:szCs w:val="20"/>
                <w:b w:val="1"/>
                <w:bCs w:val="1"/>
                <w:color w:val="auto"/>
              </w:rPr>
              <w:t>Less: Present value adjustment</w:t>
            </w:r>
          </w:p>
        </w:tc>
        <w:tc>
          <w:tcPr>
            <w:tcW w:w="1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(3,915)</w:t>
            </w:r>
          </w:p>
        </w:tc>
      </w:tr>
      <w:tr>
        <w:trPr>
          <w:trHeight w:val="259"/>
        </w:trPr>
        <w:tc>
          <w:tcPr>
            <w:tcW w:w="4100" w:type="dxa"/>
            <w:vAlign w:val="bottom"/>
          </w:tcPr>
          <w:p>
            <w:pPr>
              <w:ind w:left="200"/>
              <w:spacing w:after="0"/>
              <w:rPr>
                <w:sz w:val="20"/>
                <w:szCs w:val="20"/>
                <w:color w:val="auto"/>
              </w:rPr>
            </w:pPr>
            <w:r>
              <w:rPr>
                <w:rFonts w:ascii="Arial" w:cs="Arial" w:eastAsia="Arial" w:hAnsi="Arial"/>
                <w:sz w:val="20"/>
                <w:szCs w:val="20"/>
                <w:b w:val="1"/>
                <w:bCs w:val="1"/>
                <w:color w:val="auto"/>
              </w:rPr>
              <w:t>Total lease liability</w:t>
            </w:r>
          </w:p>
        </w:tc>
        <w:tc>
          <w:tcPr>
            <w:tcW w:w="1440" w:type="dxa"/>
            <w:vAlign w:val="bottom"/>
          </w:tcPr>
          <w:p>
            <w:pPr>
              <w:jc w:val="right"/>
              <w:ind w:right="167"/>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26,544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-1123950</wp:posOffset>
            </wp:positionV>
            <wp:extent cx="5969000" cy="4989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00" cy="49891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00" w:hanging="500"/>
        <w:spacing w:after="0"/>
        <w:tabs>
          <w:tab w:leader="none" w:pos="5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w:t>
      </w:r>
    </w:p>
    <w:p>
      <w:pPr>
        <w:spacing w:after="0" w:line="56" w:lineRule="exact"/>
        <w:rPr>
          <w:rFonts w:ascii="Arial" w:cs="Arial" w:eastAsia="Arial" w:hAnsi="Arial"/>
          <w:sz w:val="20"/>
          <w:szCs w:val="20"/>
          <w:b w:val="1"/>
          <w:bCs w:val="1"/>
          <w:color w:val="auto"/>
        </w:rPr>
      </w:pPr>
    </w:p>
    <w:p>
      <w:pPr>
        <w:ind w:left="480"/>
        <w:spacing w:after="0"/>
        <w:rPr>
          <w:rFonts w:ascii="Arial" w:cs="Arial" w:eastAsia="Arial" w:hAnsi="Arial"/>
          <w:sz w:val="20"/>
          <w:szCs w:val="20"/>
          <w:b w:val="1"/>
          <w:bCs w:val="1"/>
          <w:color w:val="auto"/>
        </w:rPr>
      </w:pPr>
      <w:r>
        <w:rPr>
          <w:rFonts w:ascii="Arial" w:cs="Arial" w:eastAsia="Arial" w:hAnsi="Arial"/>
          <w:sz w:val="20"/>
          <w:szCs w:val="20"/>
          <w:b w:val="1"/>
          <w:bCs w:val="1"/>
          <w:color w:val="auto"/>
          <w:highlight w:val="white"/>
        </w:rPr>
        <w:t>The Company recognized stock-based compensation as follows (in thousands):</w:t>
      </w:r>
      <w:r>
        <w:rPr>
          <w:rFonts w:ascii="Arial" w:cs="Arial" w:eastAsia="Arial" w:hAnsi="Arial"/>
          <w:sz w:val="1"/>
          <w:szCs w:val="1"/>
          <w:b w:val="1"/>
          <w:bCs w:val="1"/>
          <w:color w:val="auto"/>
        </w:rPr>
        <w:drawing>
          <wp:inline distT="0" distB="0" distL="0" distR="0">
            <wp:extent cx="59055" cy="17335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55" cy="173355"/>
                    </a:xfrm>
                    <a:prstGeom prst="rect">
                      <a:avLst/>
                    </a:prstGeom>
                    <a:noFill/>
                    <a:ln>
                      <a:noFill/>
                    </a:ln>
                  </pic:spPr>
                </pic:pic>
              </a:graphicData>
            </a:graphic>
          </wp:inline>
        </w:drawing>
      </w:r>
    </w:p>
    <w:p>
      <w:pPr>
        <w:spacing w:after="0" w:line="269"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December 31,</w:t>
      </w:r>
    </w:p>
    <w:p>
      <w:pPr>
        <w:spacing w:after="0" w:line="27"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jc w:val="right"/>
              <w:ind w:right="445"/>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6"/>
                <w:szCs w:val="16"/>
                <w:color w:val="auto"/>
              </w:rPr>
            </w:pPr>
          </w:p>
        </w:tc>
        <w:tc>
          <w:tcPr>
            <w:tcW w:w="900" w:type="dxa"/>
            <w:vAlign w:val="bottom"/>
          </w:tcPr>
          <w:p>
            <w:pPr>
              <w:jc w:val="right"/>
              <w:ind w:right="325"/>
              <w:spacing w:after="0"/>
              <w:rPr>
                <w:sz w:val="20"/>
                <w:szCs w:val="20"/>
                <w:color w:val="auto"/>
              </w:rPr>
            </w:pPr>
            <w:r>
              <w:rPr>
                <w:rFonts w:ascii="Arial" w:cs="Arial" w:eastAsia="Arial" w:hAnsi="Arial"/>
                <w:sz w:val="16"/>
                <w:szCs w:val="16"/>
                <w:b w:val="1"/>
                <w:bCs w:val="1"/>
                <w:color w:val="auto"/>
              </w:rPr>
              <w:t>2024</w:t>
            </w:r>
          </w:p>
        </w:tc>
      </w:tr>
      <w:tr>
        <w:trPr>
          <w:trHeight w:val="260"/>
        </w:trPr>
        <w:tc>
          <w:tcPr>
            <w:tcW w:w="4060" w:type="dxa"/>
            <w:vAlign w:val="bottom"/>
          </w:tcPr>
          <w:p>
            <w:pPr>
              <w:spacing w:after="0"/>
              <w:rPr>
                <w:sz w:val="20"/>
                <w:szCs w:val="20"/>
                <w:color w:val="auto"/>
              </w:rPr>
            </w:pPr>
            <w:r>
              <w:rPr>
                <w:rFonts w:ascii="Arial" w:cs="Arial" w:eastAsia="Arial" w:hAnsi="Arial"/>
                <w:sz w:val="20"/>
                <w:szCs w:val="20"/>
                <w:b w:val="1"/>
                <w:bCs w:val="1"/>
                <w:color w:val="auto"/>
              </w:rPr>
              <w:t>Research and development</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20"/>
                <w:szCs w:val="20"/>
                <w:b w:val="1"/>
                <w:bCs w:val="1"/>
                <w:color w:val="auto"/>
              </w:rPr>
              <w:t>11,109</w:t>
            </w:r>
          </w:p>
        </w:tc>
        <w:tc>
          <w:tcPr>
            <w:tcW w:w="36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19,836</w:t>
            </w:r>
          </w:p>
        </w:tc>
      </w:tr>
      <w:tr>
        <w:trPr>
          <w:trHeight w:val="242"/>
        </w:trPr>
        <w:tc>
          <w:tcPr>
            <w:tcW w:w="406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154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Arial" w:cs="Arial" w:eastAsia="Arial" w:hAnsi="Arial"/>
                <w:sz w:val="20"/>
                <w:szCs w:val="20"/>
                <w:b w:val="1"/>
                <w:bCs w:val="1"/>
                <w:color w:val="auto"/>
              </w:rPr>
              <w:t>15,549</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19,627</w:t>
            </w:r>
          </w:p>
        </w:tc>
      </w:tr>
      <w:tr>
        <w:trPr>
          <w:trHeight w:val="259"/>
        </w:trPr>
        <w:tc>
          <w:tcPr>
            <w:tcW w:w="4060" w:type="dxa"/>
            <w:vAlign w:val="bottom"/>
          </w:tcPr>
          <w:p>
            <w:pPr>
              <w:ind w:left="200"/>
              <w:spacing w:after="0"/>
              <w:rPr>
                <w:sz w:val="20"/>
                <w:szCs w:val="20"/>
                <w:color w:val="auto"/>
              </w:rPr>
            </w:pPr>
            <w:r>
              <w:rPr>
                <w:rFonts w:ascii="Arial" w:cs="Arial" w:eastAsia="Arial" w:hAnsi="Arial"/>
                <w:sz w:val="20"/>
                <w:szCs w:val="20"/>
                <w:b w:val="1"/>
                <w:bCs w:val="1"/>
                <w:color w:val="auto"/>
              </w:rPr>
              <w:t>Total stock-based compensation</w:t>
            </w:r>
          </w:p>
        </w:tc>
        <w:tc>
          <w:tcPr>
            <w:tcW w:w="154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20"/>
                <w:szCs w:val="20"/>
                <w:b w:val="1"/>
                <w:bCs w:val="1"/>
                <w:color w:val="auto"/>
              </w:rPr>
              <w:t>26,658</w:t>
            </w:r>
          </w:p>
        </w:tc>
        <w:tc>
          <w:tcPr>
            <w:tcW w:w="36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39,463</w:t>
            </w:r>
          </w:p>
        </w:tc>
      </w:tr>
    </w:tbl>
    <w:p>
      <w:pPr>
        <w:spacing w:after="0" w:line="200" w:lineRule="exact"/>
        <w:rPr>
          <w:sz w:val="20"/>
          <w:szCs w:val="20"/>
          <w:color w:val="auto"/>
        </w:rPr>
      </w:pPr>
    </w:p>
    <w:p>
      <w:pPr>
        <w:spacing w:after="0" w:line="36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Determination of Fair Value</w:t>
      </w:r>
    </w:p>
    <w:p>
      <w:pPr>
        <w:spacing w:after="0" w:line="99" w:lineRule="exact"/>
        <w:rPr>
          <w:sz w:val="20"/>
          <w:szCs w:val="20"/>
          <w:color w:val="auto"/>
        </w:rPr>
      </w:pPr>
    </w:p>
    <w:p>
      <w:pPr>
        <w:ind w:left="480"/>
        <w:spacing w:after="0" w:line="245" w:lineRule="auto"/>
        <w:rPr>
          <w:sz w:val="20"/>
          <w:szCs w:val="20"/>
          <w:color w:val="auto"/>
        </w:rPr>
      </w:pPr>
      <w:r>
        <w:rPr>
          <w:rFonts w:ascii="Arial" w:cs="Arial" w:eastAsia="Arial" w:hAnsi="Arial"/>
          <w:sz w:val="20"/>
          <w:szCs w:val="20"/>
          <w:b w:val="1"/>
          <w:bCs w:val="1"/>
          <w:color w:val="auto"/>
        </w:rPr>
        <w:t>The estimated grant-date fair value of all the Company’s options to purchase common stock was calculated using the</w:t>
      </w:r>
      <w:r>
        <w:rPr>
          <w:sz w:val="1"/>
          <w:szCs w:val="1"/>
          <w:color w:val="auto"/>
        </w:rPr>
        <w:drawing>
          <wp:inline distT="0" distB="0" distL="0" distR="0">
            <wp:extent cx="59055" cy="1428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142875"/>
                    </a:xfrm>
                    <a:prstGeom prst="rect">
                      <a:avLst/>
                    </a:prstGeom>
                    <a:noFill/>
                    <a:ln>
                      <a:noFill/>
                    </a:ln>
                  </pic:spPr>
                </pic:pic>
              </a:graphicData>
            </a:graphic>
          </wp:inline>
        </w:drawing>
      </w:r>
      <w:r>
        <w:rPr>
          <w:rFonts w:ascii="Arial" w:cs="Arial" w:eastAsia="Arial" w:hAnsi="Arial"/>
          <w:sz w:val="20"/>
          <w:szCs w:val="20"/>
          <w:b w:val="1"/>
          <w:bCs w:val="1"/>
          <w:color w:val="auto"/>
          <w:highlight w:val="white"/>
        </w:rPr>
        <w:t xml:space="preserve"> Black-Scholes option pricing model, based on the following assumptions:</w:t>
      </w:r>
      <w:r>
        <w:rPr>
          <w:sz w:val="1"/>
          <w:szCs w:val="1"/>
          <w:color w:val="auto"/>
        </w:rPr>
        <w:drawing>
          <wp:inline distT="0" distB="0" distL="0" distR="0">
            <wp:extent cx="59055" cy="1428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055" cy="142875"/>
                    </a:xfrm>
                    <a:prstGeom prst="rect">
                      <a:avLst/>
                    </a:prstGeom>
                    <a:noFill/>
                    <a:ln>
                      <a:noFill/>
                    </a:ln>
                  </pic:spPr>
                </pic:pic>
              </a:graphicData>
            </a:graphic>
          </wp:inline>
        </w:drawing>
      </w:r>
    </w:p>
    <w:p>
      <w:pPr>
        <w:spacing w:after="0" w:line="200" w:lineRule="exact"/>
        <w:rPr>
          <w:sz w:val="20"/>
          <w:szCs w:val="20"/>
          <w:color w:val="auto"/>
        </w:rPr>
      </w:pP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Year Ended December 31,</w:t>
            </w:r>
          </w:p>
        </w:tc>
      </w:tr>
      <w:tr>
        <w:trPr>
          <w:trHeight w:val="211"/>
        </w:trPr>
        <w:tc>
          <w:tcPr>
            <w:tcW w:w="3420" w:type="dxa"/>
            <w:vAlign w:val="bottom"/>
          </w:tcPr>
          <w:p>
            <w:pPr>
              <w:spacing w:after="0"/>
              <w:rPr>
                <w:sz w:val="18"/>
                <w:szCs w:val="18"/>
                <w:color w:val="auto"/>
              </w:rPr>
            </w:pPr>
          </w:p>
        </w:tc>
        <w:tc>
          <w:tcPr>
            <w:tcW w:w="2980" w:type="dxa"/>
            <w:vAlign w:val="bottom"/>
            <w:gridSpan w:val="2"/>
          </w:tcPr>
          <w:p>
            <w:pPr>
              <w:jc w:val="center"/>
              <w:ind w:left="844"/>
              <w:spacing w:after="0"/>
              <w:rPr>
                <w:sz w:val="20"/>
                <w:szCs w:val="20"/>
                <w:color w:val="auto"/>
              </w:rPr>
            </w:pPr>
            <w:r>
              <w:rPr>
                <w:rFonts w:ascii="Arial" w:cs="Arial" w:eastAsia="Arial" w:hAnsi="Arial"/>
                <w:sz w:val="16"/>
                <w:szCs w:val="16"/>
                <w:b w:val="1"/>
                <w:bCs w:val="1"/>
                <w:color w:val="auto"/>
                <w:w w:val="89"/>
              </w:rPr>
              <w:t>2025</w:t>
            </w:r>
          </w:p>
        </w:tc>
        <w:tc>
          <w:tcPr>
            <w:tcW w:w="920" w:type="dxa"/>
            <w:vAlign w:val="bottom"/>
          </w:tcPr>
          <w:p>
            <w:pPr>
              <w:jc w:val="center"/>
              <w:ind w:left="424"/>
              <w:spacing w:after="0"/>
              <w:rPr>
                <w:sz w:val="20"/>
                <w:szCs w:val="20"/>
                <w:color w:val="auto"/>
              </w:rPr>
            </w:pPr>
            <w:r>
              <w:rPr>
                <w:rFonts w:ascii="Arial" w:cs="Arial" w:eastAsia="Arial" w:hAnsi="Arial"/>
                <w:sz w:val="16"/>
                <w:szCs w:val="16"/>
                <w:b w:val="1"/>
                <w:bCs w:val="1"/>
                <w:color w:val="auto"/>
                <w:w w:val="89"/>
              </w:rPr>
              <w:t>2024</w:t>
            </w:r>
          </w:p>
        </w:tc>
      </w:tr>
      <w:tr>
        <w:trPr>
          <w:trHeight w:val="260"/>
        </w:trPr>
        <w:tc>
          <w:tcPr>
            <w:tcW w:w="3420" w:type="dxa"/>
            <w:vAlign w:val="bottom"/>
          </w:tcPr>
          <w:p>
            <w:pPr>
              <w:spacing w:after="0"/>
              <w:rPr>
                <w:sz w:val="20"/>
                <w:szCs w:val="20"/>
                <w:color w:val="auto"/>
              </w:rPr>
            </w:pPr>
            <w:r>
              <w:rPr>
                <w:rFonts w:ascii="Arial" w:cs="Arial" w:eastAsia="Arial" w:hAnsi="Arial"/>
                <w:sz w:val="20"/>
                <w:szCs w:val="20"/>
                <w:b w:val="1"/>
                <w:bCs w:val="1"/>
                <w:color w:val="auto"/>
              </w:rPr>
              <w:t>Expected term (in years)</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5.3</w:t>
            </w:r>
          </w:p>
        </w:tc>
        <w:tc>
          <w:tcPr>
            <w:tcW w:w="1060" w:type="dxa"/>
            <w:vAlign w:val="bottom"/>
          </w:tcPr>
          <w:p>
            <w:pPr>
              <w:ind w:left="40"/>
              <w:spacing w:after="0"/>
              <w:rPr>
                <w:sz w:val="20"/>
                <w:szCs w:val="20"/>
                <w:color w:val="auto"/>
              </w:rPr>
            </w:pPr>
            <w:r>
              <w:rPr>
                <w:rFonts w:ascii="Arial" w:cs="Arial" w:eastAsia="Arial" w:hAnsi="Arial"/>
                <w:sz w:val="20"/>
                <w:szCs w:val="20"/>
                <w:b w:val="1"/>
                <w:bCs w:val="1"/>
                <w:color w:val="auto"/>
              </w:rPr>
              <w:t>-6.0</w:t>
            </w:r>
          </w:p>
        </w:tc>
        <w:tc>
          <w:tcPr>
            <w:tcW w:w="920" w:type="dxa"/>
            <w:vAlign w:val="bottom"/>
          </w:tcPr>
          <w:p>
            <w:pPr>
              <w:jc w:val="center"/>
              <w:ind w:left="424"/>
              <w:spacing w:after="0"/>
              <w:rPr>
                <w:sz w:val="20"/>
                <w:szCs w:val="20"/>
                <w:color w:val="auto"/>
              </w:rPr>
            </w:pPr>
            <w:r>
              <w:rPr>
                <w:rFonts w:ascii="Arial" w:cs="Arial" w:eastAsia="Arial" w:hAnsi="Arial"/>
                <w:sz w:val="20"/>
                <w:szCs w:val="20"/>
                <w:b w:val="1"/>
                <w:bCs w:val="1"/>
                <w:color w:val="auto"/>
                <w:w w:val="86"/>
              </w:rPr>
              <w:t>6.0</w:t>
            </w:r>
          </w:p>
        </w:tc>
      </w:tr>
      <w:tr>
        <w:trPr>
          <w:trHeight w:val="242"/>
        </w:trPr>
        <w:tc>
          <w:tcPr>
            <w:tcW w:w="3420" w:type="dxa"/>
            <w:vAlign w:val="bottom"/>
          </w:tcPr>
          <w:p>
            <w:pPr>
              <w:spacing w:after="0"/>
              <w:rPr>
                <w:sz w:val="20"/>
                <w:szCs w:val="20"/>
                <w:color w:val="auto"/>
              </w:rPr>
            </w:pPr>
            <w:r>
              <w:rPr>
                <w:rFonts w:ascii="Arial" w:cs="Arial" w:eastAsia="Arial" w:hAnsi="Arial"/>
                <w:sz w:val="20"/>
                <w:szCs w:val="20"/>
                <w:b w:val="1"/>
                <w:bCs w:val="1"/>
                <w:color w:val="auto"/>
              </w:rPr>
              <w:t>Expected volatility</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80%</w:t>
            </w:r>
          </w:p>
        </w:tc>
        <w:tc>
          <w:tcPr>
            <w:tcW w:w="1060" w:type="dxa"/>
            <w:vAlign w:val="bottom"/>
          </w:tcPr>
          <w:p>
            <w:pPr>
              <w:ind w:left="40"/>
              <w:spacing w:after="0"/>
              <w:rPr>
                <w:sz w:val="20"/>
                <w:szCs w:val="20"/>
                <w:color w:val="auto"/>
              </w:rPr>
            </w:pPr>
            <w:r>
              <w:rPr>
                <w:rFonts w:ascii="Arial" w:cs="Arial" w:eastAsia="Arial" w:hAnsi="Arial"/>
                <w:sz w:val="20"/>
                <w:szCs w:val="20"/>
                <w:b w:val="1"/>
                <w:bCs w:val="1"/>
                <w:color w:val="auto"/>
              </w:rPr>
              <w:t>-88%</w:t>
            </w:r>
          </w:p>
        </w:tc>
        <w:tc>
          <w:tcPr>
            <w:tcW w:w="920" w:type="dxa"/>
            <w:vAlign w:val="bottom"/>
          </w:tcPr>
          <w:p>
            <w:pPr>
              <w:jc w:val="center"/>
              <w:ind w:left="424"/>
              <w:spacing w:after="0"/>
              <w:rPr>
                <w:sz w:val="20"/>
                <w:szCs w:val="20"/>
                <w:color w:val="auto"/>
              </w:rPr>
            </w:pPr>
            <w:r>
              <w:rPr>
                <w:rFonts w:ascii="Arial" w:cs="Arial" w:eastAsia="Arial" w:hAnsi="Arial"/>
                <w:sz w:val="20"/>
                <w:szCs w:val="20"/>
                <w:b w:val="1"/>
                <w:bCs w:val="1"/>
                <w:color w:val="auto"/>
                <w:w w:val="89"/>
              </w:rPr>
              <w:t>81%</w:t>
            </w:r>
          </w:p>
        </w:tc>
      </w:tr>
      <w:tr>
        <w:trPr>
          <w:trHeight w:val="245"/>
        </w:trPr>
        <w:tc>
          <w:tcPr>
            <w:tcW w:w="3420" w:type="dxa"/>
            <w:vAlign w:val="bottom"/>
          </w:tcPr>
          <w:p>
            <w:pPr>
              <w:spacing w:after="0"/>
              <w:rPr>
                <w:sz w:val="20"/>
                <w:szCs w:val="20"/>
                <w:color w:val="auto"/>
              </w:rPr>
            </w:pPr>
            <w:r>
              <w:rPr>
                <w:rFonts w:ascii="Arial" w:cs="Arial" w:eastAsia="Arial" w:hAnsi="Arial"/>
                <w:sz w:val="20"/>
                <w:szCs w:val="20"/>
                <w:b w:val="1"/>
                <w:bCs w:val="1"/>
                <w:color w:val="auto"/>
              </w:rPr>
              <w:t>Risk free interest rate</w:t>
            </w:r>
          </w:p>
        </w:tc>
        <w:tc>
          <w:tcPr>
            <w:tcW w:w="2980" w:type="dxa"/>
            <w:vAlign w:val="bottom"/>
            <w:gridSpan w:val="2"/>
          </w:tcPr>
          <w:p>
            <w:pPr>
              <w:jc w:val="center"/>
              <w:ind w:left="844"/>
              <w:spacing w:after="0"/>
              <w:rPr>
                <w:sz w:val="20"/>
                <w:szCs w:val="20"/>
                <w:color w:val="auto"/>
              </w:rPr>
            </w:pPr>
            <w:r>
              <w:rPr>
                <w:rFonts w:ascii="Arial" w:cs="Arial" w:eastAsia="Arial" w:hAnsi="Arial"/>
                <w:sz w:val="20"/>
                <w:szCs w:val="20"/>
                <w:b w:val="1"/>
                <w:bCs w:val="1"/>
                <w:color w:val="auto"/>
                <w:w w:val="91"/>
              </w:rPr>
              <w:t>3.8% - 4.1%</w:t>
            </w:r>
          </w:p>
        </w:tc>
        <w:tc>
          <w:tcPr>
            <w:tcW w:w="920" w:type="dxa"/>
            <w:vAlign w:val="bottom"/>
          </w:tcPr>
          <w:p>
            <w:pPr>
              <w:jc w:val="center"/>
              <w:ind w:left="424"/>
              <w:spacing w:after="0"/>
              <w:rPr>
                <w:sz w:val="20"/>
                <w:szCs w:val="20"/>
                <w:color w:val="auto"/>
              </w:rPr>
            </w:pPr>
            <w:r>
              <w:rPr>
                <w:rFonts w:ascii="Arial" w:cs="Arial" w:eastAsia="Arial" w:hAnsi="Arial"/>
                <w:sz w:val="20"/>
                <w:szCs w:val="20"/>
                <w:b w:val="1"/>
                <w:bCs w:val="1"/>
                <w:color w:val="auto"/>
                <w:w w:val="87"/>
              </w:rPr>
              <w:t>4.3%</w:t>
            </w:r>
          </w:p>
        </w:tc>
      </w:tr>
      <w:tr>
        <w:trPr>
          <w:trHeight w:val="245"/>
        </w:trPr>
        <w:tc>
          <w:tcPr>
            <w:tcW w:w="3420" w:type="dxa"/>
            <w:vAlign w:val="bottom"/>
          </w:tcPr>
          <w:p>
            <w:pPr>
              <w:spacing w:after="0"/>
              <w:rPr>
                <w:sz w:val="20"/>
                <w:szCs w:val="20"/>
                <w:color w:val="auto"/>
              </w:rPr>
            </w:pPr>
            <w:r>
              <w:rPr>
                <w:rFonts w:ascii="Arial" w:cs="Arial" w:eastAsia="Arial" w:hAnsi="Arial"/>
                <w:sz w:val="20"/>
                <w:szCs w:val="20"/>
                <w:b w:val="1"/>
                <w:bCs w:val="1"/>
                <w:color w:val="auto"/>
              </w:rPr>
              <w:t>Dividend yield</w:t>
            </w:r>
          </w:p>
        </w:tc>
        <w:tc>
          <w:tcPr>
            <w:tcW w:w="2980" w:type="dxa"/>
            <w:vAlign w:val="bottom"/>
            <w:gridSpan w:val="2"/>
          </w:tcPr>
          <w:p>
            <w:pPr>
              <w:jc w:val="center"/>
              <w:ind w:left="844"/>
              <w:spacing w:after="0"/>
              <w:rPr>
                <w:sz w:val="20"/>
                <w:szCs w:val="20"/>
                <w:color w:val="auto"/>
              </w:rPr>
            </w:pPr>
            <w:r>
              <w:rPr>
                <w:rFonts w:ascii="Arial" w:cs="Arial" w:eastAsia="Arial" w:hAnsi="Arial"/>
                <w:sz w:val="20"/>
                <w:szCs w:val="20"/>
                <w:b w:val="1"/>
                <w:bCs w:val="1"/>
                <w:color w:val="auto"/>
                <w:w w:val="99"/>
              </w:rPr>
              <w:t>—</w:t>
            </w:r>
          </w:p>
        </w:tc>
        <w:tc>
          <w:tcPr>
            <w:tcW w:w="920" w:type="dxa"/>
            <w:vAlign w:val="bottom"/>
          </w:tcPr>
          <w:p>
            <w:pPr>
              <w:jc w:val="center"/>
              <w:ind w:left="424"/>
              <w:spacing w:after="0"/>
              <w:rPr>
                <w:sz w:val="20"/>
                <w:szCs w:val="20"/>
                <w:color w:val="auto"/>
              </w:rPr>
            </w:pPr>
            <w:r>
              <w:rPr>
                <w:rFonts w:ascii="Arial" w:cs="Arial" w:eastAsia="Arial" w:hAnsi="Arial"/>
                <w:sz w:val="20"/>
                <w:szCs w:val="20"/>
                <w:b w:val="1"/>
                <w:bCs w:val="1"/>
                <w:color w:val="auto"/>
                <w:w w:val="99"/>
              </w:rPr>
              <w:t>—</w:t>
            </w:r>
          </w:p>
        </w:tc>
      </w:tr>
    </w:tbl>
    <w:p>
      <w:pPr>
        <w:spacing w:after="0" w:line="200" w:lineRule="exact"/>
        <w:rPr>
          <w:sz w:val="20"/>
          <w:szCs w:val="20"/>
          <w:color w:val="auto"/>
        </w:rPr>
      </w:pPr>
    </w:p>
    <w:p>
      <w:pPr>
        <w:spacing w:after="0" w:line="205" w:lineRule="exact"/>
        <w:rPr>
          <w:sz w:val="20"/>
          <w:szCs w:val="20"/>
          <w:color w:val="auto"/>
        </w:rPr>
      </w:pPr>
    </w:p>
    <w:p>
      <w:pPr>
        <w:ind w:left="480" w:right="260"/>
        <w:spacing w:after="0" w:line="385" w:lineRule="auto"/>
        <w:rPr>
          <w:sz w:val="20"/>
          <w:szCs w:val="20"/>
          <w:color w:val="auto"/>
        </w:rPr>
      </w:pPr>
      <w:r>
        <w:rPr>
          <w:rFonts w:ascii="Arial" w:cs="Arial" w:eastAsia="Arial" w:hAnsi="Arial"/>
          <w:sz w:val="15"/>
          <w:szCs w:val="15"/>
          <w:b w:val="1"/>
          <w:bCs w:val="1"/>
          <w:color w:val="auto"/>
        </w:rPr>
        <w:t>The fair value of each stock option was determined by the Company using the methods and assumptions discussed below. Each of these inputs is subjective and generally requires judgment and estimation by management.</w:t>
      </w:r>
    </w:p>
    <w:p>
      <w:pPr>
        <w:spacing w:after="0" w:line="27" w:lineRule="exact"/>
        <w:rPr>
          <w:sz w:val="20"/>
          <w:szCs w:val="20"/>
          <w:color w:val="auto"/>
        </w:rPr>
      </w:pPr>
    </w:p>
    <w:p>
      <w:pPr>
        <w:ind w:left="980" w:right="160"/>
        <w:spacing w:after="0" w:line="274" w:lineRule="auto"/>
        <w:rPr>
          <w:sz w:val="20"/>
          <w:szCs w:val="20"/>
          <w:color w:val="auto"/>
        </w:rPr>
      </w:pPr>
      <w:r>
        <w:rPr>
          <w:rFonts w:ascii="Arial" w:cs="Arial" w:eastAsia="Arial" w:hAnsi="Arial"/>
          <w:sz w:val="18"/>
          <w:szCs w:val="18"/>
          <w:b w:val="1"/>
          <w:bCs w:val="1"/>
          <w:color w:val="auto"/>
        </w:rPr>
        <w:t>Expected Term—The expected term represents the period that stock-based awards are expected to be outstanding. The expected term was derived by using the simplified method which uses the midpoint between the average vesting term and the contractual expiration period of the stock-based award.</w:t>
      </w:r>
    </w:p>
    <w:p>
      <w:pPr>
        <w:spacing w:after="0" w:line="102" w:lineRule="exact"/>
        <w:rPr>
          <w:sz w:val="20"/>
          <w:szCs w:val="20"/>
          <w:color w:val="auto"/>
        </w:rPr>
      </w:pPr>
    </w:p>
    <w:p>
      <w:pPr>
        <w:ind w:left="980"/>
        <w:spacing w:after="0" w:line="269" w:lineRule="auto"/>
        <w:rPr>
          <w:sz w:val="20"/>
          <w:szCs w:val="20"/>
          <w:color w:val="auto"/>
        </w:rPr>
      </w:pPr>
      <w:r>
        <w:rPr>
          <w:rFonts w:ascii="Arial" w:cs="Arial" w:eastAsia="Arial" w:hAnsi="Arial"/>
          <w:sz w:val="18"/>
          <w:szCs w:val="18"/>
          <w:b w:val="1"/>
          <w:bCs w:val="1"/>
          <w:color w:val="auto"/>
        </w:rPr>
        <w:t>Expected Volatility—The Company had limited information on the volatility of stock options as the shares were not actively traded on any public markets prior to February 7, 2019. The expected volatility was derived from the historical stock volatilities of comparable peer public companies within its industry. Those companies were considered to be comparable to the Company’s business over a period equivalent to the expected term of the stock-based awards. In 2020, the Company began giving weight to in its own historical volatility in the determination of expected volatility. Beginning in 2025, we have used only our own historical stock price volatility in the determination of expected volatility.</w:t>
      </w:r>
    </w:p>
    <w:p>
      <w:pPr>
        <w:spacing w:after="0" w:line="104" w:lineRule="exact"/>
        <w:rPr>
          <w:sz w:val="20"/>
          <w:szCs w:val="20"/>
          <w:color w:val="auto"/>
        </w:rPr>
      </w:pPr>
    </w:p>
    <w:p>
      <w:pPr>
        <w:jc w:val="both"/>
        <w:ind w:left="980" w:right="280"/>
        <w:spacing w:after="0" w:line="385" w:lineRule="auto"/>
        <w:rPr>
          <w:sz w:val="20"/>
          <w:szCs w:val="20"/>
          <w:color w:val="auto"/>
        </w:rPr>
      </w:pPr>
      <w:r>
        <w:rPr>
          <w:rFonts w:ascii="Arial" w:cs="Arial" w:eastAsia="Arial" w:hAnsi="Arial"/>
          <w:sz w:val="15"/>
          <w:szCs w:val="15"/>
          <w:b w:val="1"/>
          <w:bCs w:val="1"/>
          <w:color w:val="auto"/>
        </w:rPr>
        <w:t>Risk-Free Interest Rate—The risk-free interest rate is based on the U.S. Treasury yield curve in effect at the date of grant for zero-coupon U.S. Treasury notes with maturities approximately equal to the expected term.</w:t>
      </w:r>
    </w:p>
    <w:p>
      <w:pPr>
        <w:spacing w:after="0" w:line="27" w:lineRule="exact"/>
        <w:rPr>
          <w:sz w:val="20"/>
          <w:szCs w:val="20"/>
          <w:color w:val="auto"/>
        </w:rPr>
      </w:pPr>
    </w:p>
    <w:p>
      <w:pPr>
        <w:ind w:left="980" w:right="360"/>
        <w:spacing w:after="0" w:line="234" w:lineRule="auto"/>
        <w:rPr>
          <w:sz w:val="20"/>
          <w:szCs w:val="20"/>
          <w:color w:val="auto"/>
        </w:rPr>
      </w:pPr>
      <w:r>
        <w:rPr>
          <w:rFonts w:ascii="Arial" w:cs="Arial" w:eastAsia="Arial" w:hAnsi="Arial"/>
          <w:sz w:val="20"/>
          <w:szCs w:val="20"/>
          <w:b w:val="1"/>
          <w:bCs w:val="1"/>
          <w:color w:val="auto"/>
        </w:rPr>
        <w:t>Expected Dividend Rate—The expected dividend is zero as the Company has not paid nor does it anticipate paying any dividends on its common stock in the foreseeable future.</w:t>
      </w:r>
    </w:p>
    <w:p>
      <w:pPr>
        <w:sectPr>
          <w:pgSz w:w="12240" w:h="15840" w:orient="portrait"/>
          <w:cols w:equalWidth="0" w:num="1">
            <w:col w:w="9920"/>
          </w:cols>
          <w:pgMar w:left="1440" w:top="1161" w:right="880" w:bottom="181"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119</w:t>
      </w:r>
    </w:p>
    <w:p>
      <w:pPr>
        <w:sectPr>
          <w:pgSz w:w="12240" w:h="15840" w:orient="portrait"/>
          <w:cols w:equalWidth="0" w:num="1">
            <w:col w:w="9920"/>
          </w:cols>
          <w:pgMar w:left="1440" w:top="1161" w:right="880" w:bottom="181" w:gutter="0" w:footer="0" w:header="0"/>
          <w:type w:val="continuous"/>
        </w:sectPr>
      </w:pPr>
    </w:p>
    <w:bookmarkStart w:id="121" w:name="page122"/>
    <w:bookmarkEnd w:id="121"/>
    <w:p>
      <w:pPr>
        <w:ind w:left="480"/>
        <w:spacing w:after="0"/>
        <w:rPr>
          <w:sz w:val="20"/>
          <w:szCs w:val="20"/>
          <w:color w:val="auto"/>
        </w:rPr>
      </w:pPr>
      <w:r>
        <w:rPr>
          <w:rFonts w:ascii="Arial" w:cs="Arial" w:eastAsia="Arial" w:hAnsi="Arial"/>
          <w:sz w:val="20"/>
          <w:szCs w:val="20"/>
          <w:b w:val="1"/>
          <w:bCs w:val="1"/>
          <w:color w:val="auto"/>
        </w:rPr>
        <w:t>2019 Equity Incentive Plan and 2022 Inducement Plan</w:t>
      </w:r>
    </w:p>
    <w:p>
      <w:pPr>
        <w:spacing w:after="0" w:line="131" w:lineRule="exact"/>
        <w:rPr>
          <w:sz w:val="20"/>
          <w:szCs w:val="20"/>
          <w:color w:val="auto"/>
        </w:rPr>
      </w:pPr>
    </w:p>
    <w:p>
      <w:pPr>
        <w:ind w:left="480" w:right="120"/>
        <w:spacing w:after="0" w:line="325" w:lineRule="auto"/>
        <w:rPr>
          <w:sz w:val="20"/>
          <w:szCs w:val="20"/>
          <w:color w:val="auto"/>
        </w:rPr>
      </w:pPr>
      <w:r>
        <w:rPr>
          <w:rFonts w:ascii="Arial" w:cs="Arial" w:eastAsia="Arial" w:hAnsi="Arial"/>
          <w:sz w:val="15"/>
          <w:szCs w:val="15"/>
          <w:b w:val="1"/>
          <w:bCs w:val="1"/>
          <w:color w:val="auto"/>
        </w:rPr>
        <w:t>On February 6, 2019, the Company adopted the 2019 Equity Incentive Plan (2019 Plan) under which the Board may issue incentive stock options, nonstatutory stock options, restricted stock, restricted stock units, stock appreciation rights, performance units, and performance shares to the Company’s employees, directors, and consultants. The Company’s 2017 Stock Option and Grant Plan (2017 Plan) was terminated; however, shares subject to outstanding awards granted under it will continue to be governed by the 2017 Plan. Shares reserved for issuance but not issued pursuant to, or not subject to, awards granted under the 2017 Plan were added to the available shares in the 2019 Plan. Shares subject to awards granted under the 2017 Plan that are repurchased by, or forfeited to, the Company will also be reserved for issuance under the 2019 Plan. The board of directors, or a committee appointed by the board of directors, has the authority to determine to whom options or shares will be granted, the number of shares, the term, and the exercise price. Under the 2019 Plan, if an individual owns stock representing 10% or more of the outstanding shares, then for the individual’s incentive stock options, the exercise price of each share will be at least 110% of the fair market value and the term of the award will not exceed five years. All other options granted under the 2019 Plan must have an exercise price at least equal to the fair market value on the date of grant and have a term not to exceed ten years. The stock options generally vest over a four-year period with one forty-eighth of the shares vesting each month or over a four-year period with 25% vesting at the one-year cliff and monthly thereafter. The RSUs generally vest over a period of three years with one-twelfth of the shares vesting quarterly.</w:t>
      </w:r>
    </w:p>
    <w:p>
      <w:pPr>
        <w:spacing w:after="0" w:line="200" w:lineRule="exact"/>
        <w:rPr>
          <w:sz w:val="20"/>
          <w:szCs w:val="20"/>
          <w:color w:val="auto"/>
        </w:rPr>
      </w:pPr>
    </w:p>
    <w:p>
      <w:pPr>
        <w:spacing w:after="0" w:line="329" w:lineRule="exact"/>
        <w:rPr>
          <w:sz w:val="20"/>
          <w:szCs w:val="20"/>
          <w:color w:val="auto"/>
        </w:rPr>
      </w:pPr>
    </w:p>
    <w:p>
      <w:pPr>
        <w:ind w:left="480" w:right="80"/>
        <w:spacing w:after="0" w:line="236" w:lineRule="auto"/>
        <w:rPr>
          <w:sz w:val="20"/>
          <w:szCs w:val="20"/>
          <w:color w:val="auto"/>
        </w:rPr>
      </w:pPr>
      <w:r>
        <w:rPr>
          <w:rFonts w:ascii="Arial" w:cs="Arial" w:eastAsia="Arial" w:hAnsi="Arial"/>
          <w:sz w:val="20"/>
          <w:szCs w:val="20"/>
          <w:b w:val="1"/>
          <w:bCs w:val="1"/>
          <w:color w:val="auto"/>
        </w:rPr>
        <w:t>On January 1, 2025, 4,954,294 shares were automatically added to the shares reserved for issuance under the 2019 Plan in accordance with the terms of the 2019 Plan. As of December 31, 2025, the Company had reserved 25,374,512 shares of common stock under the 2019 Plan, of which 10,477,828 shares were available for issuance of future awards.</w:t>
      </w:r>
    </w:p>
    <w:p>
      <w:pPr>
        <w:spacing w:after="0" w:line="135" w:lineRule="exact"/>
        <w:rPr>
          <w:sz w:val="20"/>
          <w:szCs w:val="20"/>
          <w:color w:val="auto"/>
        </w:rPr>
      </w:pPr>
    </w:p>
    <w:p>
      <w:pPr>
        <w:ind w:left="480" w:right="280"/>
        <w:spacing w:after="0" w:line="336" w:lineRule="auto"/>
        <w:rPr>
          <w:sz w:val="20"/>
          <w:szCs w:val="20"/>
          <w:color w:val="auto"/>
        </w:rPr>
      </w:pPr>
      <w:r>
        <w:rPr>
          <w:rFonts w:ascii="Arial" w:cs="Arial" w:eastAsia="Arial" w:hAnsi="Arial"/>
          <w:sz w:val="15"/>
          <w:szCs w:val="15"/>
          <w:b w:val="1"/>
          <w:bCs w:val="1"/>
          <w:color w:val="auto"/>
        </w:rPr>
        <w:t>On January 1, 2022, the Company adopted the 2022 Inducement Plan (Inducement Plan) and reserved 1,630,000 shares for issuance under the Inducement Plan for the grant of equity-based awards to individuals who were not previously employees or non-employee directors of the Company. On September 22, 2022, the Company increased the number of shares available for issuance under the 2022 Inducement Plan to a total of 3,300,000 shares. As of December 31, 2025, 2,580,302 shares were available for issuance of future awards under the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20955</wp:posOffset>
            </wp:positionV>
            <wp:extent cx="6122670" cy="2695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2670" cy="2695575"/>
                    </a:xfrm>
                    <a:prstGeom prst="rect">
                      <a:avLst/>
                    </a:prstGeom>
                    <a:noFill/>
                  </pic:spPr>
                </pic:pic>
              </a:graphicData>
            </a:graphic>
          </wp:anchor>
        </w:drawing>
      </w:r>
    </w:p>
    <w:p>
      <w:pPr>
        <w:spacing w:after="0" w:line="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Option activity is shown below:</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2"/>
        </w:trPr>
        <w:tc>
          <w:tcPr>
            <w:tcW w:w="4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228"/>
              <w:spacing w:after="0" w:line="182" w:lineRule="exact"/>
              <w:rPr>
                <w:sz w:val="20"/>
                <w:szCs w:val="20"/>
                <w:color w:val="auto"/>
              </w:rPr>
            </w:pPr>
            <w:r>
              <w:rPr>
                <w:rFonts w:ascii="Arial" w:cs="Arial" w:eastAsia="Arial" w:hAnsi="Arial"/>
                <w:sz w:val="16"/>
                <w:szCs w:val="16"/>
                <w:b w:val="1"/>
                <w:bCs w:val="1"/>
                <w:color w:val="auto"/>
                <w:w w:val="91"/>
              </w:rPr>
              <w:t>Average</w:t>
            </w:r>
          </w:p>
        </w:tc>
        <w:tc>
          <w:tcPr>
            <w:tcW w:w="12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Average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228"/>
              <w:spacing w:after="0"/>
              <w:rPr>
                <w:sz w:val="20"/>
                <w:szCs w:val="20"/>
                <w:color w:val="auto"/>
              </w:rPr>
            </w:pPr>
            <w:r>
              <w:rPr>
                <w:rFonts w:ascii="Arial" w:cs="Arial" w:eastAsia="Arial" w:hAnsi="Arial"/>
                <w:sz w:val="16"/>
                <w:szCs w:val="16"/>
                <w:b w:val="1"/>
                <w:bCs w:val="1"/>
                <w:color w:val="auto"/>
                <w:w w:val="88"/>
              </w:rPr>
              <w:t>Exercise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60" w:type="dxa"/>
            <w:vAlign w:val="bottom"/>
          </w:tcPr>
          <w:p>
            <w:pPr>
              <w:spacing w:after="0"/>
              <w:rPr>
                <w:sz w:val="16"/>
                <w:szCs w:val="16"/>
                <w:color w:val="auto"/>
              </w:rPr>
            </w:pPr>
          </w:p>
        </w:tc>
        <w:tc>
          <w:tcPr>
            <w:tcW w:w="940" w:type="dxa"/>
            <w:vAlign w:val="bottom"/>
          </w:tcPr>
          <w:p>
            <w:pPr>
              <w:jc w:val="center"/>
              <w:ind w:right="70"/>
              <w:spacing w:after="0"/>
              <w:rPr>
                <w:sz w:val="20"/>
                <w:szCs w:val="20"/>
                <w:color w:val="auto"/>
              </w:rPr>
            </w:pPr>
            <w:r>
              <w:rPr>
                <w:rFonts w:ascii="Arial" w:cs="Arial" w:eastAsia="Arial" w:hAnsi="Arial"/>
                <w:sz w:val="16"/>
                <w:szCs w:val="16"/>
                <w:b w:val="1"/>
                <w:bCs w:val="1"/>
                <w:color w:val="auto"/>
                <w:w w:val="88"/>
              </w:rPr>
              <w:t>Aggregate</w:t>
            </w:r>
          </w:p>
        </w:tc>
      </w:tr>
      <w:tr>
        <w:trPr>
          <w:trHeight w:val="185"/>
        </w:trPr>
        <w:tc>
          <w:tcPr>
            <w:tcW w:w="4100" w:type="dxa"/>
            <w:vAlign w:val="bottom"/>
          </w:tcPr>
          <w:p>
            <w:pPr>
              <w:spacing w:after="0"/>
              <w:rPr>
                <w:sz w:val="16"/>
                <w:szCs w:val="16"/>
                <w:color w:val="auto"/>
              </w:rPr>
            </w:pP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6"/>
                <w:szCs w:val="16"/>
                <w:color w:val="auto"/>
              </w:rPr>
            </w:pPr>
          </w:p>
        </w:tc>
        <w:tc>
          <w:tcPr>
            <w:tcW w:w="1100" w:type="dxa"/>
            <w:vAlign w:val="bottom"/>
          </w:tcPr>
          <w:p>
            <w:pPr>
              <w:jc w:val="center"/>
              <w:ind w:right="208"/>
              <w:spacing w:after="0"/>
              <w:rPr>
                <w:sz w:val="20"/>
                <w:szCs w:val="20"/>
                <w:color w:val="auto"/>
              </w:rPr>
            </w:pPr>
            <w:r>
              <w:rPr>
                <w:rFonts w:ascii="Arial" w:cs="Arial" w:eastAsia="Arial" w:hAnsi="Arial"/>
                <w:sz w:val="16"/>
                <w:szCs w:val="16"/>
                <w:b w:val="1"/>
                <w:bCs w:val="1"/>
                <w:color w:val="auto"/>
                <w:w w:val="92"/>
              </w:rPr>
              <w:t>Price Per</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60" w:type="dxa"/>
            <w:vAlign w:val="bottom"/>
          </w:tcPr>
          <w:p>
            <w:pPr>
              <w:spacing w:after="0"/>
              <w:rPr>
                <w:sz w:val="16"/>
                <w:szCs w:val="16"/>
                <w:color w:val="auto"/>
              </w:rPr>
            </w:pPr>
          </w:p>
        </w:tc>
        <w:tc>
          <w:tcPr>
            <w:tcW w:w="940" w:type="dxa"/>
            <w:vAlign w:val="bottom"/>
          </w:tcPr>
          <w:p>
            <w:pPr>
              <w:jc w:val="center"/>
              <w:ind w:right="70"/>
              <w:spacing w:after="0"/>
              <w:rPr>
                <w:sz w:val="20"/>
                <w:szCs w:val="20"/>
                <w:color w:val="auto"/>
              </w:rPr>
            </w:pPr>
            <w:r>
              <w:rPr>
                <w:rFonts w:ascii="Arial" w:cs="Arial" w:eastAsia="Arial" w:hAnsi="Arial"/>
                <w:sz w:val="16"/>
                <w:szCs w:val="16"/>
                <w:b w:val="1"/>
                <w:bCs w:val="1"/>
                <w:color w:val="auto"/>
                <w:w w:val="93"/>
              </w:rPr>
              <w:t>Intrinsic</w:t>
            </w:r>
          </w:p>
        </w:tc>
      </w:tr>
      <w:tr>
        <w:trPr>
          <w:trHeight w:val="182"/>
        </w:trPr>
        <w:tc>
          <w:tcPr>
            <w:tcW w:w="4100" w:type="dxa"/>
            <w:vAlign w:val="bottom"/>
          </w:tcPr>
          <w:p>
            <w:pPr>
              <w:spacing w:after="0"/>
              <w:rPr>
                <w:sz w:val="15"/>
                <w:szCs w:val="15"/>
                <w:color w:val="auto"/>
              </w:rPr>
            </w:pPr>
          </w:p>
        </w:tc>
        <w:tc>
          <w:tcPr>
            <w:tcW w:w="1320" w:type="dxa"/>
            <w:vAlign w:val="bottom"/>
          </w:tcPr>
          <w:p>
            <w:pPr>
              <w:jc w:val="right"/>
              <w:ind w:right="305"/>
              <w:spacing w:after="0" w:line="182" w:lineRule="exact"/>
              <w:rPr>
                <w:sz w:val="20"/>
                <w:szCs w:val="20"/>
                <w:color w:val="auto"/>
              </w:rPr>
            </w:pPr>
            <w:r>
              <w:rPr>
                <w:rFonts w:ascii="Arial" w:cs="Arial" w:eastAsia="Arial" w:hAnsi="Arial"/>
                <w:sz w:val="16"/>
                <w:szCs w:val="16"/>
                <w:b w:val="1"/>
                <w:bCs w:val="1"/>
                <w:color w:val="auto"/>
              </w:rPr>
              <w:t>Options</w:t>
            </w:r>
          </w:p>
        </w:tc>
        <w:tc>
          <w:tcPr>
            <w:tcW w:w="220" w:type="dxa"/>
            <w:vAlign w:val="bottom"/>
          </w:tcPr>
          <w:p>
            <w:pPr>
              <w:spacing w:after="0"/>
              <w:rPr>
                <w:sz w:val="15"/>
                <w:szCs w:val="15"/>
                <w:color w:val="auto"/>
              </w:rPr>
            </w:pPr>
          </w:p>
        </w:tc>
        <w:tc>
          <w:tcPr>
            <w:tcW w:w="1100" w:type="dxa"/>
            <w:vAlign w:val="bottom"/>
          </w:tcPr>
          <w:p>
            <w:pPr>
              <w:jc w:val="center"/>
              <w:ind w:right="208"/>
              <w:spacing w:after="0" w:line="182" w:lineRule="exact"/>
              <w:rPr>
                <w:sz w:val="20"/>
                <w:szCs w:val="20"/>
                <w:color w:val="auto"/>
              </w:rPr>
            </w:pPr>
            <w:r>
              <w:rPr>
                <w:rFonts w:ascii="Arial" w:cs="Arial" w:eastAsia="Arial" w:hAnsi="Arial"/>
                <w:sz w:val="16"/>
                <w:szCs w:val="16"/>
                <w:b w:val="1"/>
                <w:bCs w:val="1"/>
                <w:color w:val="auto"/>
                <w:w w:val="89"/>
              </w:rPr>
              <w:t>Share</w:t>
            </w:r>
          </w:p>
        </w:tc>
        <w:tc>
          <w:tcPr>
            <w:tcW w:w="12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Term</w:t>
            </w:r>
          </w:p>
        </w:tc>
        <w:tc>
          <w:tcPr>
            <w:tcW w:w="260" w:type="dxa"/>
            <w:vAlign w:val="bottom"/>
          </w:tcPr>
          <w:p>
            <w:pPr>
              <w:spacing w:after="0"/>
              <w:rPr>
                <w:sz w:val="15"/>
                <w:szCs w:val="15"/>
                <w:color w:val="auto"/>
              </w:rPr>
            </w:pPr>
          </w:p>
        </w:tc>
        <w:tc>
          <w:tcPr>
            <w:tcW w:w="940" w:type="dxa"/>
            <w:vAlign w:val="bottom"/>
          </w:tcPr>
          <w:p>
            <w:pPr>
              <w:jc w:val="center"/>
              <w:ind w:right="50"/>
              <w:spacing w:after="0" w:line="182" w:lineRule="exact"/>
              <w:rPr>
                <w:sz w:val="20"/>
                <w:szCs w:val="20"/>
                <w:color w:val="auto"/>
              </w:rPr>
            </w:pPr>
            <w:r>
              <w:rPr>
                <w:rFonts w:ascii="Arial" w:cs="Arial" w:eastAsia="Arial" w:hAnsi="Arial"/>
                <w:sz w:val="16"/>
                <w:szCs w:val="16"/>
                <w:b w:val="1"/>
                <w:bCs w:val="1"/>
                <w:color w:val="auto"/>
                <w:w w:val="93"/>
              </w:rPr>
              <w:t>Value</w:t>
            </w:r>
          </w:p>
        </w:tc>
      </w:tr>
      <w:tr>
        <w:trPr>
          <w:trHeight w:val="214"/>
        </w:trPr>
        <w:tc>
          <w:tcPr>
            <w:tcW w:w="4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200" w:type="dxa"/>
            <w:vAlign w:val="bottom"/>
            <w:gridSpan w:val="2"/>
          </w:tcPr>
          <w:p>
            <w:pPr>
              <w:jc w:val="center"/>
              <w:ind w:left="5"/>
              <w:spacing w:after="0"/>
              <w:rPr>
                <w:sz w:val="20"/>
                <w:szCs w:val="20"/>
                <w:color w:val="auto"/>
              </w:rPr>
            </w:pPr>
            <w:r>
              <w:rPr>
                <w:rFonts w:ascii="Arial" w:cs="Arial" w:eastAsia="Arial" w:hAnsi="Arial"/>
                <w:sz w:val="16"/>
                <w:szCs w:val="16"/>
                <w:b w:val="1"/>
                <w:bCs w:val="1"/>
                <w:color w:val="auto"/>
                <w:w w:val="88"/>
              </w:rPr>
              <w:t>(In thousands)</w:t>
            </w:r>
          </w:p>
        </w:tc>
      </w:tr>
      <w:tr>
        <w:trPr>
          <w:trHeight w:val="243"/>
        </w:trPr>
        <w:tc>
          <w:tcPr>
            <w:tcW w:w="4100" w:type="dxa"/>
            <w:vAlign w:val="bottom"/>
          </w:tcPr>
          <w:p>
            <w:pPr>
              <w:spacing w:after="0"/>
              <w:rPr>
                <w:sz w:val="20"/>
                <w:szCs w:val="20"/>
                <w:color w:val="auto"/>
              </w:rPr>
            </w:pPr>
            <w:r>
              <w:rPr>
                <w:rFonts w:ascii="Arial" w:cs="Arial" w:eastAsia="Arial" w:hAnsi="Arial"/>
                <w:sz w:val="20"/>
                <w:szCs w:val="20"/>
                <w:b w:val="1"/>
                <w:bCs w:val="1"/>
                <w:color w:val="auto"/>
              </w:rPr>
              <w:t>Outstanding as of December 31, 2024</w:t>
            </w:r>
          </w:p>
        </w:tc>
        <w:tc>
          <w:tcPr>
            <w:tcW w:w="1320" w:type="dxa"/>
            <w:vAlign w:val="bottom"/>
          </w:tcPr>
          <w:p>
            <w:pPr>
              <w:jc w:val="right"/>
              <w:ind w:right="45"/>
              <w:spacing w:after="0"/>
              <w:rPr>
                <w:sz w:val="20"/>
                <w:szCs w:val="20"/>
                <w:color w:val="auto"/>
              </w:rPr>
            </w:pPr>
            <w:r>
              <w:rPr>
                <w:rFonts w:ascii="Arial" w:cs="Arial" w:eastAsia="Arial" w:hAnsi="Arial"/>
                <w:sz w:val="20"/>
                <w:szCs w:val="20"/>
                <w:b w:val="1"/>
                <w:bCs w:val="1"/>
                <w:color w:val="auto"/>
              </w:rPr>
              <w:t>10,723,681</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14.24</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5"/>
        </w:trPr>
        <w:tc>
          <w:tcPr>
            <w:tcW w:w="4100" w:type="dxa"/>
            <w:vAlign w:val="bottom"/>
          </w:tcPr>
          <w:p>
            <w:pPr>
              <w:ind w:left="200"/>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ind w:right="45"/>
              <w:spacing w:after="0"/>
              <w:rPr>
                <w:sz w:val="20"/>
                <w:szCs w:val="20"/>
                <w:color w:val="auto"/>
              </w:rPr>
            </w:pPr>
            <w:r>
              <w:rPr>
                <w:rFonts w:ascii="Arial" w:cs="Arial" w:eastAsia="Arial" w:hAnsi="Arial"/>
                <w:sz w:val="20"/>
                <w:szCs w:val="20"/>
                <w:b w:val="1"/>
                <w:bCs w:val="1"/>
                <w:color w:val="auto"/>
              </w:rPr>
              <w:t>2,781,292</w:t>
            </w:r>
          </w:p>
        </w:tc>
        <w:tc>
          <w:tcPr>
            <w:tcW w:w="2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1.31</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2"/>
        </w:trPr>
        <w:tc>
          <w:tcPr>
            <w:tcW w:w="4100" w:type="dxa"/>
            <w:vAlign w:val="bottom"/>
          </w:tcPr>
          <w:p>
            <w:pPr>
              <w:ind w:left="200"/>
              <w:spacing w:after="0"/>
              <w:rPr>
                <w:sz w:val="20"/>
                <w:szCs w:val="20"/>
                <w:color w:val="auto"/>
              </w:rPr>
            </w:pPr>
            <w:r>
              <w:rPr>
                <w:rFonts w:ascii="Arial" w:cs="Arial" w:eastAsia="Arial" w:hAnsi="Arial"/>
                <w:sz w:val="20"/>
                <w:szCs w:val="20"/>
                <w:b w:val="1"/>
                <w:bCs w:val="1"/>
                <w:color w:val="auto"/>
              </w:rPr>
              <w:t>Exercised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(12,075)</w:t>
            </w:r>
          </w:p>
        </w:tc>
        <w:tc>
          <w:tcPr>
            <w:tcW w:w="2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1.20</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5"/>
        </w:trPr>
        <w:tc>
          <w:tcPr>
            <w:tcW w:w="4100" w:type="dxa"/>
            <w:vAlign w:val="bottom"/>
          </w:tcPr>
          <w:p>
            <w:pPr>
              <w:ind w:left="200"/>
              <w:spacing w:after="0"/>
              <w:rPr>
                <w:sz w:val="20"/>
                <w:szCs w:val="20"/>
                <w:color w:val="auto"/>
              </w:rPr>
            </w:pPr>
            <w:r>
              <w:rPr>
                <w:rFonts w:ascii="Arial" w:cs="Arial" w:eastAsia="Arial" w:hAnsi="Arial"/>
                <w:sz w:val="20"/>
                <w:szCs w:val="20"/>
                <w:b w:val="1"/>
                <w:bCs w:val="1"/>
                <w:color w:val="auto"/>
              </w:rPr>
              <w:t>Forfeited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(2,030,188)</w:t>
            </w:r>
          </w:p>
        </w:tc>
        <w:tc>
          <w:tcPr>
            <w:tcW w:w="2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12.55</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9"/>
        </w:trPr>
        <w:tc>
          <w:tcPr>
            <w:tcW w:w="4100" w:type="dxa"/>
            <w:vAlign w:val="bottom"/>
          </w:tcPr>
          <w:p>
            <w:pPr>
              <w:spacing w:after="0"/>
              <w:rPr>
                <w:sz w:val="20"/>
                <w:szCs w:val="20"/>
                <w:color w:val="auto"/>
              </w:rPr>
            </w:pPr>
            <w:r>
              <w:rPr>
                <w:rFonts w:ascii="Arial" w:cs="Arial" w:eastAsia="Arial" w:hAnsi="Arial"/>
                <w:sz w:val="20"/>
                <w:szCs w:val="20"/>
                <w:b w:val="1"/>
                <w:bCs w:val="1"/>
                <w:color w:val="auto"/>
              </w:rPr>
              <w:t>Outstanding as of December 31, 2025</w:t>
            </w:r>
          </w:p>
        </w:tc>
        <w:tc>
          <w:tcPr>
            <w:tcW w:w="1320" w:type="dxa"/>
            <w:vAlign w:val="bottom"/>
          </w:tcPr>
          <w:p>
            <w:pPr>
              <w:jc w:val="right"/>
              <w:ind w:right="45"/>
              <w:spacing w:after="0"/>
              <w:rPr>
                <w:sz w:val="20"/>
                <w:szCs w:val="20"/>
                <w:color w:val="auto"/>
              </w:rPr>
            </w:pPr>
            <w:r>
              <w:rPr>
                <w:rFonts w:ascii="Arial" w:cs="Arial" w:eastAsia="Arial" w:hAnsi="Arial"/>
                <w:sz w:val="20"/>
                <w:szCs w:val="20"/>
                <w:b w:val="1"/>
                <w:bCs w:val="1"/>
                <w:color w:val="auto"/>
              </w:rPr>
              <w:t>11,462,710</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11.41</w:t>
            </w:r>
          </w:p>
        </w:tc>
        <w:tc>
          <w:tcPr>
            <w:tcW w:w="1240" w:type="dxa"/>
            <w:vAlign w:val="bottom"/>
          </w:tcPr>
          <w:p>
            <w:pPr>
              <w:jc w:val="right"/>
              <w:ind w:right="13"/>
              <w:spacing w:after="0"/>
              <w:rPr>
                <w:sz w:val="20"/>
                <w:szCs w:val="20"/>
                <w:color w:val="auto"/>
              </w:rPr>
            </w:pPr>
            <w:r>
              <w:rPr>
                <w:rFonts w:ascii="Arial" w:cs="Arial" w:eastAsia="Arial" w:hAnsi="Arial"/>
                <w:sz w:val="20"/>
                <w:szCs w:val="20"/>
                <w:b w:val="1"/>
                <w:bCs w:val="1"/>
                <w:color w:val="auto"/>
              </w:rPr>
              <w:t>5.0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691</w:t>
            </w:r>
          </w:p>
        </w:tc>
      </w:tr>
      <w:tr>
        <w:trPr>
          <w:trHeight w:val="288"/>
        </w:trPr>
        <w:tc>
          <w:tcPr>
            <w:tcW w:w="4100" w:type="dxa"/>
            <w:vAlign w:val="bottom"/>
          </w:tcPr>
          <w:p>
            <w:pPr>
              <w:spacing w:after="0"/>
              <w:rPr>
                <w:sz w:val="20"/>
                <w:szCs w:val="20"/>
                <w:color w:val="auto"/>
              </w:rPr>
            </w:pPr>
            <w:r>
              <w:rPr>
                <w:rFonts w:ascii="Arial" w:cs="Arial" w:eastAsia="Arial" w:hAnsi="Arial"/>
                <w:sz w:val="20"/>
                <w:szCs w:val="20"/>
                <w:b w:val="1"/>
                <w:bCs w:val="1"/>
                <w:color w:val="auto"/>
              </w:rPr>
              <w:t>Exercisable as of December 31, 2025</w:t>
            </w:r>
          </w:p>
        </w:tc>
        <w:tc>
          <w:tcPr>
            <w:tcW w:w="1320" w:type="dxa"/>
            <w:vAlign w:val="bottom"/>
          </w:tcPr>
          <w:p>
            <w:pPr>
              <w:jc w:val="right"/>
              <w:ind w:right="45"/>
              <w:spacing w:after="0"/>
              <w:rPr>
                <w:sz w:val="20"/>
                <w:szCs w:val="20"/>
                <w:color w:val="auto"/>
              </w:rPr>
            </w:pPr>
            <w:r>
              <w:rPr>
                <w:rFonts w:ascii="Arial" w:cs="Arial" w:eastAsia="Arial" w:hAnsi="Arial"/>
                <w:sz w:val="20"/>
                <w:szCs w:val="20"/>
                <w:b w:val="1"/>
                <w:bCs w:val="1"/>
                <w:color w:val="auto"/>
              </w:rPr>
              <w:t>8,674,204</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3.47</w:t>
            </w:r>
          </w:p>
        </w:tc>
        <w:tc>
          <w:tcPr>
            <w:tcW w:w="1240" w:type="dxa"/>
            <w:vAlign w:val="bottom"/>
          </w:tcPr>
          <w:p>
            <w:pPr>
              <w:jc w:val="right"/>
              <w:ind w:right="13"/>
              <w:spacing w:after="0"/>
              <w:rPr>
                <w:sz w:val="20"/>
                <w:szCs w:val="20"/>
                <w:color w:val="auto"/>
              </w:rPr>
            </w:pPr>
            <w:r>
              <w:rPr>
                <w:rFonts w:ascii="Arial" w:cs="Arial" w:eastAsia="Arial" w:hAnsi="Arial"/>
                <w:sz w:val="20"/>
                <w:szCs w:val="20"/>
                <w:b w:val="1"/>
                <w:bCs w:val="1"/>
                <w:color w:val="auto"/>
              </w:rPr>
              <w:t>3.5</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290"/>
        </w:trPr>
        <w:tc>
          <w:tcPr>
            <w:tcW w:w="4100" w:type="dxa"/>
            <w:vAlign w:val="bottom"/>
          </w:tcPr>
          <w:p>
            <w:pPr>
              <w:spacing w:after="0"/>
              <w:rPr>
                <w:sz w:val="20"/>
                <w:szCs w:val="20"/>
                <w:color w:val="auto"/>
              </w:rPr>
            </w:pPr>
            <w:r>
              <w:rPr>
                <w:rFonts w:ascii="Arial" w:cs="Arial" w:eastAsia="Arial" w:hAnsi="Arial"/>
                <w:sz w:val="20"/>
                <w:szCs w:val="20"/>
                <w:b w:val="1"/>
                <w:bCs w:val="1"/>
                <w:color w:val="auto"/>
                <w:w w:val="89"/>
              </w:rPr>
              <w:t>Vested and expected to vest as of December 31,</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100" w:type="dxa"/>
            <w:vAlign w:val="bottom"/>
          </w:tcPr>
          <w:p>
            <w:pPr>
              <w:ind w:left="160"/>
              <w:spacing w:after="0"/>
              <w:rPr>
                <w:sz w:val="20"/>
                <w:szCs w:val="20"/>
                <w:color w:val="auto"/>
              </w:rPr>
            </w:pPr>
            <w:r>
              <w:rPr>
                <w:rFonts w:ascii="Arial" w:cs="Arial" w:eastAsia="Arial" w:hAnsi="Arial"/>
                <w:sz w:val="20"/>
                <w:szCs w:val="20"/>
                <w:b w:val="1"/>
                <w:bCs w:val="1"/>
                <w:color w:val="auto"/>
              </w:rPr>
              <w:t>2025</w:t>
            </w:r>
          </w:p>
        </w:tc>
        <w:tc>
          <w:tcPr>
            <w:tcW w:w="1320" w:type="dxa"/>
            <w:vAlign w:val="bottom"/>
          </w:tcPr>
          <w:p>
            <w:pPr>
              <w:jc w:val="right"/>
              <w:ind w:right="45"/>
              <w:spacing w:after="0"/>
              <w:rPr>
                <w:sz w:val="20"/>
                <w:szCs w:val="20"/>
                <w:color w:val="auto"/>
              </w:rPr>
            </w:pPr>
            <w:r>
              <w:rPr>
                <w:rFonts w:ascii="Arial" w:cs="Arial" w:eastAsia="Arial" w:hAnsi="Arial"/>
                <w:sz w:val="20"/>
                <w:szCs w:val="20"/>
                <w:b w:val="1"/>
                <w:bCs w:val="1"/>
                <w:color w:val="auto"/>
              </w:rPr>
              <w:t>11,462,710</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20"/>
                <w:szCs w:val="20"/>
                <w:b w:val="1"/>
                <w:bCs w:val="1"/>
                <w:color w:val="auto"/>
              </w:rPr>
              <w:t>11.41</w:t>
            </w:r>
          </w:p>
        </w:tc>
        <w:tc>
          <w:tcPr>
            <w:tcW w:w="1240" w:type="dxa"/>
            <w:vAlign w:val="bottom"/>
          </w:tcPr>
          <w:p>
            <w:pPr>
              <w:jc w:val="right"/>
              <w:ind w:right="13"/>
              <w:spacing w:after="0"/>
              <w:rPr>
                <w:sz w:val="20"/>
                <w:szCs w:val="20"/>
                <w:color w:val="auto"/>
              </w:rPr>
            </w:pPr>
            <w:r>
              <w:rPr>
                <w:rFonts w:ascii="Arial" w:cs="Arial" w:eastAsia="Arial" w:hAnsi="Arial"/>
                <w:sz w:val="20"/>
                <w:szCs w:val="20"/>
                <w:b w:val="1"/>
                <w:bCs w:val="1"/>
                <w:color w:val="auto"/>
              </w:rPr>
              <w:t>5.0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691</w:t>
            </w:r>
          </w:p>
        </w:tc>
      </w:tr>
    </w:tbl>
    <w:p>
      <w:pPr>
        <w:spacing w:after="0" w:line="285" w:lineRule="exact"/>
        <w:rPr>
          <w:sz w:val="20"/>
          <w:szCs w:val="20"/>
          <w:color w:val="auto"/>
        </w:rPr>
      </w:pPr>
    </w:p>
    <w:p>
      <w:pPr>
        <w:ind w:left="480"/>
        <w:spacing w:after="0" w:line="241" w:lineRule="auto"/>
        <w:rPr>
          <w:sz w:val="20"/>
          <w:szCs w:val="20"/>
          <w:color w:val="auto"/>
        </w:rPr>
      </w:pPr>
      <w:r>
        <w:rPr>
          <w:rFonts w:ascii="Arial" w:cs="Arial" w:eastAsia="Arial" w:hAnsi="Arial"/>
          <w:sz w:val="18"/>
          <w:szCs w:val="18"/>
          <w:b w:val="1"/>
          <w:bCs w:val="1"/>
          <w:color w:val="auto"/>
        </w:rPr>
        <w:t xml:space="preserve">For each in-the-money stock option, the aggregate intrinsic value is calculated as the number of shares underlying the </w:t>
      </w:r>
      <w:r>
        <w:rPr>
          <w:rFonts w:ascii="Arial" w:cs="Arial" w:eastAsia="Arial" w:hAnsi="Arial"/>
          <w:sz w:val="18"/>
          <w:szCs w:val="18"/>
          <w:b w:val="1"/>
          <w:bCs w:val="1"/>
          <w:color w:val="auto"/>
          <w:highlight w:val="white"/>
        </w:rPr>
        <w:t>stock option multiplied by the difference between the per share exercise price of the stock option and the fair market value of the Company’s common stock on the relevant date. The aggregate intrinsic value of options exercised was less than $0.1 million and zero,</w:t>
      </w:r>
      <w:r>
        <w:rPr>
          <w:sz w:val="1"/>
          <w:szCs w:val="1"/>
          <w:color w:val="auto"/>
        </w:rPr>
        <w:drawing>
          <wp:inline distT="0" distB="0" distL="0" distR="0">
            <wp:extent cx="59055"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for the years ended December 31, 2025 and 2024, respectively. The weighted-average</w:t>
      </w:r>
      <w:r>
        <w:rPr>
          <w:sz w:val="1"/>
          <w:szCs w:val="1"/>
          <w:color w:val="auto"/>
        </w:rPr>
        <w:drawing>
          <wp:inline distT="0" distB="0" distL="0" distR="0">
            <wp:extent cx="59055" cy="1333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grant-date fair value per share of options granted was $0.97 and $4.45, for the years ended December 31, 2025 and</w:t>
      </w:r>
      <w:r>
        <w:rPr>
          <w:sz w:val="1"/>
          <w:szCs w:val="1"/>
          <w:color w:val="auto"/>
        </w:rPr>
        <w:drawing>
          <wp:inline distT="0" distB="0" distL="0" distR="0">
            <wp:extent cx="59055"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2024, respectively. As of December 31, 2025, total unrecognized stock-based compensation related to unvested stock options was $3.7 million, which the Company expects to recognize over a remaining weighted-average period of 3.4</w:t>
      </w:r>
      <w:r>
        <w:rPr>
          <w:sz w:val="1"/>
          <w:szCs w:val="1"/>
          <w:color w:val="auto"/>
        </w:rPr>
        <w:drawing>
          <wp:inline distT="0" distB="0" distL="0" distR="0">
            <wp:extent cx="59055" cy="1333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rPr>
        <w:t xml:space="preser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-156210</wp:posOffset>
            </wp:positionV>
            <wp:extent cx="1165225" cy="4705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65225" cy="470535"/>
                    </a:xfrm>
                    <a:prstGeom prst="rect">
                      <a:avLst/>
                    </a:prstGeom>
                    <a:noFill/>
                  </pic:spPr>
                </pic:pic>
              </a:graphicData>
            </a:graphic>
          </wp:anchor>
        </w:drawing>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 xml:space="preserve">Restricted Stock Unit </w:t>
      </w:r>
      <w:r>
        <w:rPr>
          <w:rFonts w:ascii="Arial" w:cs="Arial" w:eastAsia="Arial" w:hAnsi="Arial"/>
          <w:sz w:val="20"/>
          <w:szCs w:val="20"/>
          <w:b w:val="1"/>
          <w:bCs w:val="1"/>
          <w:color w:val="auto"/>
          <w:highlight w:val="white"/>
        </w:rPr>
        <w:t>Activity</w:t>
      </w:r>
    </w:p>
    <w:p>
      <w:pPr>
        <w:spacing w:after="0" w:line="131" w:lineRule="exact"/>
        <w:rPr>
          <w:sz w:val="20"/>
          <w:szCs w:val="20"/>
          <w:color w:val="auto"/>
        </w:rPr>
      </w:pPr>
    </w:p>
    <w:p>
      <w:pPr>
        <w:ind w:left="480" w:right="240"/>
        <w:spacing w:after="0" w:line="351" w:lineRule="auto"/>
        <w:rPr>
          <w:sz w:val="20"/>
          <w:szCs w:val="20"/>
          <w:color w:val="auto"/>
        </w:rPr>
      </w:pPr>
      <w:r>
        <w:rPr>
          <w:rFonts w:ascii="Arial" w:cs="Arial" w:eastAsia="Arial" w:hAnsi="Arial"/>
          <w:sz w:val="15"/>
          <w:szCs w:val="15"/>
          <w:b w:val="1"/>
          <w:bCs w:val="1"/>
          <w:color w:val="auto"/>
        </w:rPr>
        <w:t>Activity for the RSUs is shown below. In May 2021 and January 2022, the Company issued RSUs with market conditions to certain executives, which are also included in the table below. The RSUs with market conditions are earned based on stock price performance and continued service by the employee. The RSUs with market conditions</w:t>
      </w:r>
    </w:p>
    <w:p>
      <w:pPr>
        <w:sectPr>
          <w:pgSz w:w="12240" w:h="15840" w:orient="portrait"/>
          <w:cols w:equalWidth="0" w:num="1">
            <w:col w:w="10000"/>
          </w:cols>
          <w:pgMar w:left="1440" w:top="1151" w:right="800" w:bottom="181" w:gutter="0" w:footer="0" w:header="0"/>
        </w:sectPr>
      </w:pP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120</w:t>
      </w:r>
    </w:p>
    <w:p>
      <w:pPr>
        <w:sectPr>
          <w:pgSz w:w="12240" w:h="15840" w:orient="portrait"/>
          <w:cols w:equalWidth="0" w:num="1">
            <w:col w:w="10000"/>
          </w:cols>
          <w:pgMar w:left="1440" w:top="1151" w:right="800" w:bottom="181" w:gutter="0" w:footer="0" w:header="0"/>
          <w:type w:val="continuous"/>
        </w:sectPr>
      </w:pPr>
    </w:p>
    <w:bookmarkStart w:id="122" w:name="page123"/>
    <w:bookmarkEnd w:id="122"/>
    <w:p>
      <w:pPr>
        <w:ind w:left="480" w:right="120"/>
        <w:spacing w:after="0" w:line="287" w:lineRule="auto"/>
        <w:rPr>
          <w:sz w:val="20"/>
          <w:szCs w:val="20"/>
          <w:color w:val="auto"/>
        </w:rPr>
      </w:pPr>
      <w:r>
        <w:rPr>
          <w:rFonts w:ascii="Arial" w:cs="Arial" w:eastAsia="Arial" w:hAnsi="Arial"/>
          <w:sz w:val="17"/>
          <w:szCs w:val="17"/>
          <w:b w:val="1"/>
          <w:bCs w:val="1"/>
          <w:color w:val="auto"/>
        </w:rPr>
        <w:t>trigger vesting upon the Company’s stock price attaining a specified level over a specified period of time. The shares then vest quarterly over one year after attainment. The Company used a Monte Carlo simulation model to determine the fair value of the awards at the grant date. The Monte Carlo model uses the fair value inputs on the grant date to run simulations and take an average of possible outcomes. The total grant date fair value of the RSUs with market condition was $6.6 million to be amortized over an estimated weighted average service period of 2.1 years. Compensation expense related to awards with market-based conditions is recognized regardless of whether the market condition is ultimately satisfied if the related service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-180975</wp:posOffset>
            </wp:positionV>
            <wp:extent cx="6211570" cy="6158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11570" cy="6158230"/>
                    </a:xfrm>
                    <a:prstGeom prst="rect">
                      <a:avLst/>
                    </a:prstGeom>
                    <a:noFill/>
                  </pic:spPr>
                </pic:pic>
              </a:graphicData>
            </a:graphic>
          </wp:anchor>
        </w:drawing>
      </w: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151"/>
              <w:spacing w:after="0"/>
              <w:rPr>
                <w:sz w:val="20"/>
                <w:szCs w:val="20"/>
                <w:color w:val="auto"/>
              </w:rPr>
            </w:pPr>
            <w:r>
              <w:rPr>
                <w:rFonts w:ascii="Arial" w:cs="Arial" w:eastAsia="Arial" w:hAnsi="Arial"/>
                <w:sz w:val="16"/>
                <w:szCs w:val="16"/>
                <w:b w:val="1"/>
                <w:bCs w:val="1"/>
                <w:color w:val="auto"/>
                <w:w w:val="91"/>
              </w:rPr>
              <w:t>Weighted</w:t>
            </w:r>
          </w:p>
        </w:tc>
      </w:tr>
      <w:tr>
        <w:trPr>
          <w:trHeight w:val="182"/>
        </w:trPr>
        <w:tc>
          <w:tcPr>
            <w:tcW w:w="56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131"/>
              <w:spacing w:after="0" w:line="182" w:lineRule="exact"/>
              <w:rPr>
                <w:sz w:val="20"/>
                <w:szCs w:val="20"/>
                <w:color w:val="auto"/>
              </w:rPr>
            </w:pPr>
            <w:r>
              <w:rPr>
                <w:rFonts w:ascii="Arial" w:cs="Arial" w:eastAsia="Arial" w:hAnsi="Arial"/>
                <w:sz w:val="16"/>
                <w:szCs w:val="16"/>
                <w:b w:val="1"/>
                <w:bCs w:val="1"/>
                <w:color w:val="auto"/>
                <w:w w:val="88"/>
              </w:rPr>
              <w:t>Average</w:t>
            </w:r>
          </w:p>
        </w:tc>
      </w:tr>
      <w:tr>
        <w:trPr>
          <w:trHeight w:val="185"/>
        </w:trPr>
        <w:tc>
          <w:tcPr>
            <w:tcW w:w="5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151"/>
              <w:spacing w:after="0"/>
              <w:rPr>
                <w:sz w:val="20"/>
                <w:szCs w:val="20"/>
                <w:color w:val="auto"/>
              </w:rPr>
            </w:pPr>
            <w:r>
              <w:rPr>
                <w:rFonts w:ascii="Arial" w:cs="Arial" w:eastAsia="Arial" w:hAnsi="Arial"/>
                <w:sz w:val="16"/>
                <w:szCs w:val="16"/>
                <w:b w:val="1"/>
                <w:bCs w:val="1"/>
                <w:color w:val="auto"/>
                <w:w w:val="98"/>
              </w:rPr>
              <w:t>Grant</w:t>
            </w:r>
          </w:p>
        </w:tc>
      </w:tr>
      <w:tr>
        <w:trPr>
          <w:trHeight w:val="185"/>
        </w:trPr>
        <w:tc>
          <w:tcPr>
            <w:tcW w:w="5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151"/>
              <w:spacing w:after="0"/>
              <w:rPr>
                <w:sz w:val="20"/>
                <w:szCs w:val="20"/>
                <w:color w:val="auto"/>
              </w:rPr>
            </w:pPr>
            <w:r>
              <w:rPr>
                <w:rFonts w:ascii="Arial" w:cs="Arial" w:eastAsia="Arial" w:hAnsi="Arial"/>
                <w:sz w:val="16"/>
                <w:szCs w:val="16"/>
                <w:b w:val="1"/>
                <w:bCs w:val="1"/>
                <w:color w:val="auto"/>
                <w:w w:val="96"/>
              </w:rPr>
              <w:t>Date Fair</w:t>
            </w:r>
          </w:p>
        </w:tc>
      </w:tr>
      <w:tr>
        <w:trPr>
          <w:trHeight w:val="182"/>
        </w:trPr>
        <w:tc>
          <w:tcPr>
            <w:tcW w:w="5640" w:type="dxa"/>
            <w:vAlign w:val="bottom"/>
          </w:tcPr>
          <w:p>
            <w:pPr>
              <w:spacing w:after="0"/>
              <w:rPr>
                <w:sz w:val="15"/>
                <w:szCs w:val="15"/>
                <w:color w:val="auto"/>
              </w:rPr>
            </w:pPr>
          </w:p>
        </w:tc>
        <w:tc>
          <w:tcPr>
            <w:tcW w:w="2360" w:type="dxa"/>
            <w:vAlign w:val="bottom"/>
          </w:tcPr>
          <w:p>
            <w:pPr>
              <w:jc w:val="right"/>
              <w:ind w:right="406"/>
              <w:spacing w:after="0" w:line="182" w:lineRule="exact"/>
              <w:rPr>
                <w:sz w:val="20"/>
                <w:szCs w:val="20"/>
                <w:color w:val="auto"/>
              </w:rPr>
            </w:pPr>
            <w:r>
              <w:rPr>
                <w:rFonts w:ascii="Arial" w:cs="Arial" w:eastAsia="Arial" w:hAnsi="Arial"/>
                <w:sz w:val="16"/>
                <w:szCs w:val="16"/>
                <w:b w:val="1"/>
                <w:bCs w:val="1"/>
                <w:color w:val="auto"/>
              </w:rPr>
              <w:t>Number of</w:t>
            </w:r>
          </w:p>
        </w:tc>
        <w:tc>
          <w:tcPr>
            <w:tcW w:w="320" w:type="dxa"/>
            <w:vAlign w:val="bottom"/>
          </w:tcPr>
          <w:p>
            <w:pPr>
              <w:spacing w:after="0"/>
              <w:rPr>
                <w:sz w:val="15"/>
                <w:szCs w:val="15"/>
                <w:color w:val="auto"/>
              </w:rPr>
            </w:pPr>
          </w:p>
        </w:tc>
        <w:tc>
          <w:tcPr>
            <w:tcW w:w="1140" w:type="dxa"/>
            <w:vAlign w:val="bottom"/>
          </w:tcPr>
          <w:p>
            <w:pPr>
              <w:jc w:val="center"/>
              <w:ind w:right="131"/>
              <w:spacing w:after="0" w:line="182" w:lineRule="exact"/>
              <w:rPr>
                <w:sz w:val="20"/>
                <w:szCs w:val="20"/>
                <w:color w:val="auto"/>
              </w:rPr>
            </w:pPr>
            <w:r>
              <w:rPr>
                <w:rFonts w:ascii="Arial" w:cs="Arial" w:eastAsia="Arial" w:hAnsi="Arial"/>
                <w:sz w:val="16"/>
                <w:szCs w:val="16"/>
                <w:b w:val="1"/>
                <w:bCs w:val="1"/>
                <w:color w:val="auto"/>
                <w:w w:val="94"/>
              </w:rPr>
              <w:t>Value per</w:t>
            </w:r>
          </w:p>
        </w:tc>
      </w:tr>
      <w:tr>
        <w:trPr>
          <w:trHeight w:val="185"/>
        </w:trPr>
        <w:tc>
          <w:tcPr>
            <w:tcW w:w="5640" w:type="dxa"/>
            <w:vAlign w:val="bottom"/>
          </w:tcPr>
          <w:p>
            <w:pPr>
              <w:spacing w:after="0"/>
              <w:rPr>
                <w:sz w:val="16"/>
                <w:szCs w:val="16"/>
                <w:color w:val="auto"/>
              </w:rPr>
            </w:pPr>
          </w:p>
        </w:tc>
        <w:tc>
          <w:tcPr>
            <w:tcW w:w="2360" w:type="dxa"/>
            <w:vAlign w:val="bottom"/>
          </w:tcPr>
          <w:p>
            <w:pPr>
              <w:jc w:val="right"/>
              <w:ind w:right="546"/>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6"/>
                <w:szCs w:val="16"/>
                <w:color w:val="auto"/>
              </w:rPr>
            </w:pPr>
          </w:p>
        </w:tc>
        <w:tc>
          <w:tcPr>
            <w:tcW w:w="114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Share</w:t>
            </w:r>
          </w:p>
        </w:tc>
      </w:tr>
      <w:tr>
        <w:trPr>
          <w:trHeight w:val="258"/>
        </w:trPr>
        <w:tc>
          <w:tcPr>
            <w:tcW w:w="5640" w:type="dxa"/>
            <w:vAlign w:val="bottom"/>
          </w:tcPr>
          <w:p>
            <w:pPr>
              <w:spacing w:after="0"/>
              <w:rPr>
                <w:sz w:val="20"/>
                <w:szCs w:val="20"/>
                <w:color w:val="auto"/>
              </w:rPr>
            </w:pPr>
            <w:r>
              <w:rPr>
                <w:rFonts w:ascii="Arial" w:cs="Arial" w:eastAsia="Arial" w:hAnsi="Arial"/>
                <w:sz w:val="20"/>
                <w:szCs w:val="20"/>
                <w:b w:val="1"/>
                <w:bCs w:val="1"/>
                <w:color w:val="auto"/>
              </w:rPr>
              <w:t>Unvested restricted stock units as of December 31, 2024</w:t>
            </w:r>
          </w:p>
        </w:tc>
        <w:tc>
          <w:tcPr>
            <w:tcW w:w="2360" w:type="dxa"/>
            <w:vAlign w:val="bottom"/>
          </w:tcPr>
          <w:p>
            <w:pPr>
              <w:jc w:val="right"/>
              <w:ind w:right="86"/>
              <w:spacing w:after="0"/>
              <w:rPr>
                <w:sz w:val="20"/>
                <w:szCs w:val="20"/>
                <w:color w:val="auto"/>
              </w:rPr>
            </w:pPr>
            <w:r>
              <w:rPr>
                <w:rFonts w:ascii="Arial" w:cs="Arial" w:eastAsia="Arial" w:hAnsi="Arial"/>
                <w:sz w:val="20"/>
                <w:szCs w:val="20"/>
                <w:b w:val="1"/>
                <w:bCs w:val="1"/>
                <w:color w:val="auto"/>
              </w:rPr>
              <w:t>8,365,063</w:t>
            </w:r>
          </w:p>
        </w:tc>
        <w:tc>
          <w:tcPr>
            <w:tcW w:w="32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5.76</w:t>
            </w:r>
          </w:p>
        </w:tc>
      </w:tr>
      <w:tr>
        <w:trPr>
          <w:trHeight w:val="245"/>
        </w:trPr>
        <w:tc>
          <w:tcPr>
            <w:tcW w:w="5640" w:type="dxa"/>
            <w:vAlign w:val="bottom"/>
          </w:tcPr>
          <w:p>
            <w:pPr>
              <w:ind w:left="200"/>
              <w:spacing w:after="0"/>
              <w:rPr>
                <w:sz w:val="20"/>
                <w:szCs w:val="20"/>
                <w:color w:val="auto"/>
              </w:rPr>
            </w:pPr>
            <w:r>
              <w:rPr>
                <w:rFonts w:ascii="Arial" w:cs="Arial" w:eastAsia="Arial" w:hAnsi="Arial"/>
                <w:sz w:val="20"/>
                <w:szCs w:val="20"/>
                <w:b w:val="1"/>
                <w:bCs w:val="1"/>
                <w:color w:val="auto"/>
              </w:rPr>
              <w:t>Granted</w:t>
            </w:r>
          </w:p>
        </w:tc>
        <w:tc>
          <w:tcPr>
            <w:tcW w:w="2360" w:type="dxa"/>
            <w:vAlign w:val="bottom"/>
          </w:tcPr>
          <w:p>
            <w:pPr>
              <w:jc w:val="right"/>
              <w:ind w:right="86"/>
              <w:spacing w:after="0"/>
              <w:rPr>
                <w:sz w:val="20"/>
                <w:szCs w:val="20"/>
                <w:color w:val="auto"/>
              </w:rPr>
            </w:pPr>
            <w:r>
              <w:rPr>
                <w:rFonts w:ascii="Arial" w:cs="Arial" w:eastAsia="Arial" w:hAnsi="Arial"/>
                <w:sz w:val="20"/>
                <w:szCs w:val="20"/>
                <w:b w:val="1"/>
                <w:bCs w:val="1"/>
                <w:color w:val="auto"/>
              </w:rPr>
              <w:t>2,676,927</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1.32</w:t>
            </w:r>
          </w:p>
        </w:tc>
      </w:tr>
      <w:tr>
        <w:trPr>
          <w:trHeight w:val="245"/>
        </w:trPr>
        <w:tc>
          <w:tcPr>
            <w:tcW w:w="5640" w:type="dxa"/>
            <w:vAlign w:val="bottom"/>
          </w:tcPr>
          <w:p>
            <w:pPr>
              <w:ind w:left="200"/>
              <w:spacing w:after="0"/>
              <w:rPr>
                <w:sz w:val="20"/>
                <w:szCs w:val="20"/>
                <w:color w:val="auto"/>
              </w:rPr>
            </w:pPr>
            <w:r>
              <w:rPr>
                <w:rFonts w:ascii="Arial" w:cs="Arial" w:eastAsia="Arial" w:hAnsi="Arial"/>
                <w:sz w:val="20"/>
                <w:szCs w:val="20"/>
                <w:b w:val="1"/>
                <w:bCs w:val="1"/>
                <w:color w:val="auto"/>
              </w:rPr>
              <w:t>Vested</w:t>
            </w:r>
          </w:p>
        </w:tc>
        <w:tc>
          <w:tcPr>
            <w:tcW w:w="2360" w:type="dxa"/>
            <w:vAlign w:val="bottom"/>
          </w:tcPr>
          <w:p>
            <w:pPr>
              <w:jc w:val="right"/>
              <w:ind w:right="6"/>
              <w:spacing w:after="0"/>
              <w:rPr>
                <w:sz w:val="20"/>
                <w:szCs w:val="20"/>
                <w:color w:val="auto"/>
              </w:rPr>
            </w:pPr>
            <w:r>
              <w:rPr>
                <w:rFonts w:ascii="Arial" w:cs="Arial" w:eastAsia="Arial" w:hAnsi="Arial"/>
                <w:sz w:val="20"/>
                <w:szCs w:val="20"/>
                <w:b w:val="1"/>
                <w:bCs w:val="1"/>
                <w:color w:val="auto"/>
              </w:rPr>
              <w:t>(3,962,364)</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5.00</w:t>
            </w:r>
          </w:p>
        </w:tc>
      </w:tr>
      <w:tr>
        <w:trPr>
          <w:trHeight w:val="242"/>
        </w:trPr>
        <w:tc>
          <w:tcPr>
            <w:tcW w:w="5640" w:type="dxa"/>
            <w:vAlign w:val="bottom"/>
          </w:tcPr>
          <w:p>
            <w:pPr>
              <w:ind w:left="200"/>
              <w:spacing w:after="0"/>
              <w:rPr>
                <w:sz w:val="20"/>
                <w:szCs w:val="20"/>
                <w:color w:val="auto"/>
              </w:rPr>
            </w:pPr>
            <w:r>
              <w:rPr>
                <w:rFonts w:ascii="Arial" w:cs="Arial" w:eastAsia="Arial" w:hAnsi="Arial"/>
                <w:sz w:val="20"/>
                <w:szCs w:val="20"/>
                <w:b w:val="1"/>
                <w:bCs w:val="1"/>
                <w:color w:val="auto"/>
              </w:rPr>
              <w:t>Forfeited</w:t>
            </w:r>
          </w:p>
        </w:tc>
        <w:tc>
          <w:tcPr>
            <w:tcW w:w="2360" w:type="dxa"/>
            <w:vAlign w:val="bottom"/>
          </w:tcPr>
          <w:p>
            <w:pPr>
              <w:jc w:val="right"/>
              <w:ind w:right="6"/>
              <w:spacing w:after="0"/>
              <w:rPr>
                <w:sz w:val="20"/>
                <w:szCs w:val="20"/>
                <w:color w:val="auto"/>
              </w:rPr>
            </w:pPr>
            <w:r>
              <w:rPr>
                <w:rFonts w:ascii="Arial" w:cs="Arial" w:eastAsia="Arial" w:hAnsi="Arial"/>
                <w:sz w:val="20"/>
                <w:szCs w:val="20"/>
                <w:b w:val="1"/>
                <w:bCs w:val="1"/>
                <w:color w:val="auto"/>
              </w:rPr>
              <w:t>(3,202,691)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5.84</w:t>
            </w:r>
          </w:p>
        </w:tc>
      </w:tr>
      <w:tr>
        <w:trPr>
          <w:trHeight w:val="259"/>
        </w:trPr>
        <w:tc>
          <w:tcPr>
            <w:tcW w:w="5640" w:type="dxa"/>
            <w:vAlign w:val="bottom"/>
          </w:tcPr>
          <w:p>
            <w:pPr>
              <w:spacing w:after="0"/>
              <w:rPr>
                <w:sz w:val="20"/>
                <w:szCs w:val="20"/>
                <w:color w:val="auto"/>
              </w:rPr>
            </w:pPr>
            <w:r>
              <w:rPr>
                <w:rFonts w:ascii="Arial" w:cs="Arial" w:eastAsia="Arial" w:hAnsi="Arial"/>
                <w:sz w:val="20"/>
                <w:szCs w:val="20"/>
                <w:b w:val="1"/>
                <w:bCs w:val="1"/>
                <w:color w:val="auto"/>
              </w:rPr>
              <w:t>Unvested restricted stock units as of December 31, 2025</w:t>
            </w:r>
          </w:p>
        </w:tc>
        <w:tc>
          <w:tcPr>
            <w:tcW w:w="2360" w:type="dxa"/>
            <w:vAlign w:val="bottom"/>
          </w:tcPr>
          <w:p>
            <w:pPr>
              <w:jc w:val="right"/>
              <w:ind w:right="86"/>
              <w:spacing w:after="0"/>
              <w:rPr>
                <w:sz w:val="20"/>
                <w:szCs w:val="20"/>
                <w:color w:val="auto"/>
              </w:rPr>
            </w:pPr>
            <w:r>
              <w:rPr>
                <w:rFonts w:ascii="Arial" w:cs="Arial" w:eastAsia="Arial" w:hAnsi="Arial"/>
                <w:sz w:val="20"/>
                <w:szCs w:val="20"/>
                <w:b w:val="1"/>
                <w:bCs w:val="1"/>
                <w:color w:val="auto"/>
              </w:rPr>
              <w:t>3,876,935</w:t>
            </w:r>
          </w:p>
        </w:tc>
        <w:tc>
          <w:tcPr>
            <w:tcW w:w="32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3.41</w:t>
            </w:r>
          </w:p>
        </w:tc>
      </w:tr>
    </w:tbl>
    <w:p>
      <w:pPr>
        <w:spacing w:after="0" w:line="200" w:lineRule="exact"/>
        <w:rPr>
          <w:sz w:val="20"/>
          <w:szCs w:val="20"/>
          <w:color w:val="auto"/>
        </w:rPr>
      </w:pPr>
    </w:p>
    <w:p>
      <w:pPr>
        <w:spacing w:after="0" w:line="327" w:lineRule="exact"/>
        <w:rPr>
          <w:sz w:val="20"/>
          <w:szCs w:val="20"/>
          <w:color w:val="auto"/>
        </w:rPr>
      </w:pPr>
    </w:p>
    <w:p>
      <w:pPr>
        <w:ind w:left="480"/>
        <w:spacing w:after="0" w:line="235" w:lineRule="auto"/>
        <w:rPr>
          <w:sz w:val="20"/>
          <w:szCs w:val="20"/>
          <w:color w:val="auto"/>
        </w:rPr>
      </w:pPr>
      <w:r>
        <w:rPr>
          <w:rFonts w:ascii="Arial" w:cs="Arial" w:eastAsia="Arial" w:hAnsi="Arial"/>
          <w:sz w:val="20"/>
          <w:szCs w:val="20"/>
          <w:b w:val="1"/>
          <w:bCs w:val="1"/>
          <w:color w:val="auto"/>
        </w:rPr>
        <w:t xml:space="preserve">As of December 31, 2025, total unrecognized stock-based compensation related to unvested RSUs issued to </w:t>
      </w:r>
      <w:r>
        <w:rPr>
          <w:rFonts w:ascii="Arial" w:cs="Arial" w:eastAsia="Arial" w:hAnsi="Arial"/>
          <w:sz w:val="20"/>
          <w:szCs w:val="20"/>
          <w:b w:val="1"/>
          <w:bCs w:val="1"/>
          <w:color w:val="auto"/>
          <w:highlight w:val="white"/>
        </w:rPr>
        <w:t>employees was $12.2 million, which the Company expects to recognize over a remaining weighted-average period of</w:t>
      </w:r>
      <w:r>
        <w:rPr>
          <w:sz w:val="1"/>
          <w:szCs w:val="1"/>
          <w:color w:val="auto"/>
        </w:rPr>
        <w:drawing>
          <wp:inline distT="0" distB="0" distL="0" distR="0">
            <wp:extent cx="59055" cy="1143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055" cy="114300"/>
                    </a:xfrm>
                    <a:prstGeom prst="rect">
                      <a:avLst/>
                    </a:prstGeom>
                    <a:noFill/>
                    <a:ln>
                      <a:noFill/>
                    </a:ln>
                  </pic:spPr>
                </pic:pic>
              </a:graphicData>
            </a:graphic>
          </wp:inline>
        </w:drawing>
      </w:r>
      <w:r>
        <w:rPr>
          <w:rFonts w:ascii="Arial" w:cs="Arial" w:eastAsia="Arial" w:hAnsi="Arial"/>
          <w:sz w:val="20"/>
          <w:szCs w:val="20"/>
          <w:b w:val="1"/>
          <w:bCs w:val="1"/>
          <w:color w:val="auto"/>
        </w:rPr>
        <w:t xml:space="preserve"> 1.7 years.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2019 Employee Stock Purchase Plan</w:t>
      </w:r>
    </w:p>
    <w:p>
      <w:pPr>
        <w:spacing w:after="0" w:line="131" w:lineRule="exact"/>
        <w:rPr>
          <w:sz w:val="20"/>
          <w:szCs w:val="20"/>
          <w:color w:val="auto"/>
        </w:rPr>
      </w:pPr>
    </w:p>
    <w:p>
      <w:pPr>
        <w:ind w:left="480" w:right="140"/>
        <w:spacing w:after="0" w:line="268" w:lineRule="auto"/>
        <w:rPr>
          <w:sz w:val="20"/>
          <w:szCs w:val="20"/>
          <w:color w:val="auto"/>
        </w:rPr>
      </w:pPr>
      <w:r>
        <w:rPr>
          <w:rFonts w:ascii="Arial" w:cs="Arial" w:eastAsia="Arial" w:hAnsi="Arial"/>
          <w:sz w:val="17"/>
          <w:szCs w:val="17"/>
          <w:b w:val="1"/>
          <w:bCs w:val="1"/>
          <w:color w:val="auto"/>
        </w:rPr>
        <w:t xml:space="preserve">The 2019 Employee Stock Purchase Plan (2019 ESPP) enables eligible employees of the Company to purchase </w:t>
      </w:r>
      <w:r>
        <w:rPr>
          <w:rFonts w:ascii="Arial" w:cs="Arial" w:eastAsia="Arial" w:hAnsi="Arial"/>
          <w:sz w:val="17"/>
          <w:szCs w:val="17"/>
          <w:b w:val="1"/>
          <w:bCs w:val="1"/>
          <w:color w:val="auto"/>
          <w:highlight w:val="white"/>
        </w:rPr>
        <w:t>shares of common stock at a discount. Each offering period is approximately six months long beginning on the first trading day on or after June 1 and December 1 each year. ESPP participants purchase shares of common stock at a price per share equal to 85% of the lesser of (1) the fair market value per share of the common stock on the first trading day of the offering period or (2) the fair market value of the common stock on the purchase date. On January 1, 2025, 591,397 shares were added to the shares reserved for issuance under the 2019 ESPP pursuant to the annual automatic increase. As of December 31, 2025, there was less than $0.1 million in unrecognized compensation</w:t>
      </w:r>
      <w:r>
        <w:rPr>
          <w:sz w:val="1"/>
          <w:szCs w:val="1"/>
          <w:color w:val="auto"/>
        </w:rPr>
        <w:drawing>
          <wp:inline distT="0" distB="0" distL="0" distR="0">
            <wp:extent cx="59055" cy="1651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055" cy="165100"/>
                    </a:xfrm>
                    <a:prstGeom prst="rect">
                      <a:avLst/>
                    </a:prstGeom>
                    <a:noFill/>
                    <a:ln>
                      <a:noFill/>
                    </a:ln>
                  </pic:spPr>
                </pic:pic>
              </a:graphicData>
            </a:graphic>
          </wp:inline>
        </w:drawing>
      </w:r>
      <w:r>
        <w:rPr>
          <w:rFonts w:ascii="Arial" w:cs="Arial" w:eastAsia="Arial" w:hAnsi="Arial"/>
          <w:sz w:val="17"/>
          <w:szCs w:val="17"/>
          <w:b w:val="1"/>
          <w:bCs w:val="1"/>
          <w:color w:val="auto"/>
          <w:highlight w:val="white"/>
        </w:rPr>
        <w:t xml:space="preserve"> expense related to the 2019 ESPP expected to be recognized over five months.</w:t>
      </w:r>
    </w:p>
    <w:p>
      <w:pPr>
        <w:spacing w:after="0" w:line="224" w:lineRule="exact"/>
        <w:rPr>
          <w:sz w:val="20"/>
          <w:szCs w:val="20"/>
          <w:color w:val="auto"/>
        </w:rPr>
      </w:pPr>
    </w:p>
    <w:p>
      <w:pPr>
        <w:ind w:left="500" w:hanging="500"/>
        <w:spacing w:after="0"/>
        <w:tabs>
          <w:tab w:leader="none" w:pos="50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30" w:lineRule="exact"/>
        <w:rPr>
          <w:rFonts w:ascii="Arial" w:cs="Arial" w:eastAsia="Arial" w:hAnsi="Arial"/>
          <w:sz w:val="20"/>
          <w:szCs w:val="20"/>
          <w:b w:val="1"/>
          <w:bCs w:val="1"/>
          <w:color w:val="auto"/>
        </w:rPr>
      </w:pPr>
    </w:p>
    <w:p>
      <w:pPr>
        <w:ind w:left="480" w:right="620"/>
        <w:spacing w:after="0" w:line="23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The federal and state income tax provision for the year ended December 31, 2025 and 2024 are summarized as </w:t>
      </w:r>
      <w:r>
        <w:rPr>
          <w:rFonts w:ascii="Arial" w:cs="Arial" w:eastAsia="Arial" w:hAnsi="Arial"/>
          <w:sz w:val="20"/>
          <w:szCs w:val="20"/>
          <w:b w:val="1"/>
          <w:bCs w:val="1"/>
          <w:color w:val="auto"/>
          <w:highlight w:val="white"/>
        </w:rPr>
        <w:t>follows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Pr>
          <w:p>
            <w:pPr>
              <w:spacing w:after="0"/>
              <w:rPr>
                <w:sz w:val="16"/>
                <w:szCs w:val="16"/>
                <w:color w:val="auto"/>
              </w:rPr>
            </w:pPr>
          </w:p>
        </w:tc>
      </w:tr>
      <w:tr>
        <w:trPr>
          <w:trHeight w:val="259"/>
        </w:trPr>
        <w:tc>
          <w:tcPr>
            <w:tcW w:w="362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tcPr>
          <w:p>
            <w:pPr>
              <w:jc w:val="right"/>
              <w:ind w:right="705"/>
              <w:spacing w:after="0"/>
              <w:rPr>
                <w:sz w:val="20"/>
                <w:szCs w:val="20"/>
                <w:color w:val="auto"/>
              </w:rPr>
            </w:pPr>
            <w:r>
              <w:rPr>
                <w:rFonts w:ascii="Arial" w:cs="Arial" w:eastAsia="Arial" w:hAnsi="Arial"/>
                <w:sz w:val="16"/>
                <w:szCs w:val="16"/>
                <w:b w:val="1"/>
                <w:bCs w:val="1"/>
                <w:color w:val="auto"/>
                <w:w w:val="95"/>
              </w:rPr>
              <w:t>2024</w:t>
            </w:r>
          </w:p>
        </w:tc>
      </w:tr>
      <w:tr>
        <w:trPr>
          <w:trHeight w:val="260"/>
        </w:trPr>
        <w:tc>
          <w:tcPr>
            <w:tcW w:w="362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2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2"/>
        </w:trPr>
        <w:tc>
          <w:tcPr>
            <w:tcW w:w="3620" w:type="dxa"/>
            <w:vAlign w:val="bottom"/>
          </w:tcPr>
          <w:p>
            <w:pPr>
              <w:ind w:left="200"/>
              <w:spacing w:after="0"/>
              <w:rPr>
                <w:sz w:val="20"/>
                <w:szCs w:val="20"/>
                <w:color w:val="auto"/>
              </w:rPr>
            </w:pPr>
            <w:r>
              <w:rPr>
                <w:rFonts w:ascii="Arial" w:cs="Arial" w:eastAsia="Arial" w:hAnsi="Arial"/>
                <w:sz w:val="20"/>
                <w:szCs w:val="20"/>
                <w:b w:val="1"/>
                <w:bCs w:val="1"/>
                <w:color w:val="auto"/>
              </w:rPr>
              <w:t>Federal</w:t>
            </w:r>
          </w:p>
        </w:tc>
        <w:tc>
          <w:tcPr>
            <w:tcW w:w="2620" w:type="dxa"/>
            <w:vAlign w:val="bottom"/>
          </w:tcPr>
          <w:p>
            <w:pPr>
              <w:jc w:val="right"/>
              <w:ind w:right="967"/>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65"/>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ind w:right="560"/>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3620" w:type="dxa"/>
            <w:vAlign w:val="bottom"/>
          </w:tcPr>
          <w:p>
            <w:pPr>
              <w:ind w:left="200"/>
              <w:spacing w:after="0"/>
              <w:rPr>
                <w:sz w:val="20"/>
                <w:szCs w:val="20"/>
                <w:color w:val="auto"/>
              </w:rPr>
            </w:pPr>
            <w:r>
              <w:rPr>
                <w:rFonts w:ascii="Arial" w:cs="Arial" w:eastAsia="Arial" w:hAnsi="Arial"/>
                <w:sz w:val="20"/>
                <w:szCs w:val="20"/>
                <w:b w:val="1"/>
                <w:bCs w:val="1"/>
                <w:color w:val="auto"/>
              </w:rPr>
              <w:t>State</w:t>
            </w:r>
          </w:p>
        </w:tc>
        <w:tc>
          <w:tcPr>
            <w:tcW w:w="2620" w:type="dxa"/>
            <w:vAlign w:val="bottom"/>
          </w:tcPr>
          <w:p>
            <w:pPr>
              <w:spacing w:after="0"/>
              <w:rPr>
                <w:sz w:val="21"/>
                <w:szCs w:val="21"/>
                <w:color w:val="auto"/>
              </w:rPr>
            </w:pPr>
          </w:p>
        </w:tc>
        <w:tc>
          <w:tcPr>
            <w:tcW w:w="920" w:type="dxa"/>
            <w:vAlign w:val="bottom"/>
          </w:tcPr>
          <w:p>
            <w:pPr>
              <w:jc w:val="right"/>
              <w:ind w:right="65"/>
              <w:spacing w:after="0"/>
              <w:rPr>
                <w:sz w:val="20"/>
                <w:szCs w:val="20"/>
                <w:color w:val="auto"/>
              </w:rPr>
            </w:pPr>
            <w:r>
              <w:rPr>
                <w:rFonts w:ascii="Arial" w:cs="Arial" w:eastAsia="Arial" w:hAnsi="Arial"/>
                <w:sz w:val="20"/>
                <w:szCs w:val="20"/>
                <w:b w:val="1"/>
                <w:bCs w:val="1"/>
                <w:color w:val="auto"/>
              </w:rPr>
              <w:t>168</w:t>
            </w:r>
          </w:p>
        </w:tc>
        <w:tc>
          <w:tcPr>
            <w:tcW w:w="9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128</w:t>
            </w:r>
          </w:p>
        </w:tc>
      </w:tr>
      <w:tr>
        <w:trPr>
          <w:trHeight w:val="259"/>
        </w:trPr>
        <w:tc>
          <w:tcPr>
            <w:tcW w:w="3620" w:type="dxa"/>
            <w:vAlign w:val="bottom"/>
          </w:tcPr>
          <w:p>
            <w:pPr>
              <w:ind w:left="440"/>
              <w:spacing w:after="0"/>
              <w:rPr>
                <w:sz w:val="20"/>
                <w:szCs w:val="20"/>
                <w:color w:val="auto"/>
              </w:rPr>
            </w:pPr>
            <w:r>
              <w:rPr>
                <w:rFonts w:ascii="Arial" w:cs="Arial" w:eastAsia="Arial" w:hAnsi="Arial"/>
                <w:sz w:val="20"/>
                <w:szCs w:val="20"/>
                <w:b w:val="1"/>
                <w:bCs w:val="1"/>
                <w:color w:val="auto"/>
              </w:rPr>
              <w:t>Income tax provision</w:t>
            </w:r>
          </w:p>
        </w:tc>
        <w:tc>
          <w:tcPr>
            <w:tcW w:w="2620" w:type="dxa"/>
            <w:vAlign w:val="bottom"/>
          </w:tcPr>
          <w:p>
            <w:pPr>
              <w:jc w:val="right"/>
              <w:ind w:right="967"/>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65"/>
              <w:spacing w:after="0"/>
              <w:rPr>
                <w:sz w:val="20"/>
                <w:szCs w:val="20"/>
                <w:color w:val="auto"/>
              </w:rPr>
            </w:pPr>
            <w:r>
              <w:rPr>
                <w:rFonts w:ascii="Arial" w:cs="Arial" w:eastAsia="Arial" w:hAnsi="Arial"/>
                <w:sz w:val="20"/>
                <w:szCs w:val="20"/>
                <w:b w:val="1"/>
                <w:bCs w:val="1"/>
                <w:color w:val="auto"/>
              </w:rPr>
              <w:t>168</w:t>
            </w:r>
          </w:p>
        </w:tc>
        <w:tc>
          <w:tcPr>
            <w:tcW w:w="940" w:type="dxa"/>
            <w:vAlign w:val="bottom"/>
          </w:tcPr>
          <w:p>
            <w:pPr>
              <w:jc w:val="right"/>
              <w:ind w:right="560"/>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128</w:t>
            </w:r>
          </w:p>
        </w:tc>
      </w:tr>
    </w:tbl>
    <w:p>
      <w:pPr>
        <w:spacing w:after="0" w:line="200" w:lineRule="exact"/>
        <w:rPr>
          <w:sz w:val="20"/>
          <w:szCs w:val="20"/>
          <w:color w:val="auto"/>
        </w:rPr>
      </w:pPr>
    </w:p>
    <w:p>
      <w:pPr>
        <w:sectPr>
          <w:pgSz w:w="12240" w:h="15840" w:orient="portrait"/>
          <w:cols w:equalWidth="0" w:num="1">
            <w:col w:w="9960"/>
          </w:cols>
          <w:pgMar w:left="1440" w:top="1161" w:right="8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121</w:t>
      </w:r>
    </w:p>
    <w:p>
      <w:pPr>
        <w:sectPr>
          <w:pgSz w:w="12240" w:h="15840" w:orient="portrait"/>
          <w:cols w:equalWidth="0" w:num="1">
            <w:col w:w="9960"/>
          </w:cols>
          <w:pgMar w:left="1440" w:top="1161" w:right="840" w:bottom="181" w:gutter="0" w:footer="0" w:header="0"/>
          <w:type w:val="continuous"/>
        </w:sectPr>
      </w:pPr>
    </w:p>
    <w:bookmarkStart w:id="123" w:name="page124"/>
    <w:bookmarkEnd w:id="123"/>
    <w:p>
      <w:pPr>
        <w:ind w:left="480"/>
        <w:spacing w:after="0"/>
        <w:rPr>
          <w:sz w:val="20"/>
          <w:szCs w:val="20"/>
          <w:color w:val="auto"/>
        </w:rPr>
      </w:pPr>
      <w:r>
        <w:rPr>
          <w:rFonts w:ascii="Arial" w:cs="Arial" w:eastAsia="Arial" w:hAnsi="Arial"/>
          <w:sz w:val="17"/>
          <w:szCs w:val="17"/>
          <w:b w:val="1"/>
          <w:bCs w:val="1"/>
          <w:color w:val="auto"/>
        </w:rPr>
        <w:t>A reconciliation of the federal statutory rate to the Company’s effective tax rate is as follows for the years ended</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December 31, 2025 and 2024 (in thousands):</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60" w:type="dxa"/>
            <w:vAlign w:val="bottom"/>
            <w:gridSpan w:val="6"/>
          </w:tcPr>
          <w:p>
            <w:pPr>
              <w:jc w:val="right"/>
              <w:ind w:right="760"/>
              <w:spacing w:after="0"/>
              <w:rPr>
                <w:sz w:val="20"/>
                <w:szCs w:val="20"/>
                <w:color w:val="auto"/>
              </w:rPr>
            </w:pPr>
            <w:r>
              <w:rPr>
                <w:rFonts w:ascii="Arial" w:cs="Arial" w:eastAsia="Arial" w:hAnsi="Arial"/>
                <w:sz w:val="20"/>
                <w:szCs w:val="20"/>
                <w:b w:val="1"/>
                <w:bCs w:val="1"/>
                <w:color w:val="auto"/>
              </w:rPr>
              <w:t>Year Ended December 31,</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60"/>
        </w:trPr>
        <w:tc>
          <w:tcPr>
            <w:tcW w:w="3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2024</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39"/>
        </w:trPr>
        <w:tc>
          <w:tcPr>
            <w:tcW w:w="3580" w:type="dxa"/>
            <w:vAlign w:val="bottom"/>
          </w:tcPr>
          <w:p>
            <w:pPr>
              <w:spacing w:after="0"/>
              <w:rPr>
                <w:sz w:val="20"/>
                <w:szCs w:val="20"/>
                <w:color w:val="auto"/>
              </w:rPr>
            </w:pPr>
            <w:r>
              <w:rPr>
                <w:rFonts w:ascii="Arial" w:cs="Arial" w:eastAsia="Arial" w:hAnsi="Arial"/>
                <w:sz w:val="20"/>
                <w:szCs w:val="20"/>
                <w:b w:val="1"/>
                <w:bCs w:val="1"/>
                <w:color w:val="auto"/>
              </w:rPr>
              <w:t>US Federal Tax at Statutory Rate</w:t>
            </w:r>
          </w:p>
        </w:tc>
        <w:tc>
          <w:tcPr>
            <w:tcW w:w="920" w:type="dxa"/>
            <w:vAlign w:val="bottom"/>
          </w:tcPr>
          <w:p>
            <w:pPr>
              <w:jc w:val="right"/>
              <w:ind w:right="28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(29,980)</w:t>
            </w:r>
          </w:p>
        </w:tc>
        <w:tc>
          <w:tcPr>
            <w:tcW w:w="10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21.00%</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(24,979)</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21.00%</w:t>
            </w:r>
          </w:p>
        </w:tc>
      </w:tr>
      <w:tr>
        <w:trPr>
          <w:trHeight w:val="245"/>
        </w:trPr>
        <w:tc>
          <w:tcPr>
            <w:tcW w:w="3580" w:type="dxa"/>
            <w:vAlign w:val="bottom"/>
          </w:tcPr>
          <w:p>
            <w:pPr>
              <w:spacing w:after="0"/>
              <w:rPr>
                <w:sz w:val="20"/>
                <w:szCs w:val="20"/>
                <w:color w:val="auto"/>
              </w:rPr>
            </w:pPr>
            <w:r>
              <w:rPr>
                <w:rFonts w:ascii="Arial" w:cs="Arial" w:eastAsia="Arial" w:hAnsi="Arial"/>
                <w:sz w:val="20"/>
                <w:szCs w:val="20"/>
                <w:b w:val="1"/>
                <w:bCs w:val="1"/>
                <w:color w:val="auto"/>
              </w:rPr>
              <w:t>State and Local Effects (A)</w:t>
            </w:r>
          </w:p>
        </w:tc>
        <w:tc>
          <w:tcPr>
            <w:tcW w:w="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(34)</w:t>
            </w:r>
          </w:p>
        </w:tc>
        <w:tc>
          <w:tcPr>
            <w:tcW w:w="10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0.02%</w:t>
            </w:r>
          </w:p>
        </w:tc>
        <w:tc>
          <w:tcPr>
            <w:tcW w:w="1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(51)</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0.04%</w:t>
            </w:r>
          </w:p>
        </w:tc>
      </w:tr>
      <w:tr>
        <w:trPr>
          <w:trHeight w:val="242"/>
        </w:trPr>
        <w:tc>
          <w:tcPr>
            <w:tcW w:w="3580" w:type="dxa"/>
            <w:vAlign w:val="bottom"/>
          </w:tcPr>
          <w:p>
            <w:pPr>
              <w:spacing w:after="0"/>
              <w:rPr>
                <w:sz w:val="20"/>
                <w:szCs w:val="20"/>
                <w:color w:val="auto"/>
              </w:rPr>
            </w:pPr>
            <w:r>
              <w:rPr>
                <w:rFonts w:ascii="Arial" w:cs="Arial" w:eastAsia="Arial" w:hAnsi="Arial"/>
                <w:sz w:val="20"/>
                <w:szCs w:val="20"/>
                <w:b w:val="1"/>
                <w:bCs w:val="1"/>
                <w:color w:val="auto"/>
              </w:rPr>
              <w:t>Tax credits</w:t>
            </w: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5"/>
        </w:trPr>
        <w:tc>
          <w:tcPr>
            <w:tcW w:w="3580" w:type="dxa"/>
            <w:vAlign w:val="bottom"/>
          </w:tcPr>
          <w:p>
            <w:pPr>
              <w:ind w:left="100"/>
              <w:spacing w:after="0"/>
              <w:rPr>
                <w:sz w:val="20"/>
                <w:szCs w:val="20"/>
                <w:color w:val="auto"/>
              </w:rPr>
            </w:pPr>
            <w:r>
              <w:rPr>
                <w:rFonts w:ascii="Arial" w:cs="Arial" w:eastAsia="Arial" w:hAnsi="Arial"/>
                <w:sz w:val="20"/>
                <w:szCs w:val="20"/>
                <w:b w:val="1"/>
                <w:bCs w:val="1"/>
                <w:color w:val="auto"/>
              </w:rPr>
              <w:t>Research and Development Credit</w:t>
            </w:r>
          </w:p>
        </w:tc>
        <w:tc>
          <w:tcPr>
            <w:tcW w:w="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(1,634)</w:t>
            </w:r>
          </w:p>
        </w:tc>
        <w:tc>
          <w:tcPr>
            <w:tcW w:w="10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1.14%</w:t>
            </w:r>
          </w:p>
        </w:tc>
        <w:tc>
          <w:tcPr>
            <w:tcW w:w="1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(5,845)</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4.91%</w:t>
            </w:r>
          </w:p>
        </w:tc>
      </w:tr>
      <w:tr>
        <w:trPr>
          <w:trHeight w:val="245"/>
        </w:trPr>
        <w:tc>
          <w:tcPr>
            <w:tcW w:w="3580" w:type="dxa"/>
            <w:vAlign w:val="bottom"/>
          </w:tcPr>
          <w:p>
            <w:pPr>
              <w:ind w:left="100"/>
              <w:spacing w:after="0"/>
              <w:rPr>
                <w:sz w:val="20"/>
                <w:szCs w:val="20"/>
                <w:color w:val="auto"/>
              </w:rPr>
            </w:pPr>
            <w:r>
              <w:rPr>
                <w:rFonts w:ascii="Arial" w:cs="Arial" w:eastAsia="Arial" w:hAnsi="Arial"/>
                <w:sz w:val="20"/>
                <w:szCs w:val="20"/>
                <w:b w:val="1"/>
                <w:bCs w:val="1"/>
                <w:color w:val="auto"/>
              </w:rPr>
              <w:t>Orphan Drug Credit</w:t>
            </w:r>
          </w:p>
        </w:tc>
        <w:tc>
          <w:tcPr>
            <w:tcW w:w="9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(1,705)</w:t>
            </w:r>
          </w:p>
        </w:tc>
        <w:tc>
          <w:tcPr>
            <w:tcW w:w="10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1.19%</w:t>
            </w:r>
          </w:p>
        </w:tc>
        <w:tc>
          <w:tcPr>
            <w:tcW w:w="1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0.00%</w:t>
            </w:r>
          </w:p>
        </w:tc>
      </w:tr>
      <w:tr>
        <w:trPr>
          <w:trHeight w:val="242"/>
        </w:trPr>
        <w:tc>
          <w:tcPr>
            <w:tcW w:w="3580" w:type="dxa"/>
            <w:vAlign w:val="bottom"/>
          </w:tcPr>
          <w:p>
            <w:pPr>
              <w:spacing w:after="0"/>
              <w:rPr>
                <w:sz w:val="20"/>
                <w:szCs w:val="20"/>
                <w:color w:val="auto"/>
              </w:rPr>
            </w:pPr>
            <w:r>
              <w:rPr>
                <w:rFonts w:ascii="Arial" w:cs="Arial" w:eastAsia="Arial" w:hAnsi="Arial"/>
                <w:sz w:val="20"/>
                <w:szCs w:val="20"/>
                <w:b w:val="1"/>
                <w:bCs w:val="1"/>
                <w:color w:val="auto"/>
              </w:rPr>
              <w:t>Changes in valuation allowance</w:t>
            </w:r>
          </w:p>
        </w:tc>
        <w:tc>
          <w:tcPr>
            <w:tcW w:w="92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27,140</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w w:val="96"/>
              </w:rPr>
              <w:t>(19.01%)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24,914</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(20.95%)</w:t>
            </w:r>
          </w:p>
        </w:tc>
      </w:tr>
      <w:tr>
        <w:trPr>
          <w:trHeight w:val="245"/>
        </w:trPr>
        <w:tc>
          <w:tcPr>
            <w:tcW w:w="3580" w:type="dxa"/>
            <w:vAlign w:val="bottom"/>
          </w:tcPr>
          <w:p>
            <w:pPr>
              <w:spacing w:after="0"/>
              <w:rPr>
                <w:sz w:val="20"/>
                <w:szCs w:val="20"/>
                <w:color w:val="auto"/>
              </w:rPr>
            </w:pPr>
            <w:r>
              <w:rPr>
                <w:rFonts w:ascii="Arial" w:cs="Arial" w:eastAsia="Arial" w:hAnsi="Arial"/>
                <w:sz w:val="20"/>
                <w:szCs w:val="20"/>
                <w:b w:val="1"/>
                <w:bCs w:val="1"/>
                <w:color w:val="auto"/>
              </w:rPr>
              <w:t>Nontaxable or Nondeductible Items</w:t>
            </w: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5"/>
        </w:trPr>
        <w:tc>
          <w:tcPr>
            <w:tcW w:w="3580" w:type="dxa"/>
            <w:vAlign w:val="bottom"/>
          </w:tcPr>
          <w:p>
            <w:pPr>
              <w:ind w:left="100"/>
              <w:spacing w:after="0"/>
              <w:rPr>
                <w:sz w:val="20"/>
                <w:szCs w:val="20"/>
                <w:color w:val="auto"/>
              </w:rPr>
            </w:pPr>
            <w:r>
              <w:rPr>
                <w:rFonts w:ascii="Arial" w:cs="Arial" w:eastAsia="Arial" w:hAnsi="Arial"/>
                <w:sz w:val="20"/>
                <w:szCs w:val="20"/>
                <w:b w:val="1"/>
                <w:bCs w:val="1"/>
                <w:color w:val="auto"/>
              </w:rPr>
              <w:t>Stock-based compensation (B)</w:t>
            </w:r>
          </w:p>
        </w:tc>
        <w:tc>
          <w:tcPr>
            <w:tcW w:w="92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6,136</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(4.30%)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5,372</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(4.52%)</w:t>
            </w:r>
          </w:p>
        </w:tc>
      </w:tr>
      <w:tr>
        <w:trPr>
          <w:trHeight w:val="242"/>
        </w:trPr>
        <w:tc>
          <w:tcPr>
            <w:tcW w:w="3580" w:type="dxa"/>
            <w:vAlign w:val="bottom"/>
          </w:tcPr>
          <w:p>
            <w:pPr>
              <w:ind w:left="100"/>
              <w:spacing w:after="0"/>
              <w:rPr>
                <w:sz w:val="20"/>
                <w:szCs w:val="20"/>
                <w:color w:val="auto"/>
              </w:rPr>
            </w:pPr>
            <w:r>
              <w:rPr>
                <w:rFonts w:ascii="Arial" w:cs="Arial" w:eastAsia="Arial" w:hAnsi="Arial"/>
                <w:sz w:val="20"/>
                <w:szCs w:val="20"/>
                <w:b w:val="1"/>
                <w:bCs w:val="1"/>
                <w:color w:val="auto"/>
              </w:rPr>
              <w:t>Other</w:t>
            </w:r>
          </w:p>
        </w:tc>
        <w:tc>
          <w:tcPr>
            <w:tcW w:w="92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40</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(0.02%)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84</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(0.06%)</w:t>
            </w:r>
          </w:p>
        </w:tc>
      </w:tr>
      <w:tr>
        <w:trPr>
          <w:trHeight w:val="245"/>
        </w:trPr>
        <w:tc>
          <w:tcPr>
            <w:tcW w:w="3580" w:type="dxa"/>
            <w:vAlign w:val="bottom"/>
          </w:tcPr>
          <w:p>
            <w:pPr>
              <w:spacing w:after="0"/>
              <w:rPr>
                <w:sz w:val="20"/>
                <w:szCs w:val="20"/>
                <w:color w:val="auto"/>
              </w:rPr>
            </w:pPr>
            <w:r>
              <w:rPr>
                <w:rFonts w:ascii="Arial" w:cs="Arial" w:eastAsia="Arial" w:hAnsi="Arial"/>
                <w:sz w:val="20"/>
                <w:szCs w:val="20"/>
                <w:b w:val="1"/>
                <w:bCs w:val="1"/>
                <w:color w:val="auto"/>
                <w:w w:val="96"/>
              </w:rPr>
              <w:t>Changes in Unrecognized Tax Benefits</w:t>
            </w:r>
          </w:p>
        </w:tc>
        <w:tc>
          <w:tcPr>
            <w:tcW w:w="92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205</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(0.14%)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175</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(0.15%)</w:t>
            </w:r>
          </w:p>
        </w:tc>
      </w:tr>
      <w:tr>
        <w:trPr>
          <w:trHeight w:val="244"/>
        </w:trPr>
        <w:tc>
          <w:tcPr>
            <w:tcW w:w="3580" w:type="dxa"/>
            <w:vAlign w:val="bottom"/>
          </w:tcPr>
          <w:p>
            <w:pPr>
              <w:spacing w:after="0"/>
              <w:rPr>
                <w:sz w:val="20"/>
                <w:szCs w:val="20"/>
                <w:color w:val="auto"/>
              </w:rPr>
            </w:pPr>
            <w:r>
              <w:rPr>
                <w:rFonts w:ascii="Arial" w:cs="Arial" w:eastAsia="Arial" w:hAnsi="Arial"/>
                <w:sz w:val="20"/>
                <w:szCs w:val="20"/>
                <w:b w:val="1"/>
                <w:bCs w:val="1"/>
                <w:color w:val="auto"/>
              </w:rPr>
              <w:t>Other</w:t>
            </w:r>
          </w:p>
        </w:tc>
        <w:tc>
          <w:tcPr>
            <w:tcW w:w="92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0.00%</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458</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(0.38%)</w:t>
            </w:r>
          </w:p>
        </w:tc>
      </w:tr>
      <w:tr>
        <w:trPr>
          <w:trHeight w:val="240"/>
        </w:trPr>
        <w:tc>
          <w:tcPr>
            <w:tcW w:w="3580" w:type="dxa"/>
            <w:vAlign w:val="bottom"/>
          </w:tcPr>
          <w:p>
            <w:pPr>
              <w:ind w:left="200"/>
              <w:spacing w:after="0"/>
              <w:rPr>
                <w:sz w:val="20"/>
                <w:szCs w:val="20"/>
                <w:color w:val="auto"/>
              </w:rPr>
            </w:pPr>
            <w:r>
              <w:rPr>
                <w:rFonts w:ascii="Arial" w:cs="Arial" w:eastAsia="Arial" w:hAnsi="Arial"/>
                <w:sz w:val="20"/>
                <w:szCs w:val="20"/>
                <w:b w:val="1"/>
                <w:bCs w:val="1"/>
                <w:color w:val="auto"/>
              </w:rPr>
              <w:t>Income tax provision</w:t>
            </w:r>
          </w:p>
        </w:tc>
        <w:tc>
          <w:tcPr>
            <w:tcW w:w="920" w:type="dxa"/>
            <w:vAlign w:val="bottom"/>
          </w:tcPr>
          <w:p>
            <w:pPr>
              <w:jc w:val="right"/>
              <w:ind w:right="28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80"/>
              <w:spacing w:after="0"/>
              <w:rPr>
                <w:sz w:val="20"/>
                <w:szCs w:val="20"/>
                <w:color w:val="auto"/>
              </w:rPr>
            </w:pPr>
            <w:r>
              <w:rPr>
                <w:rFonts w:ascii="Arial" w:cs="Arial" w:eastAsia="Arial" w:hAnsi="Arial"/>
                <w:sz w:val="20"/>
                <w:szCs w:val="20"/>
                <w:b w:val="1"/>
                <w:bCs w:val="1"/>
                <w:color w:val="auto"/>
              </w:rPr>
              <w:t>168</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(0.12%)</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128</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-2054860</wp:posOffset>
            </wp:positionV>
            <wp:extent cx="6113780" cy="5812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3780" cy="5812155"/>
                    </a:xfrm>
                    <a:prstGeom prst="rect">
                      <a:avLst/>
                    </a:prstGeom>
                    <a:noFill/>
                  </pic:spPr>
                </pic:pic>
              </a:graphicData>
            </a:graphic>
          </wp:anchor>
        </w:drawing>
      </w:r>
    </w:p>
    <w:p>
      <w:pPr>
        <w:spacing w:after="0" w:line="230" w:lineRule="exact"/>
        <w:rPr>
          <w:sz w:val="20"/>
          <w:szCs w:val="20"/>
          <w:color w:val="auto"/>
        </w:rPr>
      </w:pPr>
    </w:p>
    <w:p>
      <w:pPr>
        <w:ind w:left="480" w:right="180" w:firstLine="10"/>
        <w:spacing w:after="0" w:line="234" w:lineRule="auto"/>
        <w:tabs>
          <w:tab w:leader="none" w:pos="793" w:val="left"/>
        </w:tabs>
        <w:numPr>
          <w:ilvl w:val="0"/>
          <w:numId w:val="73"/>
        </w:numPr>
        <w:rPr>
          <w:rFonts w:ascii="Arial" w:cs="Arial" w:eastAsia="Arial" w:hAnsi="Arial"/>
          <w:sz w:val="19"/>
          <w:szCs w:val="19"/>
          <w:b w:val="1"/>
          <w:bCs w:val="1"/>
          <w:color w:val="auto"/>
          <w:highlight w:val="white"/>
        </w:rPr>
      </w:pPr>
      <w:r>
        <w:rPr>
          <w:rFonts w:ascii="Arial" w:cs="Arial" w:eastAsia="Arial" w:hAnsi="Arial"/>
          <w:sz w:val="19"/>
          <w:szCs w:val="19"/>
          <w:b w:val="1"/>
          <w:bCs w:val="1"/>
          <w:color w:val="auto"/>
          <w:highlight w:val="white"/>
        </w:rPr>
        <w:t xml:space="preserve">For tax year 2025 and 2024, state taxes in California made up the majority (greater than 50 percent) of the tax effect in </w:t>
      </w:r>
      <w:r>
        <w:rPr>
          <w:rFonts w:ascii="Arial" w:cs="Arial" w:eastAsia="Arial" w:hAnsi="Arial"/>
          <w:sz w:val="19"/>
          <w:szCs w:val="19"/>
          <w:b w:val="1"/>
          <w:bCs w:val="1"/>
          <w:color w:val="auto"/>
        </w:rPr>
        <w:t>this category.</w:t>
      </w:r>
    </w:p>
    <w:p>
      <w:pPr>
        <w:spacing w:after="0" w:line="198" w:lineRule="exact"/>
        <w:rPr>
          <w:rFonts w:ascii="Arial" w:cs="Arial" w:eastAsia="Arial" w:hAnsi="Arial"/>
          <w:sz w:val="19"/>
          <w:szCs w:val="19"/>
          <w:b w:val="1"/>
          <w:bCs w:val="1"/>
          <w:color w:val="auto"/>
          <w:highlight w:val="white"/>
        </w:rPr>
      </w:pPr>
    </w:p>
    <w:p>
      <w:pPr>
        <w:ind w:left="480" w:firstLine="10"/>
        <w:spacing w:after="0" w:line="246" w:lineRule="auto"/>
        <w:tabs>
          <w:tab w:leader="none" w:pos="797"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Included in stock-based compensation is the reversal of incentive stock options and employee stock purchase plan</w:t>
      </w:r>
      <w:r>
        <w:rPr>
          <w:rFonts w:ascii="Arial" w:cs="Arial" w:eastAsia="Arial" w:hAnsi="Arial"/>
          <w:sz w:val="1"/>
          <w:szCs w:val="1"/>
          <w:b w:val="1"/>
          <w:bCs w:val="1"/>
          <w:color w:val="auto"/>
        </w:rPr>
        <w:drawing>
          <wp:inline distT="0" distB="0" distL="0" distR="0">
            <wp:extent cx="59055" cy="1238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55" cy="123825"/>
                    </a:xfrm>
                    <a:prstGeom prst="rect">
                      <a:avLst/>
                    </a:prstGeom>
                    <a:noFill/>
                    <a:ln>
                      <a:noFill/>
                    </a:ln>
                  </pic:spPr>
                </pic:pic>
              </a:graphicData>
            </a:graphic>
          </wp:inline>
        </w:drawing>
      </w:r>
      <w:r>
        <w:rPr>
          <w:rFonts w:ascii="Arial" w:cs="Arial" w:eastAsia="Arial" w:hAnsi="Arial"/>
          <w:sz w:val="20"/>
          <w:szCs w:val="20"/>
          <w:b w:val="1"/>
          <w:bCs w:val="1"/>
          <w:color w:val="auto"/>
          <w:highlight w:val="white"/>
        </w:rPr>
        <w:t xml:space="preserve"> expenses, shortfalls related to share based compensation, and non-deductible executive compensation under IRC </w:t>
      </w:r>
      <w:r>
        <w:rPr>
          <w:rFonts w:ascii="Arial" w:cs="Arial" w:eastAsia="Arial" w:hAnsi="Arial"/>
          <w:sz w:val="20"/>
          <w:szCs w:val="20"/>
          <w:b w:val="1"/>
          <w:bCs w:val="1"/>
          <w:color w:val="auto"/>
        </w:rPr>
        <w:t>§162(m).</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highlight w:val="white"/>
        </w:rPr>
        <w:t>Net cash paid (refunds received) for income taxes consisted of the following (in thousands):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60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rPr>
              <w:t>Year Ended December 31,</w:t>
            </w:r>
          </w:p>
        </w:tc>
        <w:tc>
          <w:tcPr>
            <w:tcW w:w="620" w:type="dxa"/>
            <w:vAlign w:val="bottom"/>
          </w:tcPr>
          <w:p>
            <w:pPr>
              <w:spacing w:after="0"/>
              <w:rPr>
                <w:sz w:val="19"/>
                <w:szCs w:val="19"/>
                <w:color w:val="auto"/>
              </w:rPr>
            </w:pPr>
          </w:p>
        </w:tc>
      </w:tr>
      <w:tr>
        <w:trPr>
          <w:trHeight w:val="259"/>
        </w:trPr>
        <w:tc>
          <w:tcPr>
            <w:tcW w:w="3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520" w:type="dxa"/>
            <w:vAlign w:val="bottom"/>
          </w:tcPr>
          <w:p>
            <w:pPr>
              <w:jc w:val="right"/>
              <w:ind w:right="60"/>
              <w:spacing w:after="0"/>
              <w:rPr>
                <w:sz w:val="20"/>
                <w:szCs w:val="20"/>
                <w:color w:val="auto"/>
              </w:rPr>
            </w:pPr>
            <w:r>
              <w:rPr>
                <w:rFonts w:ascii="Arial" w:cs="Arial" w:eastAsia="Arial" w:hAnsi="Arial"/>
                <w:sz w:val="20"/>
                <w:szCs w:val="20"/>
                <w:b w:val="1"/>
                <w:bCs w:val="1"/>
                <w:color w:val="auto"/>
              </w:rPr>
              <w:t>2025</w:t>
            </w:r>
          </w:p>
        </w:tc>
        <w:tc>
          <w:tcPr>
            <w:tcW w:w="640" w:type="dxa"/>
            <w:vAlign w:val="bottom"/>
          </w:tcPr>
          <w:p>
            <w:pPr>
              <w:spacing w:after="0"/>
              <w:rPr>
                <w:sz w:val="22"/>
                <w:szCs w:val="22"/>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b w:val="1"/>
                <w:bCs w:val="1"/>
                <w:color w:val="auto"/>
              </w:rPr>
              <w:t>2024</w:t>
            </w:r>
          </w:p>
        </w:tc>
        <w:tc>
          <w:tcPr>
            <w:tcW w:w="620" w:type="dxa"/>
            <w:vAlign w:val="bottom"/>
          </w:tcPr>
          <w:p>
            <w:pPr>
              <w:spacing w:after="0"/>
              <w:rPr>
                <w:sz w:val="22"/>
                <w:szCs w:val="22"/>
                <w:color w:val="auto"/>
              </w:rPr>
            </w:pPr>
          </w:p>
        </w:tc>
      </w:tr>
      <w:tr>
        <w:trPr>
          <w:trHeight w:val="259"/>
        </w:trPr>
        <w:tc>
          <w:tcPr>
            <w:tcW w:w="360" w:type="dxa"/>
            <w:vAlign w:val="bottom"/>
          </w:tcPr>
          <w:p>
            <w:pPr>
              <w:spacing w:after="0"/>
              <w:rPr>
                <w:sz w:val="22"/>
                <w:szCs w:val="22"/>
                <w:color w:val="auto"/>
              </w:rPr>
            </w:pP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Federal</w:t>
            </w:r>
          </w:p>
        </w:tc>
        <w:tc>
          <w:tcPr>
            <w:tcW w:w="1520" w:type="dxa"/>
            <w:vAlign w:val="bottom"/>
          </w:tcPr>
          <w:p>
            <w:pPr>
              <w:jc w:val="right"/>
              <w:ind w:right="1060"/>
              <w:spacing w:after="0"/>
              <w:rPr>
                <w:sz w:val="20"/>
                <w:szCs w:val="20"/>
                <w:color w:val="auto"/>
              </w:rPr>
            </w:pPr>
            <w:r>
              <w:rPr>
                <w:rFonts w:ascii="Arial" w:cs="Arial" w:eastAsia="Arial" w:hAnsi="Arial"/>
                <w:sz w:val="20"/>
                <w:szCs w:val="20"/>
                <w:b w:val="1"/>
                <w:bCs w:val="1"/>
                <w:color w:val="auto"/>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(822)</w:t>
            </w:r>
          </w:p>
        </w:tc>
        <w:tc>
          <w:tcPr>
            <w:tcW w:w="1440" w:type="dxa"/>
            <w:vAlign w:val="bottom"/>
          </w:tcPr>
          <w:p>
            <w:pPr>
              <w:jc w:val="right"/>
              <w:ind w:right="106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2"/>
        </w:trPr>
        <w:tc>
          <w:tcPr>
            <w:tcW w:w="360" w:type="dxa"/>
            <w:vAlign w:val="bottom"/>
          </w:tcPr>
          <w:p>
            <w:pPr>
              <w:spacing w:after="0"/>
              <w:rPr>
                <w:sz w:val="21"/>
                <w:szCs w:val="21"/>
                <w:color w:val="auto"/>
              </w:rPr>
            </w:pP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State and local jurisdiction</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(58)</w:t>
            </w:r>
          </w:p>
        </w:tc>
        <w:tc>
          <w:tcPr>
            <w:tcW w:w="1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(100)</w:t>
            </w:r>
          </w:p>
        </w:tc>
      </w:tr>
      <w:tr>
        <w:trPr>
          <w:trHeight w:val="245"/>
        </w:trPr>
        <w:tc>
          <w:tcPr>
            <w:tcW w:w="360" w:type="dxa"/>
            <w:vAlign w:val="bottom"/>
          </w:tcPr>
          <w:p>
            <w:pPr>
              <w:spacing w:after="0"/>
              <w:rPr>
                <w:sz w:val="20"/>
                <w:szCs w:val="20"/>
                <w:color w:val="auto"/>
              </w:rPr>
            </w:pPr>
            <w:r>
              <w:rPr>
                <w:rFonts w:ascii="Arial" w:cs="Arial" w:eastAsia="Arial" w:hAnsi="Arial"/>
                <w:sz w:val="20"/>
                <w:szCs w:val="20"/>
                <w:b w:val="1"/>
                <w:bCs w:val="1"/>
                <w:color w:val="auto"/>
              </w:rPr>
              <w:t>CA</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California</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245"/>
        </w:trPr>
        <w:tc>
          <w:tcPr>
            <w:tcW w:w="360" w:type="dxa"/>
            <w:vAlign w:val="bottom"/>
          </w:tcPr>
          <w:p>
            <w:pPr>
              <w:spacing w:after="0"/>
              <w:rPr>
                <w:sz w:val="20"/>
                <w:szCs w:val="20"/>
                <w:color w:val="auto"/>
              </w:rPr>
            </w:pPr>
            <w:r>
              <w:rPr>
                <w:rFonts w:ascii="Arial" w:cs="Arial" w:eastAsia="Arial" w:hAnsi="Arial"/>
                <w:sz w:val="20"/>
                <w:szCs w:val="20"/>
                <w:b w:val="1"/>
                <w:bCs w:val="1"/>
                <w:color w:val="auto"/>
              </w:rPr>
              <w:t>CO</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Colorado</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(9)</w:t>
            </w:r>
          </w:p>
        </w:tc>
      </w:tr>
      <w:tr>
        <w:trPr>
          <w:trHeight w:val="242"/>
        </w:trPr>
        <w:tc>
          <w:tcPr>
            <w:tcW w:w="360" w:type="dxa"/>
            <w:vAlign w:val="bottom"/>
          </w:tcPr>
          <w:p>
            <w:pPr>
              <w:spacing w:after="0"/>
              <w:rPr>
                <w:sz w:val="20"/>
                <w:szCs w:val="20"/>
                <w:color w:val="auto"/>
              </w:rPr>
            </w:pPr>
            <w:r>
              <w:rPr>
                <w:rFonts w:ascii="Arial" w:cs="Arial" w:eastAsia="Arial" w:hAnsi="Arial"/>
                <w:sz w:val="20"/>
                <w:szCs w:val="20"/>
                <w:b w:val="1"/>
                <w:bCs w:val="1"/>
                <w:color w:val="auto"/>
              </w:rPr>
              <w:t>IL</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Illinois</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245"/>
        </w:trPr>
        <w:tc>
          <w:tcPr>
            <w:tcW w:w="360" w:type="dxa"/>
            <w:vAlign w:val="bottom"/>
          </w:tcPr>
          <w:p>
            <w:pPr>
              <w:spacing w:after="0"/>
              <w:rPr>
                <w:sz w:val="20"/>
                <w:szCs w:val="20"/>
                <w:color w:val="auto"/>
              </w:rPr>
            </w:pPr>
            <w:r>
              <w:rPr>
                <w:rFonts w:ascii="Arial" w:cs="Arial" w:eastAsia="Arial" w:hAnsi="Arial"/>
                <w:sz w:val="20"/>
                <w:szCs w:val="20"/>
                <w:b w:val="1"/>
                <w:bCs w:val="1"/>
                <w:color w:val="auto"/>
              </w:rPr>
              <w:t>MI</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Michigan</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245"/>
        </w:trPr>
        <w:tc>
          <w:tcPr>
            <w:tcW w:w="360" w:type="dxa"/>
            <w:vAlign w:val="bottom"/>
          </w:tcPr>
          <w:p>
            <w:pPr>
              <w:spacing w:after="0"/>
              <w:rPr>
                <w:sz w:val="20"/>
                <w:szCs w:val="20"/>
                <w:color w:val="auto"/>
              </w:rPr>
            </w:pPr>
            <w:r>
              <w:rPr>
                <w:rFonts w:ascii="Arial" w:cs="Arial" w:eastAsia="Arial" w:hAnsi="Arial"/>
                <w:sz w:val="20"/>
                <w:szCs w:val="20"/>
                <w:b w:val="1"/>
                <w:bCs w:val="1"/>
                <w:color w:val="auto"/>
              </w:rPr>
              <w:t>NC</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North Carolina</w:t>
            </w:r>
          </w:p>
        </w:tc>
        <w:tc>
          <w:tcPr>
            <w:tcW w:w="1520" w:type="dxa"/>
            <w:vAlign w:val="bottom"/>
          </w:tcPr>
          <w:p>
            <w:pPr>
              <w:spacing w:after="0"/>
              <w:rPr>
                <w:sz w:val="21"/>
                <w:szCs w:val="21"/>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242"/>
        </w:trPr>
        <w:tc>
          <w:tcPr>
            <w:tcW w:w="360" w:type="dxa"/>
            <w:vAlign w:val="bottom"/>
          </w:tcPr>
          <w:p>
            <w:pPr>
              <w:spacing w:after="0"/>
              <w:rPr>
                <w:sz w:val="20"/>
                <w:szCs w:val="20"/>
                <w:color w:val="auto"/>
              </w:rPr>
            </w:pPr>
            <w:r>
              <w:rPr>
                <w:rFonts w:ascii="Arial" w:cs="Arial" w:eastAsia="Arial" w:hAnsi="Arial"/>
                <w:sz w:val="20"/>
                <w:szCs w:val="20"/>
                <w:b w:val="1"/>
                <w:bCs w:val="1"/>
                <w:color w:val="auto"/>
              </w:rPr>
              <w:t>OR</w:t>
            </w: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Oregon</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20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(17)</w:t>
            </w:r>
          </w:p>
        </w:tc>
      </w:tr>
      <w:tr>
        <w:trPr>
          <w:trHeight w:val="245"/>
        </w:trPr>
        <w:tc>
          <w:tcPr>
            <w:tcW w:w="360" w:type="dxa"/>
            <w:vAlign w:val="bottom"/>
          </w:tcPr>
          <w:p>
            <w:pPr>
              <w:spacing w:after="0"/>
              <w:rPr>
                <w:sz w:val="21"/>
                <w:szCs w:val="21"/>
                <w:color w:val="auto"/>
              </w:rPr>
            </w:pP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Other States</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(58)</w:t>
            </w:r>
          </w:p>
        </w:tc>
        <w:tc>
          <w:tcPr>
            <w:tcW w:w="1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259"/>
        </w:trPr>
        <w:tc>
          <w:tcPr>
            <w:tcW w:w="360" w:type="dxa"/>
            <w:vAlign w:val="bottom"/>
          </w:tcPr>
          <w:p>
            <w:pPr>
              <w:spacing w:after="0"/>
              <w:rPr>
                <w:sz w:val="22"/>
                <w:szCs w:val="22"/>
                <w:color w:val="auto"/>
              </w:rPr>
            </w:pPr>
          </w:p>
        </w:tc>
        <w:tc>
          <w:tcPr>
            <w:tcW w:w="4460" w:type="dxa"/>
            <w:vAlign w:val="bottom"/>
          </w:tcPr>
          <w:p>
            <w:pPr>
              <w:ind w:left="220"/>
              <w:spacing w:after="0"/>
              <w:rPr>
                <w:sz w:val="20"/>
                <w:szCs w:val="20"/>
                <w:color w:val="auto"/>
              </w:rPr>
            </w:pPr>
            <w:r>
              <w:rPr>
                <w:rFonts w:ascii="Arial" w:cs="Arial" w:eastAsia="Arial" w:hAnsi="Arial"/>
                <w:sz w:val="20"/>
                <w:szCs w:val="20"/>
                <w:b w:val="1"/>
                <w:bCs w:val="1"/>
                <w:color w:val="auto"/>
                <w:w w:val="89"/>
              </w:rPr>
              <w:t>Net cash paid (refunds received) for income taxes</w:t>
            </w:r>
          </w:p>
        </w:tc>
        <w:tc>
          <w:tcPr>
            <w:tcW w:w="1520" w:type="dxa"/>
            <w:vAlign w:val="bottom"/>
          </w:tcPr>
          <w:p>
            <w:pPr>
              <w:jc w:val="right"/>
              <w:ind w:right="1060"/>
              <w:spacing w:after="0"/>
              <w:rPr>
                <w:sz w:val="20"/>
                <w:szCs w:val="20"/>
                <w:color w:val="auto"/>
              </w:rPr>
            </w:pPr>
            <w:r>
              <w:rPr>
                <w:rFonts w:ascii="Arial" w:cs="Arial" w:eastAsia="Arial" w:hAnsi="Arial"/>
                <w:sz w:val="20"/>
                <w:szCs w:val="20"/>
                <w:b w:val="1"/>
                <w:bCs w:val="1"/>
                <w:color w:val="auto"/>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(880)</w:t>
            </w:r>
          </w:p>
        </w:tc>
        <w:tc>
          <w:tcPr>
            <w:tcW w:w="1440" w:type="dxa"/>
            <w:vAlign w:val="bottom"/>
          </w:tcPr>
          <w:p>
            <w:pPr>
              <w:jc w:val="right"/>
              <w:ind w:right="1060"/>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(100)</w:t>
            </w:r>
          </w:p>
        </w:tc>
      </w:tr>
    </w:tbl>
    <w:p>
      <w:pPr>
        <w:spacing w:after="0" w:line="32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*The amount of income taxes paid during the year does not meet the 5% disaggregation threshold and is included in “Other.”</w:t>
      </w:r>
    </w:p>
    <w:p>
      <w:pPr>
        <w:sectPr>
          <w:pgSz w:w="12240" w:h="15840" w:orient="portrait"/>
          <w:cols w:equalWidth="0" w:num="1">
            <w:col w:w="10000"/>
          </w:cols>
          <w:pgMar w:left="1440" w:top="1161" w:right="8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122</w:t>
      </w:r>
    </w:p>
    <w:p>
      <w:pPr>
        <w:sectPr>
          <w:pgSz w:w="12240" w:h="15840" w:orient="portrait"/>
          <w:cols w:equalWidth="0" w:num="1">
            <w:col w:w="10000"/>
          </w:cols>
          <w:pgMar w:left="1440" w:top="1161" w:right="800" w:bottom="181" w:gutter="0" w:footer="0" w:header="0"/>
          <w:type w:val="continuous"/>
        </w:sectPr>
      </w:pPr>
    </w:p>
    <w:bookmarkStart w:id="124" w:name="page125"/>
    <w:bookmarkEnd w:id="124"/>
    <w:p>
      <w:pPr>
        <w:spacing w:after="0" w:line="72" w:lineRule="exact"/>
        <w:rPr>
          <w:sz w:val="20"/>
          <w:szCs w:val="20"/>
          <w:color w:val="auto"/>
        </w:rPr>
      </w:pPr>
    </w:p>
    <w:p>
      <w:pPr>
        <w:ind w:left="480"/>
        <w:spacing w:after="0" w:line="233" w:lineRule="auto"/>
        <w:rPr>
          <w:sz w:val="20"/>
          <w:szCs w:val="20"/>
          <w:color w:val="auto"/>
        </w:rPr>
      </w:pPr>
      <w:r>
        <w:rPr>
          <w:rFonts w:ascii="Arial" w:cs="Arial" w:eastAsia="Arial" w:hAnsi="Arial"/>
          <w:sz w:val="20"/>
          <w:szCs w:val="20"/>
          <w:b w:val="1"/>
          <w:bCs w:val="1"/>
          <w:color w:val="auto"/>
        </w:rPr>
        <w:t>The tax effects of temporary differences that give rise to significant components of the Company’s deferred tax assets and liabilities consist of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-156845</wp:posOffset>
            </wp:positionV>
            <wp:extent cx="6179185" cy="3731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9185" cy="3731895"/>
                    </a:xfrm>
                    <a:prstGeom prst="rect">
                      <a:avLst/>
                    </a:prstGeom>
                    <a:noFill/>
                  </pic:spPr>
                </pic:pic>
              </a:graphicData>
            </a:graphic>
          </wp:anchor>
        </w:drawing>
      </w: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Pr>
          <w:p>
            <w:pPr>
              <w:spacing w:after="0"/>
              <w:rPr>
                <w:sz w:val="16"/>
                <w:szCs w:val="16"/>
                <w:color w:val="auto"/>
              </w:rPr>
            </w:pPr>
          </w:p>
        </w:tc>
      </w:tr>
      <w:tr>
        <w:trPr>
          <w:trHeight w:val="197"/>
        </w:trPr>
        <w:tc>
          <w:tcPr>
            <w:tcW w:w="398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jc w:val="right"/>
              <w:ind w:right="802"/>
              <w:spacing w:after="0"/>
              <w:rPr>
                <w:sz w:val="20"/>
                <w:szCs w:val="20"/>
                <w:color w:val="auto"/>
              </w:rPr>
            </w:pPr>
            <w:r>
              <w:rPr>
                <w:rFonts w:ascii="Arial" w:cs="Arial" w:eastAsia="Arial" w:hAnsi="Arial"/>
                <w:sz w:val="16"/>
                <w:szCs w:val="16"/>
                <w:b w:val="1"/>
                <w:bCs w:val="1"/>
                <w:color w:val="auto"/>
              </w:rPr>
              <w:t>2024</w:t>
            </w:r>
          </w:p>
        </w:tc>
      </w:tr>
      <w:tr>
        <w:trPr>
          <w:trHeight w:val="246"/>
        </w:trPr>
        <w:tc>
          <w:tcPr>
            <w:tcW w:w="398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Net operating loss</w:t>
            </w:r>
          </w:p>
        </w:tc>
        <w:tc>
          <w:tcPr>
            <w:tcW w:w="2400" w:type="dxa"/>
            <w:vAlign w:val="bottom"/>
          </w:tcPr>
          <w:p>
            <w:pPr>
              <w:jc w:val="right"/>
              <w:ind w:right="984"/>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106,407</w:t>
            </w:r>
          </w:p>
        </w:tc>
        <w:tc>
          <w:tcPr>
            <w:tcW w:w="680" w:type="dxa"/>
            <w:vAlign w:val="bottom"/>
          </w:tcPr>
          <w:p>
            <w:pPr>
              <w:jc w:val="right"/>
              <w:ind w:right="360"/>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36,843</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Accrued bonus</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1,241</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2,465</w:t>
            </w:r>
          </w:p>
        </w:tc>
      </w:tr>
      <w:tr>
        <w:trPr>
          <w:trHeight w:val="228"/>
        </w:trPr>
        <w:tc>
          <w:tcPr>
            <w:tcW w:w="398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Tax credits</w:t>
            </w:r>
          </w:p>
        </w:tc>
        <w:tc>
          <w:tcPr>
            <w:tcW w:w="2400" w:type="dxa"/>
            <w:vAlign w:val="bottom"/>
          </w:tcPr>
          <w:p>
            <w:pPr>
              <w:spacing w:after="0"/>
              <w:rPr>
                <w:sz w:val="19"/>
                <w:szCs w:val="19"/>
                <w:color w:val="auto"/>
              </w:rPr>
            </w:pPr>
          </w:p>
        </w:tc>
        <w:tc>
          <w:tcPr>
            <w:tcW w:w="980" w:type="dxa"/>
            <w:vAlign w:val="bottom"/>
          </w:tcPr>
          <w:p>
            <w:pPr>
              <w:jc w:val="right"/>
              <w:ind w:right="102"/>
              <w:spacing w:after="0" w:line="228" w:lineRule="exact"/>
              <w:rPr>
                <w:sz w:val="20"/>
                <w:szCs w:val="20"/>
                <w:color w:val="auto"/>
              </w:rPr>
            </w:pPr>
            <w:r>
              <w:rPr>
                <w:rFonts w:ascii="Arial" w:cs="Arial" w:eastAsia="Arial" w:hAnsi="Arial"/>
                <w:sz w:val="20"/>
                <w:szCs w:val="20"/>
                <w:b w:val="1"/>
                <w:bCs w:val="1"/>
                <w:color w:val="auto"/>
              </w:rPr>
              <w:t>39,433</w:t>
            </w:r>
          </w:p>
        </w:tc>
        <w:tc>
          <w:tcPr>
            <w:tcW w:w="680" w:type="dxa"/>
            <w:vAlign w:val="bottom"/>
          </w:tcPr>
          <w:p>
            <w:pPr>
              <w:spacing w:after="0"/>
              <w:rPr>
                <w:sz w:val="19"/>
                <w:szCs w:val="19"/>
                <w:color w:val="auto"/>
              </w:rPr>
            </w:pPr>
          </w:p>
        </w:tc>
        <w:tc>
          <w:tcPr>
            <w:tcW w:w="14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34,373</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Stock-based compensation</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14,086</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15,456</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Deferred revenue</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41,670</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46,085</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Lease liability</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6,460</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7,796</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Section 174 R&amp;D capitalization</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66,824</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81,291</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Refund liability</w:t>
            </w:r>
          </w:p>
        </w:tc>
        <w:tc>
          <w:tcPr>
            <w:tcW w:w="24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2,786</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13,628</w:t>
            </w:r>
          </w:p>
        </w:tc>
      </w:tr>
      <w:tr>
        <w:trPr>
          <w:trHeight w:val="228"/>
        </w:trPr>
        <w:tc>
          <w:tcPr>
            <w:tcW w:w="398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Other</w:t>
            </w:r>
          </w:p>
        </w:tc>
        <w:tc>
          <w:tcPr>
            <w:tcW w:w="2400" w:type="dxa"/>
            <w:vAlign w:val="bottom"/>
          </w:tcPr>
          <w:p>
            <w:pPr>
              <w:spacing w:after="0"/>
              <w:rPr>
                <w:sz w:val="19"/>
                <w:szCs w:val="19"/>
                <w:color w:val="auto"/>
              </w:rPr>
            </w:pPr>
          </w:p>
        </w:tc>
        <w:tc>
          <w:tcPr>
            <w:tcW w:w="980" w:type="dxa"/>
            <w:vAlign w:val="bottom"/>
          </w:tcPr>
          <w:p>
            <w:pPr>
              <w:jc w:val="right"/>
              <w:ind w:right="102"/>
              <w:spacing w:after="0" w:line="228" w:lineRule="exact"/>
              <w:rPr>
                <w:sz w:val="20"/>
                <w:szCs w:val="20"/>
                <w:color w:val="auto"/>
              </w:rPr>
            </w:pPr>
            <w:r>
              <w:rPr>
                <w:rFonts w:ascii="Arial" w:cs="Arial" w:eastAsia="Arial" w:hAnsi="Arial"/>
                <w:sz w:val="20"/>
                <w:szCs w:val="20"/>
                <w:b w:val="1"/>
                <w:bCs w:val="1"/>
                <w:color w:val="auto"/>
              </w:rPr>
              <w:t>1,276</w:t>
            </w:r>
          </w:p>
        </w:tc>
        <w:tc>
          <w:tcPr>
            <w:tcW w:w="680" w:type="dxa"/>
            <w:vAlign w:val="bottom"/>
          </w:tcPr>
          <w:p>
            <w:pPr>
              <w:spacing w:after="0"/>
              <w:rPr>
                <w:sz w:val="19"/>
                <w:szCs w:val="19"/>
                <w:color w:val="auto"/>
              </w:rPr>
            </w:pPr>
          </w:p>
        </w:tc>
        <w:tc>
          <w:tcPr>
            <w:tcW w:w="14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1,619</w:t>
            </w:r>
          </w:p>
        </w:tc>
      </w:tr>
      <w:tr>
        <w:trPr>
          <w:trHeight w:val="247"/>
        </w:trPr>
        <w:tc>
          <w:tcPr>
            <w:tcW w:w="3980" w:type="dxa"/>
            <w:vAlign w:val="bottom"/>
          </w:tcPr>
          <w:p>
            <w:pPr>
              <w:ind w:left="400"/>
              <w:spacing w:after="0"/>
              <w:rPr>
                <w:sz w:val="20"/>
                <w:szCs w:val="20"/>
                <w:color w:val="auto"/>
              </w:rPr>
            </w:pPr>
            <w:r>
              <w:rPr>
                <w:rFonts w:ascii="Arial" w:cs="Arial" w:eastAsia="Arial" w:hAnsi="Arial"/>
                <w:sz w:val="20"/>
                <w:szCs w:val="20"/>
                <w:b w:val="1"/>
                <w:bCs w:val="1"/>
                <w:color w:val="auto"/>
              </w:rPr>
              <w:t>Gross deferred tax assets</w:t>
            </w:r>
          </w:p>
        </w:tc>
        <w:tc>
          <w:tcPr>
            <w:tcW w:w="2400" w:type="dxa"/>
            <w:vAlign w:val="bottom"/>
          </w:tcPr>
          <w:p>
            <w:pPr>
              <w:spacing w:after="0"/>
              <w:rPr>
                <w:sz w:val="21"/>
                <w:szCs w:val="21"/>
                <w:color w:val="auto"/>
              </w:rPr>
            </w:pP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280,183</w:t>
            </w: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239,556</w:t>
            </w:r>
          </w:p>
        </w:tc>
      </w:tr>
      <w:tr>
        <w:trPr>
          <w:trHeight w:val="228"/>
        </w:trPr>
        <w:tc>
          <w:tcPr>
            <w:tcW w:w="3980" w:type="dxa"/>
            <w:vAlign w:val="bottom"/>
          </w:tcPr>
          <w:p>
            <w:pPr>
              <w:ind w:left="200"/>
              <w:spacing w:after="0" w:line="229" w:lineRule="exact"/>
              <w:rPr>
                <w:sz w:val="20"/>
                <w:szCs w:val="20"/>
                <w:color w:val="auto"/>
              </w:rPr>
            </w:pPr>
            <w:r>
              <w:rPr>
                <w:rFonts w:ascii="Arial" w:cs="Arial" w:eastAsia="Arial" w:hAnsi="Arial"/>
                <w:sz w:val="20"/>
                <w:szCs w:val="20"/>
                <w:b w:val="1"/>
                <w:bCs w:val="1"/>
                <w:color w:val="auto"/>
              </w:rPr>
              <w:t>Less valuation allowance</w:t>
            </w:r>
          </w:p>
        </w:tc>
        <w:tc>
          <w:tcPr>
            <w:tcW w:w="2400" w:type="dxa"/>
            <w:vAlign w:val="bottom"/>
          </w:tcPr>
          <w:p>
            <w:pPr>
              <w:spacing w:after="0"/>
              <w:rPr>
                <w:sz w:val="19"/>
                <w:szCs w:val="19"/>
                <w:color w:val="auto"/>
              </w:rPr>
            </w:pPr>
          </w:p>
        </w:tc>
        <w:tc>
          <w:tcPr>
            <w:tcW w:w="980" w:type="dxa"/>
            <w:vAlign w:val="bottom"/>
          </w:tcPr>
          <w:p>
            <w:pPr>
              <w:jc w:val="right"/>
              <w:ind w:right="42"/>
              <w:spacing w:after="0" w:line="229" w:lineRule="exact"/>
              <w:rPr>
                <w:sz w:val="20"/>
                <w:szCs w:val="20"/>
                <w:color w:val="auto"/>
              </w:rPr>
            </w:pPr>
            <w:r>
              <w:rPr>
                <w:rFonts w:ascii="Arial" w:cs="Arial" w:eastAsia="Arial" w:hAnsi="Arial"/>
                <w:sz w:val="20"/>
                <w:szCs w:val="20"/>
                <w:b w:val="1"/>
                <w:bCs w:val="1"/>
                <w:color w:val="auto"/>
                <w:w w:val="95"/>
              </w:rPr>
              <w:t>(274,229)</w:t>
            </w:r>
          </w:p>
        </w:tc>
        <w:tc>
          <w:tcPr>
            <w:tcW w:w="680" w:type="dxa"/>
            <w:vAlign w:val="bottom"/>
          </w:tcPr>
          <w:p>
            <w:pPr>
              <w:spacing w:after="0"/>
              <w:rPr>
                <w:sz w:val="19"/>
                <w:szCs w:val="19"/>
                <w:color w:val="auto"/>
              </w:rPr>
            </w:pPr>
          </w:p>
        </w:tc>
        <w:tc>
          <w:tcPr>
            <w:tcW w:w="14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(231,296)</w:t>
            </w:r>
          </w:p>
        </w:tc>
      </w:tr>
      <w:tr>
        <w:trPr>
          <w:trHeight w:val="245"/>
        </w:trPr>
        <w:tc>
          <w:tcPr>
            <w:tcW w:w="3980" w:type="dxa"/>
            <w:vAlign w:val="bottom"/>
          </w:tcPr>
          <w:p>
            <w:pPr>
              <w:ind w:left="400"/>
              <w:spacing w:after="0"/>
              <w:rPr>
                <w:sz w:val="20"/>
                <w:szCs w:val="20"/>
                <w:color w:val="auto"/>
              </w:rPr>
            </w:pPr>
            <w:r>
              <w:rPr>
                <w:rFonts w:ascii="Arial" w:cs="Arial" w:eastAsia="Arial" w:hAnsi="Arial"/>
                <w:sz w:val="20"/>
                <w:szCs w:val="20"/>
                <w:b w:val="1"/>
                <w:bCs w:val="1"/>
                <w:color w:val="auto"/>
              </w:rPr>
              <w:t>Total deferred tax assets</w:t>
            </w:r>
          </w:p>
        </w:tc>
        <w:tc>
          <w:tcPr>
            <w:tcW w:w="2400" w:type="dxa"/>
            <w:vAlign w:val="bottom"/>
          </w:tcPr>
          <w:p>
            <w:pPr>
              <w:jc w:val="right"/>
              <w:ind w:right="984"/>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5,954</w:t>
            </w:r>
          </w:p>
        </w:tc>
        <w:tc>
          <w:tcPr>
            <w:tcW w:w="680" w:type="dxa"/>
            <w:vAlign w:val="bottom"/>
          </w:tcPr>
          <w:p>
            <w:pPr>
              <w:jc w:val="right"/>
              <w:ind w:right="360"/>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8,260</w:t>
            </w:r>
          </w:p>
        </w:tc>
      </w:tr>
      <w:tr>
        <w:trPr>
          <w:trHeight w:val="276"/>
        </w:trPr>
        <w:tc>
          <w:tcPr>
            <w:tcW w:w="398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Depreciation and amortization</w:t>
            </w:r>
          </w:p>
        </w:tc>
        <w:tc>
          <w:tcPr>
            <w:tcW w:w="2400" w:type="dxa"/>
            <w:vAlign w:val="bottom"/>
          </w:tcPr>
          <w:p>
            <w:pPr>
              <w:jc w:val="right"/>
              <w:ind w:right="984"/>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42"/>
              <w:spacing w:after="0"/>
              <w:rPr>
                <w:sz w:val="20"/>
                <w:szCs w:val="20"/>
                <w:color w:val="auto"/>
              </w:rPr>
            </w:pPr>
            <w:r>
              <w:rPr>
                <w:rFonts w:ascii="Arial" w:cs="Arial" w:eastAsia="Arial" w:hAnsi="Arial"/>
                <w:sz w:val="20"/>
                <w:szCs w:val="20"/>
                <w:b w:val="1"/>
                <w:bCs w:val="1"/>
                <w:color w:val="auto"/>
              </w:rPr>
              <w:t>(2,616)</w:t>
            </w:r>
          </w:p>
        </w:tc>
        <w:tc>
          <w:tcPr>
            <w:tcW w:w="680" w:type="dxa"/>
            <w:vAlign w:val="bottom"/>
          </w:tcPr>
          <w:p>
            <w:pPr>
              <w:jc w:val="right"/>
              <w:ind w:right="360"/>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(3,565)</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Right-of-use assets</w:t>
            </w:r>
          </w:p>
        </w:tc>
        <w:tc>
          <w:tcPr>
            <w:tcW w:w="24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b w:val="1"/>
                <w:bCs w:val="1"/>
                <w:color w:val="auto"/>
              </w:rPr>
              <w:t>(3,338)</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(4,695)</w:t>
            </w:r>
          </w:p>
        </w:tc>
      </w:tr>
      <w:tr>
        <w:trPr>
          <w:trHeight w:val="230"/>
        </w:trPr>
        <w:tc>
          <w:tcPr>
            <w:tcW w:w="3980" w:type="dxa"/>
            <w:vAlign w:val="bottom"/>
          </w:tcPr>
          <w:p>
            <w:pPr>
              <w:ind w:left="400"/>
              <w:spacing w:after="0"/>
              <w:rPr>
                <w:sz w:val="20"/>
                <w:szCs w:val="20"/>
                <w:color w:val="auto"/>
              </w:rPr>
            </w:pPr>
            <w:r>
              <w:rPr>
                <w:rFonts w:ascii="Arial" w:cs="Arial" w:eastAsia="Arial" w:hAnsi="Arial"/>
                <w:sz w:val="20"/>
                <w:szCs w:val="20"/>
                <w:b w:val="1"/>
                <w:bCs w:val="1"/>
                <w:color w:val="auto"/>
              </w:rPr>
              <w:t>Gross deferred tax liabilities</w:t>
            </w:r>
          </w:p>
        </w:tc>
        <w:tc>
          <w:tcPr>
            <w:tcW w:w="24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b w:val="1"/>
                <w:bCs w:val="1"/>
                <w:color w:val="auto"/>
              </w:rPr>
              <w:t>(5,954)</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(8,260)</w:t>
            </w:r>
          </w:p>
        </w:tc>
      </w:tr>
      <w:tr>
        <w:trPr>
          <w:trHeight w:val="245"/>
        </w:trPr>
        <w:tc>
          <w:tcPr>
            <w:tcW w:w="3980" w:type="dxa"/>
            <w:vAlign w:val="bottom"/>
          </w:tcPr>
          <w:p>
            <w:pPr>
              <w:ind w:left="200"/>
              <w:spacing w:after="0"/>
              <w:rPr>
                <w:sz w:val="20"/>
                <w:szCs w:val="20"/>
                <w:color w:val="auto"/>
              </w:rPr>
            </w:pPr>
            <w:r>
              <w:rPr>
                <w:rFonts w:ascii="Arial" w:cs="Arial" w:eastAsia="Arial" w:hAnsi="Arial"/>
                <w:sz w:val="20"/>
                <w:szCs w:val="20"/>
                <w:b w:val="1"/>
                <w:bCs w:val="1"/>
                <w:color w:val="auto"/>
              </w:rPr>
              <w:t>Deferred tax assets, net</w:t>
            </w:r>
          </w:p>
        </w:tc>
        <w:tc>
          <w:tcPr>
            <w:tcW w:w="2400" w:type="dxa"/>
            <w:vAlign w:val="bottom"/>
          </w:tcPr>
          <w:p>
            <w:pPr>
              <w:jc w:val="right"/>
              <w:ind w:right="984"/>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360"/>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bl>
    <w:p>
      <w:pPr>
        <w:spacing w:after="0" w:line="200" w:lineRule="exact"/>
        <w:rPr>
          <w:sz w:val="20"/>
          <w:szCs w:val="20"/>
          <w:color w:val="auto"/>
        </w:rPr>
      </w:pPr>
    </w:p>
    <w:p>
      <w:pPr>
        <w:spacing w:after="0" w:line="205" w:lineRule="exact"/>
        <w:rPr>
          <w:sz w:val="20"/>
          <w:szCs w:val="20"/>
          <w:color w:val="auto"/>
        </w:rPr>
      </w:pPr>
    </w:p>
    <w:p>
      <w:pPr>
        <w:ind w:left="480" w:right="20"/>
        <w:spacing w:after="0" w:line="281" w:lineRule="auto"/>
        <w:rPr>
          <w:sz w:val="20"/>
          <w:szCs w:val="20"/>
          <w:color w:val="auto"/>
        </w:rPr>
      </w:pPr>
      <w:r>
        <w:rPr>
          <w:rFonts w:ascii="Arial" w:cs="Arial" w:eastAsia="Arial" w:hAnsi="Arial"/>
          <w:sz w:val="15"/>
          <w:szCs w:val="15"/>
          <w:b w:val="1"/>
          <w:bCs w:val="1"/>
          <w:color w:val="auto"/>
        </w:rPr>
        <w:t xml:space="preserve">In assessing the realization of deferred tax assets, management considers whether it is more likely than not that some </w:t>
      </w:r>
      <w:r>
        <w:rPr>
          <w:rFonts w:ascii="Arial" w:cs="Arial" w:eastAsia="Arial" w:hAnsi="Arial"/>
          <w:sz w:val="15"/>
          <w:szCs w:val="15"/>
          <w:b w:val="1"/>
          <w:bCs w:val="1"/>
          <w:color w:val="auto"/>
          <w:highlight w:val="white"/>
        </w:rPr>
        <w:t>portion or all of the deferred assets will be realized. The ultimate realization of the deferred tax assets is dependent upon the generation of future taxable income during the periods in which those temporary differences become deductible. Evaluating the need for a valuation allowance for deferred tax assets often requires judgment and analysis of all the positive and negative evidence available, including cumulative losses in recent years and projected future taxable income, to determine</w:t>
      </w:r>
      <w:r>
        <w:rPr>
          <w:sz w:val="1"/>
          <w:szCs w:val="1"/>
          <w:color w:val="auto"/>
        </w:rPr>
        <w:drawing>
          <wp:inline distT="0" distB="0" distL="0" distR="0">
            <wp:extent cx="57150" cy="1651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0" cy="165100"/>
                    </a:xfrm>
                    <a:prstGeom prst="rect">
                      <a:avLst/>
                    </a:prstGeom>
                    <a:noFill/>
                    <a:ln>
                      <a:noFill/>
                    </a:ln>
                  </pic:spPr>
                </pic:pic>
              </a:graphicData>
            </a:graphic>
          </wp:inline>
        </w:drawing>
      </w:r>
      <w:r>
        <w:rPr>
          <w:rFonts w:ascii="Arial" w:cs="Arial" w:eastAsia="Arial" w:hAnsi="Arial"/>
          <w:sz w:val="15"/>
          <w:szCs w:val="15"/>
          <w:b w:val="1"/>
          <w:bCs w:val="1"/>
          <w:color w:val="auto"/>
          <w:highlight w:val="white"/>
        </w:rPr>
        <w:t>whether all or some portion of the deferred tax assets will not be realized. As of December 31, 2025, the Company</w:t>
      </w:r>
      <w:r>
        <w:rPr>
          <w:sz w:val="1"/>
          <w:szCs w:val="1"/>
          <w:color w:val="auto"/>
        </w:rPr>
        <w:drawing>
          <wp:inline distT="0" distB="0" distL="0" distR="0">
            <wp:extent cx="59055" cy="1651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055" cy="165100"/>
                    </a:xfrm>
                    <a:prstGeom prst="rect">
                      <a:avLst/>
                    </a:prstGeom>
                    <a:noFill/>
                    <a:ln>
                      <a:noFill/>
                    </a:ln>
                  </pic:spPr>
                </pic:pic>
              </a:graphicData>
            </a:graphic>
          </wp:inline>
        </w:drawing>
      </w:r>
      <w:r>
        <w:rPr>
          <w:rFonts w:ascii="Arial" w:cs="Arial" w:eastAsia="Arial" w:hAnsi="Arial"/>
          <w:sz w:val="15"/>
          <w:szCs w:val="15"/>
          <w:b w:val="1"/>
          <w:bCs w:val="1"/>
          <w:color w:val="auto"/>
          <w:highlight w:val="white"/>
        </w:rPr>
        <w:t>has</w:t>
      </w:r>
      <w:r>
        <w:rPr>
          <w:sz w:val="1"/>
          <w:szCs w:val="1"/>
          <w:color w:val="auto"/>
        </w:rPr>
        <w:drawing>
          <wp:inline distT="0" distB="0" distL="0" distR="0">
            <wp:extent cx="57150" cy="1651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0" cy="165100"/>
                    </a:xfrm>
                    <a:prstGeom prst="rect">
                      <a:avLst/>
                    </a:prstGeom>
                    <a:noFill/>
                    <a:ln>
                      <a:noFill/>
                    </a:ln>
                  </pic:spPr>
                </pic:pic>
              </a:graphicData>
            </a:graphic>
          </wp:inline>
        </w:drawing>
      </w:r>
      <w:r>
        <w:rPr>
          <w:rFonts w:ascii="Arial" w:cs="Arial" w:eastAsia="Arial" w:hAnsi="Arial"/>
          <w:sz w:val="15"/>
          <w:szCs w:val="15"/>
          <w:b w:val="1"/>
          <w:bCs w:val="1"/>
          <w:color w:val="auto"/>
          <w:highlight w:val="white"/>
        </w:rPr>
        <w:t xml:space="preserve">utilized a full valuation allowance to offset the net deferred tax assets as the Company believes it is not more likely than not that the net deferred tax assets will be fully realizable. The valuation </w:t>
      </w:r>
      <w:r>
        <w:rPr>
          <w:rFonts w:ascii="Arial" w:cs="Arial" w:eastAsia="Arial" w:hAnsi="Arial"/>
          <w:sz w:val="15"/>
          <w:szCs w:val="15"/>
          <w:b w:val="1"/>
          <w:bCs w:val="1"/>
          <w:color w:val="auto"/>
        </w:rPr>
        <w:t>allowance for deferred tax assets increased by $42.9 million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-28575</wp:posOffset>
            </wp:positionV>
            <wp:extent cx="5344160" cy="395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4160" cy="395605"/>
                    </a:xfrm>
                    <a:prstGeom prst="rect">
                      <a:avLst/>
                    </a:prstGeom>
                    <a:noFill/>
                  </pic:spPr>
                </pic:pic>
              </a:graphicData>
            </a:graphic>
          </wp:anchor>
        </w:drawing>
      </w:r>
    </w:p>
    <w:p>
      <w:pPr>
        <w:spacing w:after="0" w:line="285" w:lineRule="exact"/>
        <w:rPr>
          <w:sz w:val="20"/>
          <w:szCs w:val="20"/>
          <w:color w:val="auto"/>
        </w:rPr>
      </w:pPr>
    </w:p>
    <w:p>
      <w:pPr>
        <w:ind w:left="480" w:right="20"/>
        <w:spacing w:after="0" w:line="248" w:lineRule="auto"/>
        <w:rPr>
          <w:sz w:val="20"/>
          <w:szCs w:val="20"/>
          <w:color w:val="auto"/>
        </w:rPr>
      </w:pPr>
      <w:r>
        <w:rPr>
          <w:rFonts w:ascii="Arial" w:cs="Arial" w:eastAsia="Arial" w:hAnsi="Arial"/>
          <w:sz w:val="18"/>
          <w:szCs w:val="18"/>
          <w:b w:val="1"/>
          <w:bCs w:val="1"/>
          <w:color w:val="auto"/>
        </w:rPr>
        <w:t>As of December 31, 2025, the Company had federal and state net operating loss (NOL) carryforwards of</w:t>
      </w:r>
      <w:r>
        <w:rPr>
          <w:sz w:val="1"/>
          <w:szCs w:val="1"/>
          <w:color w:val="auto"/>
        </w:rPr>
        <w:drawing>
          <wp:inline distT="0" distB="0" distL="0" distR="0">
            <wp:extent cx="59055"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approximately $375.6 million and $419.1 million, respectively. Federal NOL carryforwards have an indefinite life and deductions cannot exceed 80%</w:t>
      </w:r>
      <w:r>
        <w:rPr>
          <w:sz w:val="1"/>
          <w:szCs w:val="1"/>
          <w:color w:val="auto"/>
        </w:rPr>
        <w:drawing>
          <wp:inline distT="0" distB="0" distL="0" distR="0">
            <wp:extent cx="57150" cy="1333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50"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of taxable income. State NOL carryforwards will begin to expire as early as 2030, </w:t>
      </w:r>
      <w:r>
        <w:rPr>
          <w:rFonts w:ascii="Arial" w:cs="Arial" w:eastAsia="Arial" w:hAnsi="Arial"/>
          <w:sz w:val="18"/>
          <w:szCs w:val="18"/>
          <w:b w:val="1"/>
          <w:bCs w:val="1"/>
          <w:color w:val="auto"/>
        </w:rPr>
        <w:t>if not utilized, or have an indefinite life. As of December 31, 2025, the Company also had federal and California tax</w:t>
      </w:r>
      <w:r>
        <w:rPr>
          <w:sz w:val="1"/>
          <w:szCs w:val="1"/>
          <w:color w:val="auto"/>
        </w:rPr>
        <w:drawing>
          <wp:inline distT="0" distB="0" distL="0" distR="0">
            <wp:extent cx="59055"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055" cy="13335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credit carryforward of approximately $39.4 million and $25.3 million, respectively. The federal tax credits will begin to expire in 2041 while the California tax credits have no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-454025</wp:posOffset>
            </wp:positionV>
            <wp:extent cx="5923280" cy="173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23280" cy="1733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-162560</wp:posOffset>
            </wp:positionV>
            <wp:extent cx="3778885" cy="395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78885" cy="395605"/>
                    </a:xfrm>
                    <a:prstGeom prst="rect">
                      <a:avLst/>
                    </a:prstGeom>
                    <a:noFill/>
                  </pic:spPr>
                </pic:pic>
              </a:graphicData>
            </a:graphic>
          </wp:anchor>
        </w:drawing>
      </w:r>
    </w:p>
    <w:p>
      <w:pPr>
        <w:spacing w:after="0" w:line="73" w:lineRule="exact"/>
        <w:rPr>
          <w:sz w:val="20"/>
          <w:szCs w:val="20"/>
          <w:color w:val="auto"/>
        </w:rPr>
      </w:pPr>
    </w:p>
    <w:p>
      <w:pPr>
        <w:ind w:left="480" w:right="40"/>
        <w:spacing w:after="0"/>
        <w:rPr>
          <w:sz w:val="20"/>
          <w:szCs w:val="20"/>
          <w:color w:val="auto"/>
        </w:rPr>
      </w:pPr>
      <w:r>
        <w:rPr>
          <w:rFonts w:ascii="Arial" w:cs="Arial" w:eastAsia="Arial" w:hAnsi="Arial"/>
          <w:sz w:val="18"/>
          <w:szCs w:val="18"/>
          <w:b w:val="1"/>
          <w:bCs w:val="1"/>
          <w:color w:val="auto"/>
        </w:rPr>
        <w:t xml:space="preserve">Generally, utilization of the </w:t>
      </w:r>
      <w:r>
        <w:rPr>
          <w:rFonts w:ascii="Arial" w:cs="Arial" w:eastAsia="Arial" w:hAnsi="Arial"/>
          <w:sz w:val="18"/>
          <w:szCs w:val="18"/>
          <w:b w:val="1"/>
          <w:bCs w:val="1"/>
          <w:color w:val="auto"/>
          <w:highlight w:val="white"/>
        </w:rPr>
        <w:t>NOL</w:t>
      </w:r>
      <w:r>
        <w:rPr>
          <w:sz w:val="1"/>
          <w:szCs w:val="1"/>
          <w:color w:val="auto"/>
        </w:rPr>
        <w:drawing>
          <wp:inline distT="0" distB="0" distL="0" distR="0">
            <wp:extent cx="57150" cy="1428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0" cy="142875"/>
                    </a:xfrm>
                    <a:prstGeom prst="rect">
                      <a:avLst/>
                    </a:prstGeom>
                    <a:noFill/>
                    <a:ln>
                      <a:noFill/>
                    </a:ln>
                  </pic:spPr>
                </pic:pic>
              </a:graphicData>
            </a:graphic>
          </wp:inline>
        </w:drawing>
      </w:r>
      <w:r>
        <w:rPr>
          <w:rFonts w:ascii="Arial" w:cs="Arial" w:eastAsia="Arial" w:hAnsi="Arial"/>
          <w:sz w:val="18"/>
          <w:szCs w:val="18"/>
          <w:b w:val="1"/>
          <w:bCs w:val="1"/>
          <w:color w:val="auto"/>
          <w:highlight w:val="white"/>
        </w:rPr>
        <w:t>carryforwards and credits may be subject to an annual limitation due to the ownership change limitations provided by Section 382, which provides for limitations on NOL carryforwards and certain built-in losses following ownership changes, and Section 383, which provides for special limitations on</w:t>
      </w:r>
      <w:r>
        <w:rPr>
          <w:sz w:val="1"/>
          <w:szCs w:val="1"/>
          <w:color w:val="auto"/>
        </w:rPr>
        <w:drawing>
          <wp:inline distT="0" distB="0" distL="0" distR="0">
            <wp:extent cx="59055" cy="1428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055" cy="142875"/>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 certain excess credits, etc., of the Code, and similar state provisions. Accordingly, the Company’s ability to utilize NOL carryforwards may be limited as the result of such an “ownership change.” The carryforwards could be subject to an annual limitation, resulting in a reduction in the gross deferred tax assets before considering the valuation allowance. Further, a portion of</w:t>
      </w:r>
      <w:r>
        <w:rPr>
          <w:sz w:val="1"/>
          <w:szCs w:val="1"/>
          <w:color w:val="auto"/>
        </w:rPr>
        <w:drawing>
          <wp:inline distT="0" distB="0" distL="0" distR="0">
            <wp:extent cx="57150" cy="14287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0" cy="142875"/>
                    </a:xfrm>
                    <a:prstGeom prst="rect">
                      <a:avLst/>
                    </a:prstGeom>
                    <a:noFill/>
                    <a:ln>
                      <a:noFill/>
                    </a:ln>
                  </pic:spPr>
                </pic:pic>
              </a:graphicData>
            </a:graphic>
          </wp:inline>
        </w:drawing>
      </w:r>
      <w:r>
        <w:rPr>
          <w:rFonts w:ascii="Arial" w:cs="Arial" w:eastAsia="Arial" w:hAnsi="Arial"/>
          <w:sz w:val="18"/>
          <w:szCs w:val="18"/>
          <w:b w:val="1"/>
          <w:bCs w:val="1"/>
          <w:color w:val="auto"/>
        </w:rPr>
        <w:t>the carryforwards may expire before being applied to reduce future earnings. The Company is</w:t>
      </w:r>
      <w:r>
        <w:rPr>
          <w:sz w:val="1"/>
          <w:szCs w:val="1"/>
          <w:color w:val="auto"/>
        </w:rPr>
        <w:drawing>
          <wp:inline distT="0" distB="0" distL="0" distR="0">
            <wp:extent cx="57150" cy="1428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 cy="142875"/>
                    </a:xfrm>
                    <a:prstGeom prst="rect">
                      <a:avLst/>
                    </a:prstGeom>
                    <a:noFill/>
                    <a:ln>
                      <a:noFill/>
                    </a:ln>
                  </pic:spPr>
                </pic:pic>
              </a:graphicData>
            </a:graphic>
          </wp:inline>
        </w:drawing>
      </w:r>
      <w:r>
        <w:rPr>
          <w:rFonts w:ascii="Arial" w:cs="Arial" w:eastAsia="Arial" w:hAnsi="Arial"/>
          <w:sz w:val="18"/>
          <w:szCs w:val="18"/>
          <w:b w:val="1"/>
          <w:bCs w:val="1"/>
          <w:color w:val="auto"/>
          <w:highlight w:val="white"/>
        </w:rPr>
        <w:t>not aware of any changes in ownership that would result in material limitations under Section 382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-448945</wp:posOffset>
            </wp:positionV>
            <wp:extent cx="5830570" cy="319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0570" cy="319405"/>
                    </a:xfrm>
                    <a:prstGeom prst="rect">
                      <a:avLst/>
                    </a:prstGeom>
                    <a:noFill/>
                  </pic:spPr>
                </pic:pic>
              </a:graphicData>
            </a:graphic>
          </wp:anchor>
        </w:drawing>
      </w:r>
    </w:p>
    <w:p>
      <w:pPr>
        <w:sectPr>
          <w:pgSz w:w="12240" w:h="15840" w:orient="portrait"/>
          <w:cols w:equalWidth="0" w:num="1">
            <w:col w:w="9920"/>
          </w:cols>
          <w:pgMar w:left="1440" w:top="1440"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123</w:t>
      </w:r>
    </w:p>
    <w:p>
      <w:pPr>
        <w:sectPr>
          <w:pgSz w:w="12240" w:h="15840" w:orient="portrait"/>
          <w:cols w:equalWidth="0" w:num="1">
            <w:col w:w="9920"/>
          </w:cols>
          <w:pgMar w:left="1440" w:top="1440" w:right="880" w:bottom="181" w:gutter="0" w:footer="0" w:header="0"/>
          <w:type w:val="continuous"/>
        </w:sectPr>
      </w:pPr>
    </w:p>
    <w:bookmarkStart w:id="125" w:name="page126"/>
    <w:bookmarkEnd w:id="125"/>
    <w:p>
      <w:pPr>
        <w:ind w:left="480"/>
        <w:spacing w:after="0"/>
        <w:rPr>
          <w:sz w:val="20"/>
          <w:szCs w:val="20"/>
          <w:color w:val="auto"/>
        </w:rPr>
      </w:pPr>
      <w:r>
        <w:rPr>
          <w:rFonts w:ascii="Arial" w:cs="Arial" w:eastAsia="Arial" w:hAnsi="Arial"/>
          <w:sz w:val="17"/>
          <w:szCs w:val="17"/>
          <w:b w:val="1"/>
          <w:bCs w:val="1"/>
          <w:color w:val="auto"/>
        </w:rPr>
        <w:t>The following table summarizes the activity related to the Company’s unrecognized tax benefits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1905</wp:posOffset>
            </wp:positionV>
            <wp:extent cx="5985510" cy="2033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85510" cy="2033905"/>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December 31, 2025 and 2024 (in thousands):</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20"/>
                <w:szCs w:val="20"/>
                <w:b w:val="1"/>
                <w:bCs w:val="1"/>
                <w:color w:val="auto"/>
              </w:rPr>
              <w:t>Balance as of December 31, 2023</w:t>
            </w:r>
          </w:p>
        </w:tc>
        <w:tc>
          <w:tcPr>
            <w:tcW w:w="2280" w:type="dxa"/>
            <w:vAlign w:val="bottom"/>
          </w:tcPr>
          <w:p>
            <w:pPr>
              <w:jc w:val="right"/>
              <w:ind w:right="62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20,204</w:t>
            </w:r>
          </w:p>
        </w:tc>
      </w:tr>
      <w:tr>
        <w:trPr>
          <w:trHeight w:val="245"/>
        </w:trPr>
        <w:tc>
          <w:tcPr>
            <w:tcW w:w="5620" w:type="dxa"/>
            <w:vAlign w:val="bottom"/>
          </w:tcPr>
          <w:p>
            <w:pPr>
              <w:ind w:left="200"/>
              <w:spacing w:after="0"/>
              <w:rPr>
                <w:sz w:val="20"/>
                <w:szCs w:val="20"/>
                <w:color w:val="auto"/>
              </w:rPr>
            </w:pPr>
            <w:r>
              <w:rPr>
                <w:rFonts w:ascii="Arial" w:cs="Arial" w:eastAsia="Arial" w:hAnsi="Arial"/>
                <w:sz w:val="20"/>
                <w:szCs w:val="20"/>
                <w:b w:val="1"/>
                <w:bCs w:val="1"/>
                <w:color w:val="auto"/>
              </w:rPr>
              <w:t>Increase related to tax positions taken during the</w:t>
            </w:r>
          </w:p>
        </w:tc>
        <w:tc>
          <w:tcPr>
            <w:tcW w:w="2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20"/>
                <w:szCs w:val="20"/>
                <w:b w:val="1"/>
                <w:bCs w:val="1"/>
                <w:color w:val="auto"/>
              </w:rPr>
              <w:t>prior year</w:t>
            </w:r>
          </w:p>
        </w:tc>
        <w:tc>
          <w:tcPr>
            <w:tcW w:w="2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11</w:t>
            </w:r>
          </w:p>
        </w:tc>
      </w:tr>
      <w:tr>
        <w:trPr>
          <w:trHeight w:val="242"/>
        </w:trPr>
        <w:tc>
          <w:tcPr>
            <w:tcW w:w="5620" w:type="dxa"/>
            <w:vAlign w:val="bottom"/>
          </w:tcPr>
          <w:p>
            <w:pPr>
              <w:ind w:left="200"/>
              <w:spacing w:after="0"/>
              <w:rPr>
                <w:sz w:val="20"/>
                <w:szCs w:val="20"/>
                <w:color w:val="auto"/>
              </w:rPr>
            </w:pPr>
            <w:r>
              <w:rPr>
                <w:rFonts w:ascii="Arial" w:cs="Arial" w:eastAsia="Arial" w:hAnsi="Arial"/>
                <w:sz w:val="20"/>
                <w:szCs w:val="20"/>
                <w:b w:val="1"/>
                <w:bCs w:val="1"/>
                <w:color w:val="auto"/>
              </w:rPr>
              <w:t>Increases related to tax positions taken during the</w:t>
            </w:r>
          </w:p>
        </w:tc>
        <w:tc>
          <w:tcPr>
            <w:tcW w:w="2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20"/>
                <w:szCs w:val="20"/>
                <w:b w:val="1"/>
                <w:bCs w:val="1"/>
                <w:color w:val="auto"/>
              </w:rPr>
              <w:t>current year</w:t>
            </w:r>
          </w:p>
        </w:tc>
        <w:tc>
          <w:tcPr>
            <w:tcW w:w="2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2,710</w:t>
            </w:r>
          </w:p>
        </w:tc>
      </w:tr>
      <w:tr>
        <w:trPr>
          <w:trHeight w:val="259"/>
        </w:trPr>
        <w:tc>
          <w:tcPr>
            <w:tcW w:w="5620" w:type="dxa"/>
            <w:vAlign w:val="bottom"/>
          </w:tcPr>
          <w:p>
            <w:pPr>
              <w:spacing w:after="0"/>
              <w:rPr>
                <w:sz w:val="20"/>
                <w:szCs w:val="20"/>
                <w:color w:val="auto"/>
              </w:rPr>
            </w:pPr>
            <w:r>
              <w:rPr>
                <w:rFonts w:ascii="Arial" w:cs="Arial" w:eastAsia="Arial" w:hAnsi="Arial"/>
                <w:sz w:val="20"/>
                <w:szCs w:val="20"/>
                <w:b w:val="1"/>
                <w:bCs w:val="1"/>
                <w:color w:val="auto"/>
              </w:rPr>
              <w:t>Balance as of December 31, 2024</w:t>
            </w:r>
          </w:p>
        </w:tc>
        <w:tc>
          <w:tcPr>
            <w:tcW w:w="2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22,925</w:t>
            </w:r>
          </w:p>
        </w:tc>
      </w:tr>
      <w:tr>
        <w:trPr>
          <w:trHeight w:val="245"/>
        </w:trPr>
        <w:tc>
          <w:tcPr>
            <w:tcW w:w="5620" w:type="dxa"/>
            <w:vAlign w:val="bottom"/>
          </w:tcPr>
          <w:p>
            <w:pPr>
              <w:ind w:left="200"/>
              <w:spacing w:after="0"/>
              <w:rPr>
                <w:sz w:val="20"/>
                <w:szCs w:val="20"/>
                <w:color w:val="auto"/>
              </w:rPr>
            </w:pPr>
            <w:r>
              <w:rPr>
                <w:rFonts w:ascii="Arial" w:cs="Arial" w:eastAsia="Arial" w:hAnsi="Arial"/>
                <w:sz w:val="20"/>
                <w:szCs w:val="20"/>
                <w:b w:val="1"/>
                <w:bCs w:val="1"/>
                <w:color w:val="auto"/>
              </w:rPr>
              <w:t>Increases related to tax positions taken during the</w:t>
            </w:r>
          </w:p>
        </w:tc>
        <w:tc>
          <w:tcPr>
            <w:tcW w:w="2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20"/>
                <w:szCs w:val="20"/>
                <w:b w:val="1"/>
                <w:bCs w:val="1"/>
                <w:color w:val="auto"/>
              </w:rPr>
              <w:t>current year</w:t>
            </w:r>
          </w:p>
        </w:tc>
        <w:tc>
          <w:tcPr>
            <w:tcW w:w="2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1,839</w:t>
            </w:r>
          </w:p>
        </w:tc>
      </w:tr>
      <w:tr>
        <w:trPr>
          <w:trHeight w:val="257"/>
        </w:trPr>
        <w:tc>
          <w:tcPr>
            <w:tcW w:w="5620" w:type="dxa"/>
            <w:vAlign w:val="bottom"/>
          </w:tcPr>
          <w:p>
            <w:pPr>
              <w:spacing w:after="0"/>
              <w:rPr>
                <w:sz w:val="20"/>
                <w:szCs w:val="20"/>
                <w:color w:val="auto"/>
              </w:rPr>
            </w:pPr>
            <w:r>
              <w:rPr>
                <w:rFonts w:ascii="Arial" w:cs="Arial" w:eastAsia="Arial" w:hAnsi="Arial"/>
                <w:sz w:val="20"/>
                <w:szCs w:val="20"/>
                <w:b w:val="1"/>
                <w:bCs w:val="1"/>
                <w:color w:val="auto"/>
              </w:rPr>
              <w:t>Balance as of December 31, 2025</w:t>
            </w:r>
          </w:p>
        </w:tc>
        <w:tc>
          <w:tcPr>
            <w:tcW w:w="2280" w:type="dxa"/>
            <w:vAlign w:val="bottom"/>
          </w:tcPr>
          <w:p>
            <w:pPr>
              <w:jc w:val="right"/>
              <w:ind w:right="62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24,764</w:t>
            </w:r>
          </w:p>
        </w:tc>
      </w:tr>
    </w:tbl>
    <w:p>
      <w:pPr>
        <w:spacing w:after="0" w:line="147" w:lineRule="exact"/>
        <w:rPr>
          <w:sz w:val="20"/>
          <w:szCs w:val="20"/>
          <w:color w:val="auto"/>
        </w:rPr>
      </w:pPr>
    </w:p>
    <w:p>
      <w:pPr>
        <w:ind w:left="480" w:right="40"/>
        <w:spacing w:after="0"/>
        <w:rPr>
          <w:sz w:val="20"/>
          <w:szCs w:val="20"/>
          <w:color w:val="auto"/>
        </w:rPr>
      </w:pPr>
      <w:r>
        <w:rPr>
          <w:rFonts w:ascii="Arial" w:cs="Arial" w:eastAsia="Arial" w:hAnsi="Arial"/>
          <w:sz w:val="19"/>
          <w:szCs w:val="19"/>
          <w:b w:val="1"/>
          <w:bCs w:val="1"/>
          <w:color w:val="auto"/>
        </w:rPr>
        <w:t>If the unrecognized tax benefits for uncertain tax positions as of December 31, 2025, is recognized, there will be no</w:t>
      </w:r>
      <w:r>
        <w:rPr>
          <w:sz w:val="1"/>
          <w:szCs w:val="1"/>
          <w:color w:val="auto"/>
        </w:rPr>
        <w:drawing>
          <wp:inline distT="0" distB="0" distL="0" distR="0">
            <wp:extent cx="59055" cy="1428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055" cy="142875"/>
                    </a:xfrm>
                    <a:prstGeom prst="rect">
                      <a:avLst/>
                    </a:prstGeom>
                    <a:noFill/>
                    <a:ln>
                      <a:noFill/>
                    </a:ln>
                  </pic:spPr>
                </pic:pic>
              </a:graphicData>
            </a:graphic>
          </wp:inline>
        </w:drawing>
      </w:r>
      <w:r>
        <w:rPr>
          <w:rFonts w:ascii="Arial" w:cs="Arial" w:eastAsia="Arial" w:hAnsi="Arial"/>
          <w:sz w:val="19"/>
          <w:szCs w:val="19"/>
          <w:b w:val="1"/>
          <w:bCs w:val="1"/>
          <w:color w:val="auto"/>
          <w:highlight w:val="white"/>
        </w:rPr>
        <w:t xml:space="preserve"> impact to the effective tax rate as the tax benefit would increase the net deferred tax assets, which is currently offset with a full valuation allowance. The Company’s policy is to include interest and penalties related to unrecognized tax benefits, if any, within the provision for taxes in the consolidated statements of operations. The Company accrued interest and penalties of $0.2 million for the year ended December 31, 2025 and of $0.2 million for the year ended December 31, 2024.</w:t>
      </w:r>
      <w:r>
        <w:rPr>
          <w:sz w:val="1"/>
          <w:szCs w:val="1"/>
          <w:color w:val="auto"/>
        </w:rPr>
        <w:drawing>
          <wp:inline distT="0" distB="0" distL="0" distR="0">
            <wp:extent cx="59055" cy="1524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055" cy="152400"/>
                    </a:xfrm>
                    <a:prstGeom prst="rect">
                      <a:avLst/>
                    </a:prstGeom>
                    <a:noFill/>
                    <a:ln>
                      <a:noFill/>
                    </a:ln>
                  </pic:spPr>
                </pic:pic>
              </a:graphicData>
            </a:graphic>
          </wp:inline>
        </w:drawing>
      </w:r>
    </w:p>
    <w:p>
      <w:pPr>
        <w:spacing w:after="0" w:line="110" w:lineRule="exact"/>
        <w:rPr>
          <w:sz w:val="20"/>
          <w:szCs w:val="20"/>
          <w:color w:val="auto"/>
        </w:rPr>
      </w:pPr>
    </w:p>
    <w:p>
      <w:pPr>
        <w:ind w:left="480" w:right="20"/>
        <w:spacing w:after="0" w:line="286" w:lineRule="auto"/>
        <w:rPr>
          <w:sz w:val="20"/>
          <w:szCs w:val="20"/>
          <w:color w:val="auto"/>
        </w:rPr>
      </w:pPr>
      <w:r>
        <w:rPr>
          <w:rFonts w:ascii="Arial" w:cs="Arial" w:eastAsia="Arial" w:hAnsi="Arial"/>
          <w:sz w:val="17"/>
          <w:szCs w:val="17"/>
          <w:b w:val="1"/>
          <w:bCs w:val="1"/>
          <w:color w:val="auto"/>
        </w:rPr>
        <w:t>The Company recognizes the tax benefit of an uncertain tax position only if it is more likely than not that the position is sustainable upon examination by the taxing authority, based on the technical merits. During the years ended December 31, 2025 and 2024, the Company recorded an uncertain tax position of $1.8 million and $2.7 million, respectively. The income tax provision for the years ended December 31, 2025 included changes to reserves related to prior year uncertain tax provisions of an increase of zero and decrease of zero, respectively. The income tax provision for the years ended December 31, 2024 included changes to reserves related to prior year uncertain tax provisions of an increase of less than $0.1 million and decrease of zero. The Company’s income tax returns generally remain subject to examination by federal and most state tax authorities.</w:t>
      </w:r>
    </w:p>
    <w:p>
      <w:pPr>
        <w:spacing w:after="0" w:line="97" w:lineRule="exact"/>
        <w:rPr>
          <w:sz w:val="20"/>
          <w:szCs w:val="20"/>
          <w:color w:val="auto"/>
        </w:rPr>
      </w:pPr>
    </w:p>
    <w:p>
      <w:pPr>
        <w:ind w:left="480" w:right="60"/>
        <w:spacing w:after="0" w:line="281" w:lineRule="auto"/>
        <w:rPr>
          <w:sz w:val="20"/>
          <w:szCs w:val="20"/>
          <w:color w:val="auto"/>
        </w:rPr>
      </w:pPr>
      <w:r>
        <w:rPr>
          <w:rFonts w:ascii="Arial" w:cs="Arial" w:eastAsia="Arial" w:hAnsi="Arial"/>
          <w:sz w:val="18"/>
          <w:szCs w:val="18"/>
          <w:b w:val="1"/>
          <w:bCs w:val="1"/>
          <w:color w:val="auto"/>
        </w:rPr>
        <w:t>The Company is currently not subject to any federal income tax audits by the IRS but is subject to ongoing tax audits in various state jurisdictions. The statute of limitations for tax liabilities for all years remains open.</w:t>
      </w:r>
    </w:p>
    <w:p>
      <w:pPr>
        <w:spacing w:after="0" w:line="200" w:lineRule="exact"/>
        <w:rPr>
          <w:sz w:val="20"/>
          <w:szCs w:val="20"/>
          <w:color w:val="auto"/>
        </w:rPr>
      </w:pPr>
    </w:p>
    <w:p>
      <w:pPr>
        <w:spacing w:after="0" w:line="354" w:lineRule="exact"/>
        <w:rPr>
          <w:sz w:val="20"/>
          <w:szCs w:val="20"/>
          <w:color w:val="auto"/>
        </w:rPr>
      </w:pPr>
    </w:p>
    <w:p>
      <w:pPr>
        <w:ind w:left="500" w:hanging="500"/>
        <w:spacing w:after="0"/>
        <w:tabs>
          <w:tab w:leader="none" w:pos="5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130" w:lineRule="exact"/>
        <w:rPr>
          <w:rFonts w:ascii="Arial" w:cs="Arial" w:eastAsia="Arial" w:hAnsi="Arial"/>
          <w:sz w:val="20"/>
          <w:szCs w:val="20"/>
          <w:b w:val="1"/>
          <w:bCs w:val="1"/>
          <w:color w:val="auto"/>
        </w:rPr>
      </w:pPr>
    </w:p>
    <w:p>
      <w:pPr>
        <w:ind w:left="480" w:right="40"/>
        <w:spacing w:after="0" w:line="286" w:lineRule="auto"/>
        <w:rPr>
          <w:rFonts w:ascii="Arial" w:cs="Arial" w:eastAsia="Arial" w:hAnsi="Arial"/>
          <w:sz w:val="20"/>
          <w:szCs w:val="20"/>
          <w:b w:val="1"/>
          <w:bCs w:val="1"/>
          <w:color w:val="auto"/>
        </w:rPr>
      </w:pPr>
      <w:r>
        <w:rPr>
          <w:rFonts w:ascii="Arial" w:cs="Arial" w:eastAsia="Arial" w:hAnsi="Arial"/>
          <w:sz w:val="17"/>
          <w:szCs w:val="17"/>
          <w:b w:val="1"/>
          <w:bCs w:val="1"/>
          <w:color w:val="auto"/>
        </w:rPr>
        <w:t>On November 14, 2024 (the Closing Date), the Company entered into a loan and security agreement (the Loan Agreement) with its subsidiary Alector LLC as a co-borrower, several banks and other financial institutions from time to time party thereto (collectively, the Lenders) and Hercules Capital, Inc., as administrative agent and collateral agent. The Loan Agreement provides for a senior secured term loan facility in an aggregate principal amount of up to $50.0 million, available in up to two tranches (the Term Loans). The initial tranche of Term Loans in an aggregate principal amount of up to $25.0 million is available through June 30, 2026, subject to the satisfaction of applicable conditions set forth in the Loan Agreement. The second tranche of Term Loans in an aggregate principal amount of up to $25.0 million is available at the sole discretion of the Lenders.</w:t>
      </w:r>
    </w:p>
    <w:p>
      <w:pPr>
        <w:spacing w:after="0" w:line="97" w:lineRule="exact"/>
        <w:rPr>
          <w:rFonts w:ascii="Arial" w:cs="Arial" w:eastAsia="Arial" w:hAnsi="Arial"/>
          <w:sz w:val="20"/>
          <w:szCs w:val="20"/>
          <w:b w:val="1"/>
          <w:bCs w:val="1"/>
          <w:color w:val="auto"/>
        </w:rPr>
      </w:pPr>
    </w:p>
    <w:p>
      <w:pPr>
        <w:ind w:left="480"/>
        <w:spacing w:after="0" w:line="284" w:lineRule="auto"/>
        <w:rPr>
          <w:rFonts w:ascii="Arial" w:cs="Arial" w:eastAsia="Arial" w:hAnsi="Arial"/>
          <w:sz w:val="20"/>
          <w:szCs w:val="20"/>
          <w:b w:val="1"/>
          <w:bCs w:val="1"/>
          <w:color w:val="auto"/>
        </w:rPr>
      </w:pPr>
      <w:r>
        <w:rPr>
          <w:rFonts w:ascii="Arial" w:cs="Arial" w:eastAsia="Arial" w:hAnsi="Arial"/>
          <w:sz w:val="17"/>
          <w:szCs w:val="17"/>
          <w:b w:val="1"/>
          <w:bCs w:val="1"/>
          <w:color w:val="auto"/>
        </w:rPr>
        <w:t>Borrowings under the Loan Agreement accrue interest at a rate equal to the greater of (A) the prime rate plus 1.05% and (B) 8.05%. The Term Loans are repayable in monthly interest-only payments until December 1, 2026 (the Interest-Only Payment Period). The Interest-Only Payment Period may be extended by up to twenty-four (24) months, subject to the achievement by the Company of certain milestones as set forth in the Loan Agreement. After the expiration of the Interest-Only Payment Period, the Term Loans are repayable in equal monthly payments of principal and accrued interest until maturity. The Term Loans will mature on December 1, 2028 (the Maturity Date). At the Company’s option, the Company may prepay all or a portion of the outstanding Term Loans, subject to a prepayment premium equal to (a) 1.5% of the Term Loans being prepaid if the prepayment occurs after the 12 month anniversary of the Closing Date but on or prior to the 24 month anniversary of the Closing Date; and (b) 0.5% of the Term Loans being prepaid if the prepayment occurs after 24 months following the Closing Date and prior to the Maturity Date. In addition, the Company will pay an end of term charge of (i) 2.45% if the Term Loans are prepaid or repaid within the first 24 months of the Closing Date; or (ii) 4.75% if the Term Loans are prepaid or repaid after 24 months from the Closing Date (including on the Maturity Date). The Company paid an initial facility charge of $250,000 on the Closing Date, and thereafter, the Company will pay a facility charge of 1.00% upon any draw of the Term Loans under the second tranche. The Company’s obligations under the Loan Agreement are secured by substantially all of the Company’s assets, including intellectual property, subject to certain exceptions, including</w:t>
      </w:r>
    </w:p>
    <w:p>
      <w:pPr>
        <w:sectPr>
          <w:pgSz w:w="12240" w:h="15840" w:orient="portrait"/>
          <w:cols w:equalWidth="0" w:num="1">
            <w:col w:w="9920"/>
          </w:cols>
          <w:pgMar w:left="1440" w:top="1161" w:right="880" w:bottom="181" w:gutter="0" w:footer="0" w:header="0"/>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124</w:t>
      </w:r>
    </w:p>
    <w:p>
      <w:pPr>
        <w:sectPr>
          <w:pgSz w:w="12240" w:h="15840" w:orient="portrait"/>
          <w:cols w:equalWidth="0" w:num="1">
            <w:col w:w="9920"/>
          </w:cols>
          <w:pgMar w:left="1440" w:top="1161" w:right="880" w:bottom="181" w:gutter="0" w:footer="0" w:header="0"/>
          <w:type w:val="continuous"/>
        </w:sectPr>
      </w:pPr>
    </w:p>
    <w:bookmarkStart w:id="126" w:name="page127"/>
    <w:bookmarkEnd w:id="126"/>
    <w:p>
      <w:pPr>
        <w:ind w:left="480" w:right="60"/>
        <w:spacing w:after="0" w:line="235" w:lineRule="auto"/>
        <w:rPr>
          <w:sz w:val="20"/>
          <w:szCs w:val="20"/>
          <w:color w:val="auto"/>
        </w:rPr>
      </w:pPr>
      <w:r>
        <w:rPr>
          <w:rFonts w:ascii="Arial" w:cs="Arial" w:eastAsia="Arial" w:hAnsi="Arial"/>
          <w:sz w:val="20"/>
          <w:szCs w:val="20"/>
          <w:b w:val="1"/>
          <w:bCs w:val="1"/>
          <w:color w:val="auto"/>
        </w:rPr>
        <w:t>exceptions with respect to assets and intellectual property subject to the Company’s existing agreements with each of Adimab LLC and Glaxo Wellcome UK Limited, and previously subject to the agreement with AbbVie Biotechnology, Ltd.</w:t>
      </w:r>
    </w:p>
    <w:p>
      <w:pPr>
        <w:spacing w:after="0" w:line="133" w:lineRule="exact"/>
        <w:rPr>
          <w:sz w:val="20"/>
          <w:szCs w:val="20"/>
          <w:color w:val="auto"/>
        </w:rPr>
      </w:pPr>
    </w:p>
    <w:p>
      <w:pPr>
        <w:ind w:left="480"/>
        <w:spacing w:after="0" w:line="327" w:lineRule="auto"/>
        <w:rPr>
          <w:sz w:val="20"/>
          <w:szCs w:val="20"/>
          <w:color w:val="auto"/>
        </w:rPr>
      </w:pPr>
      <w:r>
        <w:rPr>
          <w:rFonts w:ascii="Arial" w:cs="Arial" w:eastAsia="Arial" w:hAnsi="Arial"/>
          <w:sz w:val="15"/>
          <w:szCs w:val="15"/>
          <w:b w:val="1"/>
          <w:bCs w:val="1"/>
          <w:color w:val="auto"/>
        </w:rPr>
        <w:t>The Loan Agreement contains customary affirmative and negative covenants, including covenants limiting the ability of the Company and their subsidiaries to, among other things, dispose of assets, enter into certain licensing arrangements, effect certain mergers, incur debt, grant liens, pay dividends and distributions on their capital stock, make investments and acquisitions, and enter into transactions with affiliates, in each case subject to customary exceptions for a loan facility of this size and type. The Loan Agreement also includes customary events of default, including, among others, payment defaults, material misrepresentations, breaches of covenants following any applicable cure period, cross defaults with certain other indebtedness or material agreements, bankruptcy and insolvency events, judgment defaults and the occurrence of certain events that could reasonably be expected to have a “material adverse effect.” The occurrence of an event of default could result in the acceleration of the Company’s obligations under the Loan Agreement, the termination of the Lenders’ commitments, a 5% increase in the applicable rate of interest and the exercise by Agent of other rights and remedies provided for under the Loan Agreement.</w:t>
      </w:r>
    </w:p>
    <w:p>
      <w:pPr>
        <w:spacing w:after="0" w:line="300" w:lineRule="exact"/>
        <w:rPr>
          <w:sz w:val="20"/>
          <w:szCs w:val="20"/>
          <w:color w:val="auto"/>
        </w:rPr>
      </w:pPr>
    </w:p>
    <w:p>
      <w:pPr>
        <w:ind w:left="480" w:right="40"/>
        <w:spacing w:after="0" w:line="285" w:lineRule="auto"/>
        <w:rPr>
          <w:sz w:val="20"/>
          <w:szCs w:val="20"/>
          <w:color w:val="auto"/>
        </w:rPr>
      </w:pPr>
      <w:r>
        <w:rPr>
          <w:rFonts w:ascii="Arial" w:cs="Arial" w:eastAsia="Arial" w:hAnsi="Arial"/>
          <w:sz w:val="17"/>
          <w:szCs w:val="17"/>
          <w:b w:val="1"/>
          <w:bCs w:val="1"/>
          <w:color w:val="auto"/>
        </w:rPr>
        <w:t>On November 14, 2024, the Company drew down $10 million from the initial tranche and received proceeds of approximately $9.6 million after charges payable to Hercules Capital. The Company incurred $0.4 million in debt issuance costs in relation to the initial draw. As of December 31, 2025, the face value of the outstanding balance of the Term Loan was $10 million, less unamortized discount and unaccreted value of the End of Term Charge of $0.3 million based on the imputed interest rate of 11.5%. The fair value of the Term Loan as of December 31, 2025 is a Level 3 measurement considered to approximate its carrying value of $9.7 million. In 2025, the applicable interest rate averaged approximately 8.4%. The Term Loan bears interest at a variable rate based on the Prime Rate, subject to an interest rate floor, which limited the impact of changes in benchmark interest rates on the fair value of the Term Loan. In addition, the Term Loan has a remaining maturity of approximately three years, and there have been no significant changes in the Company’s credit risk since inception.</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The aggregate maturity of the term loan for the next four years from December 31, 2025 is as follows:</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340" w:type="dxa"/>
            <w:vAlign w:val="bottom"/>
          </w:tcPr>
          <w:p>
            <w:pPr>
              <w:jc w:val="right"/>
              <w:ind w:right="424"/>
              <w:spacing w:after="0"/>
              <w:rPr>
                <w:sz w:val="20"/>
                <w:szCs w:val="20"/>
                <w:color w:val="auto"/>
              </w:rPr>
            </w:pPr>
            <w:r>
              <w:rPr>
                <w:rFonts w:ascii="Arial" w:cs="Arial" w:eastAsia="Arial" w:hAnsi="Arial"/>
                <w:sz w:val="16"/>
                <w:szCs w:val="16"/>
                <w:b w:val="1"/>
                <w:bCs w:val="1"/>
                <w:color w:val="auto"/>
              </w:rPr>
              <w:t>Maturity</w:t>
            </w:r>
          </w:p>
        </w:tc>
      </w:tr>
      <w:tr>
        <w:trPr>
          <w:trHeight w:val="257"/>
        </w:trPr>
        <w:tc>
          <w:tcPr>
            <w:tcW w:w="508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304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365,914</w:t>
            </w:r>
          </w:p>
        </w:tc>
      </w:tr>
      <w:tr>
        <w:trPr>
          <w:trHeight w:val="245"/>
        </w:trPr>
        <w:tc>
          <w:tcPr>
            <w:tcW w:w="508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30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4,596,616</w:t>
            </w:r>
          </w:p>
        </w:tc>
      </w:tr>
      <w:tr>
        <w:trPr>
          <w:trHeight w:val="242"/>
        </w:trPr>
        <w:tc>
          <w:tcPr>
            <w:tcW w:w="508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30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5,037,470</w:t>
            </w:r>
          </w:p>
        </w:tc>
      </w:tr>
      <w:tr>
        <w:trPr>
          <w:trHeight w:val="259"/>
        </w:trPr>
        <w:tc>
          <w:tcPr>
            <w:tcW w:w="5080" w:type="dxa"/>
            <w:vAlign w:val="bottom"/>
          </w:tcPr>
          <w:p>
            <w:pPr>
              <w:spacing w:after="0"/>
              <w:rPr>
                <w:sz w:val="20"/>
                <w:szCs w:val="20"/>
                <w:color w:val="auto"/>
              </w:rPr>
            </w:pPr>
            <w:r>
              <w:rPr>
                <w:rFonts w:ascii="Arial" w:cs="Arial" w:eastAsia="Arial" w:hAnsi="Arial"/>
                <w:sz w:val="20"/>
                <w:szCs w:val="20"/>
                <w:b w:val="1"/>
                <w:bCs w:val="1"/>
                <w:color w:val="auto"/>
              </w:rPr>
              <w:t>Total Principal repayments</w:t>
            </w:r>
          </w:p>
        </w:tc>
        <w:tc>
          <w:tcPr>
            <w:tcW w:w="304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10,000,000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-649605</wp:posOffset>
            </wp:positionV>
            <wp:extent cx="6211570" cy="3323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11570" cy="33235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00" w:hanging="500"/>
        <w:spacing w:after="0"/>
        <w:tabs>
          <w:tab w:leader="none" w:pos="5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Net Loss Per Share</w:t>
      </w:r>
    </w:p>
    <w:p>
      <w:pPr>
        <w:spacing w:after="0" w:line="130" w:lineRule="exact"/>
        <w:rPr>
          <w:rFonts w:ascii="Arial" w:cs="Arial" w:eastAsia="Arial" w:hAnsi="Arial"/>
          <w:sz w:val="20"/>
          <w:szCs w:val="20"/>
          <w:b w:val="1"/>
          <w:bCs w:val="1"/>
          <w:color w:val="auto"/>
        </w:rPr>
      </w:pPr>
    </w:p>
    <w:p>
      <w:pPr>
        <w:ind w:left="480" w:right="120"/>
        <w:spacing w:after="0" w:line="233" w:lineRule="auto"/>
        <w:rPr>
          <w:rFonts w:ascii="Arial" w:cs="Arial" w:eastAsia="Arial" w:hAnsi="Arial"/>
          <w:sz w:val="20"/>
          <w:szCs w:val="20"/>
          <w:b w:val="1"/>
          <w:bCs w:val="1"/>
          <w:color w:val="auto"/>
        </w:rPr>
      </w:pPr>
      <w:r>
        <w:rPr>
          <w:rFonts w:ascii="Arial" w:cs="Arial" w:eastAsia="Arial" w:hAnsi="Arial"/>
          <w:sz w:val="20"/>
          <w:szCs w:val="20"/>
          <w:b w:val="1"/>
          <w:bCs w:val="1"/>
          <w:color w:val="auto"/>
          <w:highlight w:val="white"/>
        </w:rPr>
        <w:t xml:space="preserve">The following outstanding potentially dilutive shares have been excluded from the calculation of diluted net loss per </w:t>
      </w:r>
      <w:r>
        <w:rPr>
          <w:rFonts w:ascii="Arial" w:cs="Arial" w:eastAsia="Arial" w:hAnsi="Arial"/>
          <w:sz w:val="20"/>
          <w:szCs w:val="20"/>
          <w:b w:val="1"/>
          <w:bCs w:val="1"/>
          <w:color w:val="auto"/>
        </w:rPr>
        <w:t>share for the periods presented due to their anti-dilutive effect:</w:t>
      </w:r>
    </w:p>
    <w:p>
      <w:pPr>
        <w:spacing w:after="0" w:line="200" w:lineRule="exact"/>
        <w:rPr>
          <w:sz w:val="20"/>
          <w:szCs w:val="20"/>
          <w:color w:val="auto"/>
        </w:rPr>
      </w:pPr>
    </w:p>
    <w:p>
      <w:pPr>
        <w:spacing w:after="0" w:line="286"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December 31,</w:t>
      </w:r>
    </w:p>
    <w:p>
      <w:pPr>
        <w:spacing w:after="0" w:line="3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840" w:type="dxa"/>
            <w:vAlign w:val="bottom"/>
          </w:tcPr>
          <w:p>
            <w:pPr>
              <w:jc w:val="right"/>
              <w:ind w:right="1084"/>
              <w:spacing w:after="0"/>
              <w:rPr>
                <w:sz w:val="20"/>
                <w:szCs w:val="20"/>
                <w:color w:val="auto"/>
              </w:rPr>
            </w:pPr>
            <w:r>
              <w:rPr>
                <w:rFonts w:ascii="Arial" w:cs="Arial" w:eastAsia="Arial" w:hAnsi="Arial"/>
                <w:sz w:val="16"/>
                <w:szCs w:val="16"/>
                <w:b w:val="1"/>
                <w:bCs w:val="1"/>
                <w:color w:val="auto"/>
              </w:rPr>
              <w:t>2025</w:t>
            </w:r>
          </w:p>
        </w:tc>
        <w:tc>
          <w:tcPr>
            <w:tcW w:w="1480" w:type="dxa"/>
            <w:vAlign w:val="bottom"/>
          </w:tcPr>
          <w:p>
            <w:pPr>
              <w:jc w:val="right"/>
              <w:ind w:right="564"/>
              <w:spacing w:after="0"/>
              <w:rPr>
                <w:sz w:val="20"/>
                <w:szCs w:val="20"/>
                <w:color w:val="auto"/>
              </w:rPr>
            </w:pPr>
            <w:r>
              <w:rPr>
                <w:rFonts w:ascii="Arial" w:cs="Arial" w:eastAsia="Arial" w:hAnsi="Arial"/>
                <w:sz w:val="16"/>
                <w:szCs w:val="16"/>
                <w:b w:val="1"/>
                <w:bCs w:val="1"/>
                <w:color w:val="auto"/>
              </w:rPr>
              <w:t>2024</w:t>
            </w:r>
          </w:p>
        </w:tc>
      </w:tr>
      <w:tr>
        <w:trPr>
          <w:trHeight w:val="257"/>
        </w:trPr>
        <w:tc>
          <w:tcPr>
            <w:tcW w:w="5040" w:type="dxa"/>
            <w:vAlign w:val="bottom"/>
          </w:tcPr>
          <w:p>
            <w:pPr>
              <w:spacing w:after="0"/>
              <w:rPr>
                <w:sz w:val="20"/>
                <w:szCs w:val="20"/>
                <w:color w:val="auto"/>
              </w:rPr>
            </w:pPr>
            <w:r>
              <w:rPr>
                <w:rFonts w:ascii="Arial" w:cs="Arial" w:eastAsia="Arial" w:hAnsi="Arial"/>
                <w:sz w:val="20"/>
                <w:szCs w:val="20"/>
                <w:b w:val="1"/>
                <w:bCs w:val="1"/>
                <w:color w:val="auto"/>
              </w:rPr>
              <w:t>Restricted stock units subject to future vesting</w:t>
            </w:r>
          </w:p>
        </w:tc>
        <w:tc>
          <w:tcPr>
            <w:tcW w:w="2840" w:type="dxa"/>
            <w:vAlign w:val="bottom"/>
          </w:tcPr>
          <w:p>
            <w:pPr>
              <w:jc w:val="right"/>
              <w:ind w:right="404"/>
              <w:spacing w:after="0"/>
              <w:rPr>
                <w:sz w:val="20"/>
                <w:szCs w:val="20"/>
                <w:color w:val="auto"/>
              </w:rPr>
            </w:pPr>
            <w:r>
              <w:rPr>
                <w:rFonts w:ascii="Arial" w:cs="Arial" w:eastAsia="Arial" w:hAnsi="Arial"/>
                <w:sz w:val="20"/>
                <w:szCs w:val="20"/>
                <w:b w:val="1"/>
                <w:bCs w:val="1"/>
                <w:color w:val="auto"/>
              </w:rPr>
              <w:t>3,876,935</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8,365,063</w:t>
            </w:r>
          </w:p>
        </w:tc>
      </w:tr>
      <w:tr>
        <w:trPr>
          <w:trHeight w:val="245"/>
        </w:trPr>
        <w:tc>
          <w:tcPr>
            <w:tcW w:w="5040" w:type="dxa"/>
            <w:vAlign w:val="bottom"/>
          </w:tcPr>
          <w:p>
            <w:pPr>
              <w:spacing w:after="0"/>
              <w:rPr>
                <w:sz w:val="20"/>
                <w:szCs w:val="20"/>
                <w:color w:val="auto"/>
              </w:rPr>
            </w:pPr>
            <w:r>
              <w:rPr>
                <w:rFonts w:ascii="Arial" w:cs="Arial" w:eastAsia="Arial" w:hAnsi="Arial"/>
                <w:sz w:val="20"/>
                <w:szCs w:val="20"/>
                <w:b w:val="1"/>
                <w:bCs w:val="1"/>
                <w:color w:val="auto"/>
              </w:rPr>
              <w:t>Options to purchase common stock</w:t>
            </w:r>
          </w:p>
        </w:tc>
        <w:tc>
          <w:tcPr>
            <w:tcW w:w="2840" w:type="dxa"/>
            <w:vAlign w:val="bottom"/>
          </w:tcPr>
          <w:p>
            <w:pPr>
              <w:jc w:val="right"/>
              <w:ind w:right="404"/>
              <w:spacing w:after="0"/>
              <w:rPr>
                <w:sz w:val="20"/>
                <w:szCs w:val="20"/>
                <w:color w:val="auto"/>
              </w:rPr>
            </w:pPr>
            <w:r>
              <w:rPr>
                <w:rFonts w:ascii="Arial" w:cs="Arial" w:eastAsia="Arial" w:hAnsi="Arial"/>
                <w:sz w:val="20"/>
                <w:szCs w:val="20"/>
                <w:b w:val="1"/>
                <w:bCs w:val="1"/>
                <w:color w:val="auto"/>
              </w:rPr>
              <w:t>11,462,710</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10,723,681</w:t>
            </w:r>
          </w:p>
        </w:tc>
      </w:tr>
      <w:tr>
        <w:trPr>
          <w:trHeight w:val="242"/>
        </w:trPr>
        <w:tc>
          <w:tcPr>
            <w:tcW w:w="5040" w:type="dxa"/>
            <w:vAlign w:val="bottom"/>
          </w:tcPr>
          <w:p>
            <w:pPr>
              <w:spacing w:after="0"/>
              <w:rPr>
                <w:sz w:val="20"/>
                <w:szCs w:val="20"/>
                <w:color w:val="auto"/>
              </w:rPr>
            </w:pPr>
            <w:r>
              <w:rPr>
                <w:rFonts w:ascii="Arial" w:cs="Arial" w:eastAsia="Arial" w:hAnsi="Arial"/>
                <w:sz w:val="20"/>
                <w:szCs w:val="20"/>
                <w:b w:val="1"/>
                <w:bCs w:val="1"/>
                <w:color w:val="auto"/>
              </w:rPr>
              <w:t>Shares committed under 2019 ESPP</w:t>
            </w:r>
          </w:p>
        </w:tc>
        <w:tc>
          <w:tcPr>
            <w:tcW w:w="2840" w:type="dxa"/>
            <w:vAlign w:val="bottom"/>
          </w:tcPr>
          <w:p>
            <w:pPr>
              <w:jc w:val="right"/>
              <w:ind w:right="404"/>
              <w:spacing w:after="0"/>
              <w:rPr>
                <w:sz w:val="20"/>
                <w:szCs w:val="20"/>
                <w:color w:val="auto"/>
              </w:rPr>
            </w:pPr>
            <w:r>
              <w:rPr>
                <w:rFonts w:ascii="Arial" w:cs="Arial" w:eastAsia="Arial" w:hAnsi="Arial"/>
                <w:sz w:val="20"/>
                <w:szCs w:val="20"/>
                <w:b w:val="1"/>
                <w:bCs w:val="1"/>
                <w:color w:val="auto"/>
              </w:rPr>
              <w:t>52,103</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146,316</w:t>
            </w:r>
          </w:p>
        </w:tc>
      </w:tr>
      <w:tr>
        <w:trPr>
          <w:trHeight w:val="259"/>
        </w:trPr>
        <w:tc>
          <w:tcPr>
            <w:tcW w:w="504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2840" w:type="dxa"/>
            <w:vAlign w:val="bottom"/>
          </w:tcPr>
          <w:p>
            <w:pPr>
              <w:jc w:val="right"/>
              <w:ind w:right="404"/>
              <w:spacing w:after="0"/>
              <w:rPr>
                <w:sz w:val="20"/>
                <w:szCs w:val="20"/>
                <w:color w:val="auto"/>
              </w:rPr>
            </w:pPr>
            <w:r>
              <w:rPr>
                <w:rFonts w:ascii="Arial" w:cs="Arial" w:eastAsia="Arial" w:hAnsi="Arial"/>
                <w:sz w:val="20"/>
                <w:szCs w:val="20"/>
                <w:b w:val="1"/>
                <w:bCs w:val="1"/>
                <w:color w:val="auto"/>
              </w:rPr>
              <w:t>15,391,748</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19,235,060</w:t>
            </w:r>
          </w:p>
        </w:tc>
      </w:tr>
    </w:tbl>
    <w:p>
      <w:pPr>
        <w:spacing w:after="0" w:line="200" w:lineRule="exact"/>
        <w:rPr>
          <w:sz w:val="20"/>
          <w:szCs w:val="20"/>
          <w:color w:val="auto"/>
        </w:rPr>
      </w:pPr>
    </w:p>
    <w:p>
      <w:pPr>
        <w:spacing w:after="0" w:line="300" w:lineRule="exact"/>
        <w:rPr>
          <w:sz w:val="20"/>
          <w:szCs w:val="20"/>
          <w:color w:val="auto"/>
        </w:rPr>
      </w:pPr>
    </w:p>
    <w:p>
      <w:pPr>
        <w:ind w:left="460" w:hanging="460"/>
        <w:spacing w:after="0"/>
        <w:tabs>
          <w:tab w:leader="none" w:pos="4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Restructuring</w:t>
      </w:r>
      <w:r>
        <w:rPr>
          <w:rFonts w:ascii="Arial" w:cs="Arial" w:eastAsia="Arial" w:hAnsi="Arial"/>
          <w:sz w:val="1"/>
          <w:szCs w:val="1"/>
          <w:b w:val="1"/>
          <w:bCs w:val="1"/>
          <w:color w:val="auto"/>
        </w:rPr>
        <w:drawing>
          <wp:inline distT="0" distB="0" distL="0" distR="0">
            <wp:extent cx="59055" cy="1714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055" cy="171450"/>
                    </a:xfrm>
                    <a:prstGeom prst="rect">
                      <a:avLst/>
                    </a:prstGeom>
                    <a:noFill/>
                    <a:ln>
                      <a:noFill/>
                    </a:ln>
                  </pic:spPr>
                </pic:pic>
              </a:graphicData>
            </a:graphic>
          </wp:inline>
        </w:drawing>
      </w:r>
    </w:p>
    <w:p>
      <w:pPr>
        <w:spacing w:after="0" w:line="110" w:lineRule="exact"/>
        <w:rPr>
          <w:sz w:val="20"/>
          <w:szCs w:val="20"/>
          <w:color w:val="auto"/>
        </w:rPr>
      </w:pPr>
    </w:p>
    <w:p>
      <w:pPr>
        <w:ind w:left="480"/>
        <w:spacing w:after="0" w:line="332" w:lineRule="auto"/>
        <w:rPr>
          <w:sz w:val="20"/>
          <w:szCs w:val="20"/>
          <w:color w:val="auto"/>
        </w:rPr>
      </w:pPr>
      <w:r>
        <w:rPr>
          <w:rFonts w:ascii="Arial" w:cs="Arial" w:eastAsia="Arial" w:hAnsi="Arial"/>
          <w:sz w:val="15"/>
          <w:szCs w:val="15"/>
          <w:b w:val="1"/>
          <w:bCs w:val="1"/>
          <w:color w:val="auto"/>
        </w:rPr>
        <w:t>On November 25, 2024, the Company committed to a plan to reduce its workforce by approximately 17% in order to align resources with the Company's strategic priorities. Based upon the results of the Company's INVOKE-2 Phase 2 clinical trial evaluating the safety and efficacy of AL002 in early Alzheimer’s disease, the Company is stopping the long term extension of the INVOKE-2 study. The Company initiated a reduction in force impacting approximately 41 employees across the organization. For the year ended December 31, 2024, the Company incurred restructuring costs of approximately $3.9 million, primarily consisting of personnel expenses such as salaries, severance payments, and</w:t>
      </w:r>
    </w:p>
    <w:p>
      <w:pPr>
        <w:sectPr>
          <w:pgSz w:w="12240" w:h="15840" w:orient="portrait"/>
          <w:cols w:equalWidth="0" w:num="1">
            <w:col w:w="9920"/>
          </w:cols>
          <w:pgMar w:left="1440" w:top="1161" w:right="880" w:bottom="181"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125</w:t>
      </w:r>
    </w:p>
    <w:p>
      <w:pPr>
        <w:sectPr>
          <w:pgSz w:w="12240" w:h="15840" w:orient="portrait"/>
          <w:cols w:equalWidth="0" w:num="1">
            <w:col w:w="9920"/>
          </w:cols>
          <w:pgMar w:left="1440" w:top="1161" w:right="880" w:bottom="181" w:gutter="0" w:footer="0" w:header="0"/>
          <w:type w:val="continuous"/>
        </w:sectPr>
      </w:pPr>
    </w:p>
    <w:bookmarkStart w:id="127" w:name="page128"/>
    <w:bookmarkEnd w:id="127"/>
    <w:p>
      <w:pPr>
        <w:ind w:left="480" w:right="340"/>
        <w:spacing w:after="0" w:line="386" w:lineRule="auto"/>
        <w:rPr>
          <w:sz w:val="20"/>
          <w:szCs w:val="20"/>
          <w:color w:val="auto"/>
        </w:rPr>
      </w:pPr>
      <w:r>
        <w:rPr>
          <w:rFonts w:ascii="Arial" w:cs="Arial" w:eastAsia="Arial" w:hAnsi="Arial"/>
          <w:sz w:val="15"/>
          <w:szCs w:val="15"/>
          <w:b w:val="1"/>
          <w:bCs w:val="1"/>
          <w:color w:val="auto"/>
        </w:rPr>
        <w:t>other benefits, which were included in operating expenses. Accrued liabilities associated with restructuring costs were $3.9 million as of December 31, 2024. Cash payments related to these expenses were paid out in 2025.</w:t>
      </w:r>
    </w:p>
    <w:p>
      <w:pPr>
        <w:spacing w:after="0" w:line="24" w:lineRule="exact"/>
        <w:rPr>
          <w:sz w:val="20"/>
          <w:szCs w:val="20"/>
          <w:color w:val="auto"/>
        </w:rPr>
      </w:pPr>
    </w:p>
    <w:p>
      <w:pPr>
        <w:ind w:left="480"/>
        <w:spacing w:after="0" w:line="288" w:lineRule="auto"/>
        <w:rPr>
          <w:sz w:val="20"/>
          <w:szCs w:val="20"/>
          <w:color w:val="auto"/>
        </w:rPr>
      </w:pPr>
      <w:r>
        <w:rPr>
          <w:rFonts w:ascii="Arial" w:cs="Arial" w:eastAsia="Arial" w:hAnsi="Arial"/>
          <w:sz w:val="17"/>
          <w:szCs w:val="17"/>
          <w:b w:val="1"/>
          <w:bCs w:val="1"/>
          <w:color w:val="auto"/>
        </w:rPr>
        <w:t>On March 7, 2025, the Company committed to a plan to reduce its workforce by approximately 13% as part of its cost reduction initiatives in order to align resources with the Company’s strategic priorities, including advancing its preclinical and research pipeline. The Company initiated a reduction in force impacting approximately 25 employees across the organization. For the year ended December 31, 2025, the Company incurred restructuring costs of approximately $2.3 million, primarily consisting of personnel expenses such as salaries, severance payments, and other benefits. Cash payments related to these expenses were paid out in 2025.</w:t>
      </w:r>
    </w:p>
    <w:p>
      <w:pPr>
        <w:spacing w:after="0" w:line="93" w:lineRule="exact"/>
        <w:rPr>
          <w:sz w:val="20"/>
          <w:szCs w:val="20"/>
          <w:color w:val="auto"/>
        </w:rPr>
      </w:pPr>
    </w:p>
    <w:p>
      <w:pPr>
        <w:ind w:left="480" w:right="40"/>
        <w:spacing w:after="0" w:line="286" w:lineRule="auto"/>
        <w:rPr>
          <w:sz w:val="20"/>
          <w:szCs w:val="20"/>
          <w:color w:val="auto"/>
        </w:rPr>
      </w:pPr>
      <w:r>
        <w:rPr>
          <w:rFonts w:ascii="Arial" w:cs="Arial" w:eastAsia="Arial" w:hAnsi="Arial"/>
          <w:sz w:val="17"/>
          <w:szCs w:val="17"/>
          <w:b w:val="1"/>
          <w:bCs w:val="1"/>
          <w:color w:val="auto"/>
        </w:rPr>
        <w:t>On October 21, 2025, the Company committed to a plan to reduce its workforce, which impacted approximately 47% of its workforce, in order to align resources with the Company’s strategic priorities, following the results of the Phase 3 INFRONT-3 clinical trial evaluating the safety and efficacy of latozinemab in individuals with frontotemporal dementia due to a progranulin gene mutation (FTD-GRN). Total incremental restructuring charges associated with the reduction in force are approximately $7.3 million, consisting primarily of severance and related termination benefits. Cash payments related to these expenses will be paid out and the reduction in force is expected to be completed during the first half of 2026. For the year ended December 31, 2025, the Company incurred restructuring costs of $7.3 million that were included in operating expenses. Accrued liabilities associated with restructuring costs as of December 31, 2025 were $5.0 million.</w:t>
      </w:r>
    </w:p>
    <w:p>
      <w:pPr>
        <w:sectPr>
          <w:pgSz w:w="12240" w:h="15840" w:orient="portrait"/>
          <w:cols w:equalWidth="0" w:num="1">
            <w:col w:w="9840"/>
          </w:cols>
          <w:pgMar w:left="1440" w:top="1161" w:right="9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126</w:t>
      </w:r>
    </w:p>
    <w:p>
      <w:pPr>
        <w:sectPr>
          <w:pgSz w:w="12240" w:h="15840" w:orient="portrait"/>
          <w:cols w:equalWidth="0" w:num="1">
            <w:col w:w="9840"/>
          </w:cols>
          <w:pgMar w:left="1440" w:top="1161" w:right="960" w:bottom="181"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Conclusions Regarding the Effectiveness of Disclosure Controls and Procedures</w:t>
      </w:r>
    </w:p>
    <w:p>
      <w:pPr>
        <w:spacing w:after="0" w:line="131" w:lineRule="exact"/>
        <w:rPr>
          <w:sz w:val="20"/>
          <w:szCs w:val="20"/>
          <w:color w:val="auto"/>
        </w:rPr>
      </w:pPr>
    </w:p>
    <w:p>
      <w:pPr>
        <w:ind w:right="20" w:firstLine="490"/>
        <w:spacing w:after="0" w:line="285" w:lineRule="auto"/>
        <w:rPr>
          <w:sz w:val="20"/>
          <w:szCs w:val="20"/>
          <w:color w:val="auto"/>
        </w:rPr>
      </w:pPr>
      <w:r>
        <w:rPr>
          <w:rFonts w:ascii="Arial" w:cs="Arial" w:eastAsia="Arial" w:hAnsi="Arial"/>
          <w:sz w:val="17"/>
          <w:szCs w:val="17"/>
          <w:b w:val="1"/>
          <w:bCs w:val="1"/>
          <w:color w:val="auto"/>
        </w:rPr>
        <w:t>As of December 31, 2025, management, with the participation of our Principal Executive Officer, Principal Financial Officer, and Principal Accounting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Principal Financial Officer, and Principal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Principal Financial Officer, and Principal Accounting Officer concluded that, as of December 31, 2025, the design and operation of our disclosure controls and procedures were effective at a reasonable assurance level.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1" w:lineRule="exact"/>
        <w:rPr>
          <w:sz w:val="20"/>
          <w:szCs w:val="20"/>
          <w:color w:val="auto"/>
        </w:rPr>
      </w:pPr>
    </w:p>
    <w:p>
      <w:pPr>
        <w:ind w:right="140" w:firstLine="490"/>
        <w:spacing w:after="0" w:line="386" w:lineRule="auto"/>
        <w:rPr>
          <w:sz w:val="20"/>
          <w:szCs w:val="20"/>
          <w:color w:val="auto"/>
        </w:rPr>
      </w:pPr>
      <w:r>
        <w:rPr>
          <w:rFonts w:ascii="Arial" w:cs="Arial" w:eastAsia="Arial" w:hAnsi="Arial"/>
          <w:sz w:val="15"/>
          <w:szCs w:val="15"/>
          <w:b w:val="1"/>
          <w:bCs w:val="1"/>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29" w:lineRule="exact"/>
        <w:rPr>
          <w:sz w:val="20"/>
          <w:szCs w:val="20"/>
          <w:color w:val="auto"/>
        </w:rPr>
      </w:pPr>
    </w:p>
    <w:p>
      <w:pPr>
        <w:ind w:firstLine="490"/>
        <w:spacing w:after="0" w:line="286" w:lineRule="auto"/>
        <w:rPr>
          <w:sz w:val="20"/>
          <w:szCs w:val="20"/>
          <w:color w:val="auto"/>
        </w:rPr>
      </w:pPr>
      <w:r>
        <w:rPr>
          <w:rFonts w:ascii="Arial" w:cs="Arial" w:eastAsia="Arial" w:hAnsi="Arial"/>
          <w:sz w:val="17"/>
          <w:szCs w:val="17"/>
          <w:b w:val="1"/>
          <w:bCs w:val="1"/>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consolidated financial statements for external purposes in accordance with generally accepted accounting principles.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The effectiveness of our internal control over financial reporting as of December 31, 2025 has been audited by Ernst</w:t>
      </w:r>
    </w:p>
    <w:p>
      <w:pPr>
        <w:spacing w:after="0" w:line="35" w:lineRule="exact"/>
        <w:rPr>
          <w:sz w:val="20"/>
          <w:szCs w:val="20"/>
          <w:color w:val="auto"/>
        </w:rPr>
      </w:pPr>
    </w:p>
    <w:p>
      <w:pPr>
        <w:ind w:left="2460" w:right="720" w:hanging="2460"/>
        <w:spacing w:after="0" w:line="684" w:lineRule="auto"/>
        <w:tabs>
          <w:tab w:leader="none" w:pos="2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Young LLP, an independent registered public accounting firm, as stated in their report which is included herein. Report of Independent Registered Public Accounting Firm</w:t>
      </w:r>
    </w:p>
    <w:p>
      <w:pPr>
        <w:spacing w:after="0" w:line="230" w:lineRule="auto"/>
        <w:rPr>
          <w:sz w:val="20"/>
          <w:szCs w:val="20"/>
          <w:color w:val="auto"/>
        </w:rPr>
      </w:pPr>
      <w:r>
        <w:rPr>
          <w:rFonts w:ascii="Arial" w:cs="Arial" w:eastAsia="Arial" w:hAnsi="Arial"/>
          <w:sz w:val="20"/>
          <w:szCs w:val="20"/>
          <w:b w:val="1"/>
          <w:bCs w:val="1"/>
          <w:color w:val="auto"/>
        </w:rPr>
        <w:t>To the Stockholders and the Board of Directors of Alector, Inc.</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1" w:lineRule="exact"/>
        <w:rPr>
          <w:sz w:val="20"/>
          <w:szCs w:val="20"/>
          <w:color w:val="auto"/>
        </w:rPr>
      </w:pPr>
    </w:p>
    <w:p>
      <w:pPr>
        <w:ind w:right="100" w:firstLine="490"/>
        <w:spacing w:after="0" w:line="238" w:lineRule="auto"/>
        <w:rPr>
          <w:sz w:val="20"/>
          <w:szCs w:val="20"/>
          <w:color w:val="auto"/>
        </w:rPr>
      </w:pPr>
      <w:r>
        <w:rPr>
          <w:rFonts w:ascii="Arial" w:cs="Arial" w:eastAsia="Arial" w:hAnsi="Arial"/>
          <w:sz w:val="20"/>
          <w:szCs w:val="20"/>
          <w:b w:val="1"/>
          <w:bCs w:val="1"/>
          <w:color w:val="auto"/>
        </w:rPr>
        <w:t>We have audited Alector, Inc.’s internal control over financial reporting as of December 31, 2025, based on criteria established in Internal Control—Integrated Framework issued by the Committee of Sponsoring Organizations of the Treadway Commission (2013 framework) (the COSO criteria). In our opinion, Alector, Inc. (the Company) maintained, in all material respects, effective internal control over financial reporting as of December 31, 2025, based on the COSO criteria.</w:t>
      </w:r>
    </w:p>
    <w:p>
      <w:pPr>
        <w:spacing w:after="0" w:line="129" w:lineRule="exact"/>
        <w:rPr>
          <w:sz w:val="20"/>
          <w:szCs w:val="20"/>
          <w:color w:val="auto"/>
        </w:rPr>
      </w:pPr>
    </w:p>
    <w:p>
      <w:pPr>
        <w:ind w:right="60" w:firstLine="490"/>
        <w:spacing w:after="0" w:line="253" w:lineRule="auto"/>
        <w:rPr>
          <w:sz w:val="20"/>
          <w:szCs w:val="20"/>
          <w:color w:val="auto"/>
        </w:rPr>
      </w:pPr>
      <w:r>
        <w:rPr>
          <w:rFonts w:ascii="Arial" w:cs="Arial" w:eastAsia="Arial" w:hAnsi="Arial"/>
          <w:sz w:val="19"/>
          <w:szCs w:val="19"/>
          <w:b w:val="1"/>
          <w:bCs w:val="1"/>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two years in the period ended December 31, 2025, and the related notes and our report dated February 25, 2026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ectPr>
          <w:pgSz w:w="12240" w:h="15840" w:orient="portrait"/>
          <w:cols w:equalWidth="0" w:num="1">
            <w:col w:w="9900"/>
          </w:cols>
          <w:pgMar w:left="1440" w:top="1151" w:right="900" w:bottom="18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127</w:t>
      </w:r>
    </w:p>
    <w:p>
      <w:pPr>
        <w:sectPr>
          <w:pgSz w:w="12240" w:h="15840" w:orient="portrait"/>
          <w:cols w:equalWidth="0" w:num="1">
            <w:col w:w="9900"/>
          </w:cols>
          <w:pgMar w:left="1440" w:top="1151" w:right="900" w:bottom="181" w:gutter="0" w:footer="0" w:header="0"/>
          <w:type w:val="continuous"/>
        </w:sectPr>
      </w:pPr>
    </w:p>
    <w:bookmarkStart w:id="129" w:name="page130"/>
    <w:bookmarkEnd w:id="129"/>
    <w:p>
      <w:pPr>
        <w:ind w:right="60" w:firstLine="490"/>
        <w:spacing w:after="0" w:line="288" w:lineRule="auto"/>
        <w:rPr>
          <w:sz w:val="20"/>
          <w:szCs w:val="20"/>
          <w:color w:val="auto"/>
        </w:rPr>
      </w:pPr>
      <w:r>
        <w:rPr>
          <w:rFonts w:ascii="Arial" w:cs="Arial" w:eastAsia="Arial" w:hAnsi="Arial"/>
          <w:sz w:val="17"/>
          <w:szCs w:val="17"/>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240" w:firstLine="490"/>
        <w:spacing w:after="0" w:line="235" w:lineRule="auto"/>
        <w:rPr>
          <w:sz w:val="20"/>
          <w:szCs w:val="20"/>
          <w:color w:val="auto"/>
        </w:rPr>
      </w:pPr>
      <w:r>
        <w:rPr>
          <w:rFonts w:ascii="Arial" w:cs="Arial" w:eastAsia="Arial" w:hAnsi="Arial"/>
          <w:sz w:val="20"/>
          <w:szCs w:val="20"/>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3" w:lineRule="exact"/>
        <w:rPr>
          <w:sz w:val="20"/>
          <w:szCs w:val="20"/>
          <w:color w:val="auto"/>
        </w:rPr>
      </w:pPr>
    </w:p>
    <w:p>
      <w:pPr>
        <w:ind w:right="160" w:firstLine="490"/>
        <w:spacing w:after="0" w:line="253" w:lineRule="auto"/>
        <w:rPr>
          <w:sz w:val="20"/>
          <w:szCs w:val="20"/>
          <w:color w:val="auto"/>
        </w:rPr>
      </w:pPr>
      <w:r>
        <w:rPr>
          <w:rFonts w:ascii="Arial" w:cs="Arial" w:eastAsia="Arial" w:hAnsi="Arial"/>
          <w:sz w:val="19"/>
          <w:szCs w:val="19"/>
          <w:b w:val="1"/>
          <w:bCs w:val="1"/>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1" w:lineRule="exact"/>
        <w:rPr>
          <w:sz w:val="20"/>
          <w:szCs w:val="20"/>
          <w:color w:val="auto"/>
        </w:rPr>
      </w:pPr>
    </w:p>
    <w:p>
      <w:pPr>
        <w:ind w:firstLine="490"/>
        <w:spacing w:after="0" w:line="328" w:lineRule="auto"/>
        <w:rPr>
          <w:sz w:val="20"/>
          <w:szCs w:val="20"/>
          <w:color w:val="auto"/>
        </w:rPr>
      </w:pPr>
      <w:r>
        <w:rPr>
          <w:rFonts w:ascii="Arial" w:cs="Arial" w:eastAsia="Arial" w:hAnsi="Arial"/>
          <w:sz w:val="15"/>
          <w:szCs w:val="15"/>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100" w:firstLine="490"/>
        <w:spacing w:after="0" w:line="236"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Mateo, California</w:t>
      </w:r>
    </w:p>
    <w:p>
      <w:pPr>
        <w:spacing w:after="0"/>
        <w:rPr>
          <w:sz w:val="20"/>
          <w:szCs w:val="20"/>
          <w:color w:val="auto"/>
        </w:rPr>
      </w:pPr>
      <w:r>
        <w:rPr>
          <w:rFonts w:ascii="Arial" w:cs="Arial" w:eastAsia="Arial" w:hAnsi="Arial"/>
          <w:sz w:val="20"/>
          <w:szCs w:val="20"/>
          <w:b w:val="1"/>
          <w:bCs w:val="1"/>
          <w:color w:val="auto"/>
        </w:rPr>
        <w:t>February 25, 2026</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20" w:lineRule="exact"/>
        <w:rPr>
          <w:sz w:val="20"/>
          <w:szCs w:val="20"/>
          <w:color w:val="auto"/>
        </w:rPr>
      </w:pPr>
    </w:p>
    <w:p>
      <w:pPr>
        <w:ind w:left="780" w:hanging="290"/>
        <w:spacing w:after="0"/>
        <w:tabs>
          <w:tab w:leader="none" w:pos="78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None.</w:t>
      </w:r>
    </w:p>
    <w:p>
      <w:pPr>
        <w:spacing w:after="0" w:line="130" w:lineRule="exact"/>
        <w:rPr>
          <w:rFonts w:ascii="Arial" w:cs="Arial" w:eastAsia="Arial" w:hAnsi="Arial"/>
          <w:sz w:val="20"/>
          <w:szCs w:val="20"/>
          <w:b w:val="1"/>
          <w:bCs w:val="1"/>
          <w:color w:val="auto"/>
        </w:rPr>
      </w:pPr>
    </w:p>
    <w:p>
      <w:pPr>
        <w:jc w:val="both"/>
        <w:ind w:right="300" w:firstLine="490"/>
        <w:spacing w:after="0" w:line="312" w:lineRule="auto"/>
        <w:tabs>
          <w:tab w:leader="none" w:pos="772"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During our last fiscal quarter, no director or officer, as defined in Rule 16a-1(f), adopted or terminated a “Rule 10b5-1 trading arrangement” or a “non-Rule 10b5-1 trading arrangement,” each as defined in Regulation S-K Item 408.</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920"/>
          </w:cols>
          <w:pgMar w:left="1440" w:top="1161" w:right="8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128</w:t>
      </w:r>
    </w:p>
    <w:p>
      <w:pPr>
        <w:sectPr>
          <w:pgSz w:w="12240" w:h="15840" w:orient="portrait"/>
          <w:cols w:equalWidth="0" w:num="1">
            <w:col w:w="9920"/>
          </w:cols>
          <w:pgMar w:left="1440" w:top="1161" w:right="880" w:bottom="181" w:gutter="0" w:footer="0" w:header="0"/>
          <w:type w:val="continuous"/>
        </w:sectPr>
      </w:pPr>
    </w:p>
    <w:bookmarkStart w:id="130" w:name="page131"/>
    <w:bookmarkEnd w:id="130"/>
    <w:p>
      <w:pPr>
        <w:ind w:left="4800"/>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9" w:lineRule="exact"/>
        <w:rPr>
          <w:sz w:val="20"/>
          <w:szCs w:val="20"/>
          <w:color w:val="auto"/>
        </w:rPr>
      </w:pPr>
    </w:p>
    <w:p>
      <w:pPr>
        <w:jc w:val="both"/>
        <w:ind w:right="180" w:firstLine="490"/>
        <w:spacing w:after="0" w:line="253" w:lineRule="auto"/>
        <w:rPr>
          <w:sz w:val="20"/>
          <w:szCs w:val="20"/>
          <w:color w:val="auto"/>
        </w:rPr>
      </w:pPr>
      <w:r>
        <w:rPr>
          <w:rFonts w:ascii="Arial" w:cs="Arial" w:eastAsia="Arial" w:hAnsi="Arial"/>
          <w:sz w:val="19"/>
          <w:szCs w:val="19"/>
          <w:b w:val="1"/>
          <w:bCs w:val="1"/>
          <w:color w:val="auto"/>
        </w:rPr>
        <w:t>Information required by this item will be contained in our definitive proxy statement on Schedule 14A for the 2026 Annual Meeting of Stockholders (the Proxy Statement) in connection with the Proxy Statement to be filed with the SEC within 120 days of December 31, 2025, and is incorporated herein by reference.</w:t>
      </w:r>
    </w:p>
    <w:p>
      <w:pPr>
        <w:spacing w:after="0" w:line="120" w:lineRule="exact"/>
        <w:rPr>
          <w:sz w:val="20"/>
          <w:szCs w:val="20"/>
          <w:color w:val="auto"/>
        </w:rPr>
      </w:pPr>
    </w:p>
    <w:p>
      <w:pPr>
        <w:ind w:firstLine="490"/>
        <w:spacing w:after="0" w:line="270" w:lineRule="auto"/>
        <w:rPr>
          <w:sz w:val="20"/>
          <w:szCs w:val="20"/>
          <w:color w:val="auto"/>
        </w:rPr>
      </w:pPr>
      <w:r>
        <w:rPr>
          <w:rFonts w:ascii="Arial" w:cs="Arial" w:eastAsia="Arial" w:hAnsi="Arial"/>
          <w:sz w:val="18"/>
          <w:szCs w:val="18"/>
          <w:b w:val="1"/>
          <w:bCs w:val="1"/>
          <w:color w:val="auto"/>
        </w:rPr>
        <w:t>Our board of directors has adopted a Code of Business Conduct and Ethics applicable to all officers, directors, and employees, which is available on our website (</w:t>
      </w:r>
      <w:r>
        <w:rPr>
          <w:rFonts w:ascii="Arial" w:cs="Arial" w:eastAsia="Arial" w:hAnsi="Arial"/>
          <w:sz w:val="18"/>
          <w:szCs w:val="18"/>
          <w:b w:val="1"/>
          <w:bCs w:val="1"/>
          <w:u w:val="single" w:color="auto"/>
          <w:color w:val="0000FF"/>
        </w:rPr>
        <w:t>https://investors.alector.com/corporate-governance/governance-overview</w:t>
      </w:r>
      <w:r>
        <w:rPr>
          <w:rFonts w:ascii="Arial" w:cs="Arial" w:eastAsia="Arial" w:hAnsi="Arial"/>
          <w:sz w:val="18"/>
          <w:szCs w:val="18"/>
          <w:b w:val="1"/>
          <w:bCs w:val="1"/>
          <w:color w:val="auto"/>
        </w:rPr>
        <w:t>) under “Governance Documents.”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05" w:lineRule="exact"/>
        <w:rPr>
          <w:sz w:val="20"/>
          <w:szCs w:val="20"/>
          <w:color w:val="auto"/>
        </w:rPr>
      </w:pPr>
    </w:p>
    <w:p>
      <w:pPr>
        <w:ind w:firstLine="490"/>
        <w:spacing w:after="0" w:line="385" w:lineRule="auto"/>
        <w:rPr>
          <w:sz w:val="20"/>
          <w:szCs w:val="20"/>
          <w:color w:val="auto"/>
        </w:rPr>
      </w:pPr>
      <w:r>
        <w:rPr>
          <w:rFonts w:ascii="Arial" w:cs="Arial" w:eastAsia="Arial" w:hAnsi="Arial"/>
          <w:sz w:val="15"/>
          <w:szCs w:val="15"/>
          <w:b w:val="1"/>
          <w:bCs w:val="1"/>
          <w:color w:val="auto"/>
        </w:rPr>
        <w:t xml:space="preserve">Our board of directors has adopted an Insider Trading Policy that governs the purchase, sale and other dispositions of our securities by our directors, officers, employees, which is filed as </w:t>
      </w:r>
      <w:r>
        <w:rPr>
          <w:rFonts w:ascii="Arial" w:cs="Arial" w:eastAsia="Arial" w:hAnsi="Arial"/>
          <w:sz w:val="15"/>
          <w:szCs w:val="15"/>
          <w:b w:val="1"/>
          <w:bCs w:val="1"/>
          <w:u w:val="single" w:color="auto"/>
          <w:color w:val="0000FF"/>
        </w:rPr>
        <w:t>Exhibit 19</w:t>
      </w:r>
      <w:r>
        <w:rPr>
          <w:rFonts w:ascii="Arial" w:cs="Arial" w:eastAsia="Arial" w:hAnsi="Arial"/>
          <w:sz w:val="15"/>
          <w:szCs w:val="15"/>
          <w:b w:val="1"/>
          <w:bCs w:val="1"/>
          <w:color w:val="auto"/>
        </w:rPr>
        <w:t xml:space="preserve"> to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1" w:lineRule="exact"/>
        <w:rPr>
          <w:sz w:val="20"/>
          <w:szCs w:val="20"/>
          <w:color w:val="auto"/>
        </w:rPr>
      </w:pPr>
    </w:p>
    <w:p>
      <w:pPr>
        <w:ind w:right="120" w:firstLine="490"/>
        <w:spacing w:after="0" w:line="233" w:lineRule="auto"/>
        <w:rPr>
          <w:sz w:val="20"/>
          <w:szCs w:val="20"/>
          <w:color w:val="auto"/>
        </w:rPr>
      </w:pPr>
      <w:r>
        <w:rPr>
          <w:rFonts w:ascii="Arial" w:cs="Arial" w:eastAsia="Arial" w:hAnsi="Arial"/>
          <w:sz w:val="20"/>
          <w:szCs w:val="20"/>
          <w:b w:val="1"/>
          <w:bCs w:val="1"/>
          <w:color w:val="auto"/>
        </w:rPr>
        <w:t>Information required by this item will be contained in the Proxy Statement to be filed with the SEC within 120 days of December 31, 2025, and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32" w:lineRule="exact"/>
        <w:rPr>
          <w:sz w:val="20"/>
          <w:szCs w:val="20"/>
          <w:color w:val="auto"/>
        </w:rPr>
      </w:pPr>
    </w:p>
    <w:p>
      <w:pPr>
        <w:ind w:right="120" w:firstLine="490"/>
        <w:spacing w:after="0" w:line="234" w:lineRule="auto"/>
        <w:rPr>
          <w:sz w:val="20"/>
          <w:szCs w:val="20"/>
          <w:color w:val="auto"/>
        </w:rPr>
      </w:pPr>
      <w:r>
        <w:rPr>
          <w:rFonts w:ascii="Arial" w:cs="Arial" w:eastAsia="Arial" w:hAnsi="Arial"/>
          <w:sz w:val="20"/>
          <w:szCs w:val="20"/>
          <w:b w:val="1"/>
          <w:bCs w:val="1"/>
          <w:color w:val="auto"/>
        </w:rPr>
        <w:t>Information required by this item will be contained in the Proxy Statement to be filed with the SEC within 120 days of December 31, 2025, and is incorporated herein by reference.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31" w:lineRule="exact"/>
        <w:rPr>
          <w:sz w:val="20"/>
          <w:szCs w:val="20"/>
          <w:color w:val="auto"/>
        </w:rPr>
      </w:pPr>
    </w:p>
    <w:p>
      <w:pPr>
        <w:ind w:right="120" w:firstLine="490"/>
        <w:spacing w:after="0" w:line="233" w:lineRule="auto"/>
        <w:rPr>
          <w:sz w:val="20"/>
          <w:szCs w:val="20"/>
          <w:color w:val="auto"/>
        </w:rPr>
      </w:pPr>
      <w:r>
        <w:rPr>
          <w:rFonts w:ascii="Arial" w:cs="Arial" w:eastAsia="Arial" w:hAnsi="Arial"/>
          <w:sz w:val="20"/>
          <w:szCs w:val="20"/>
          <w:b w:val="1"/>
          <w:bCs w:val="1"/>
          <w:color w:val="auto"/>
        </w:rPr>
        <w:t>Information required by this item will be contained in the Proxy Statement to be filed with the SEC within 120 days of December 31, 2025, and is incorporated herein by reference.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31" w:lineRule="exact"/>
        <w:rPr>
          <w:sz w:val="20"/>
          <w:szCs w:val="20"/>
          <w:color w:val="auto"/>
        </w:rPr>
      </w:pPr>
    </w:p>
    <w:p>
      <w:pPr>
        <w:ind w:right="120" w:firstLine="490"/>
        <w:spacing w:after="0" w:line="234" w:lineRule="auto"/>
        <w:rPr>
          <w:sz w:val="20"/>
          <w:szCs w:val="20"/>
          <w:color w:val="auto"/>
        </w:rPr>
      </w:pPr>
      <w:r>
        <w:rPr>
          <w:rFonts w:ascii="Arial" w:cs="Arial" w:eastAsia="Arial" w:hAnsi="Arial"/>
          <w:sz w:val="20"/>
          <w:szCs w:val="20"/>
          <w:b w:val="1"/>
          <w:bCs w:val="1"/>
          <w:color w:val="auto"/>
        </w:rPr>
        <w:t>Information required by this item will be contained in the Proxy Statement to be filed with the SEC within 120 days of December 31, 2025, and is incorporated herein by reference.</w:t>
      </w:r>
    </w:p>
    <w:p>
      <w:pPr>
        <w:sectPr>
          <w:pgSz w:w="12240" w:h="15840" w:orient="portrait"/>
          <w:cols w:equalWidth="0" w:num="1">
            <w:col w:w="9880"/>
          </w:cols>
          <w:pgMar w:left="1440" w:top="1151" w:right="9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129</w:t>
      </w:r>
    </w:p>
    <w:p>
      <w:pPr>
        <w:sectPr>
          <w:pgSz w:w="12240" w:h="15840" w:orient="portrait"/>
          <w:cols w:equalWidth="0" w:num="1">
            <w:col w:w="9880"/>
          </w:cols>
          <w:pgMar w:left="1440" w:top="1151" w:right="920" w:bottom="181"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18" w:lineRule="exact"/>
        <w:rPr>
          <w:sz w:val="20"/>
          <w:szCs w:val="20"/>
          <w:color w:val="auto"/>
        </w:rPr>
      </w:pPr>
    </w:p>
    <w:p>
      <w:pPr>
        <w:ind w:left="980" w:hanging="490"/>
        <w:spacing w:after="0"/>
        <w:tabs>
          <w:tab w:leader="none" w:pos="98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documents are filed as part of this report:</w:t>
      </w:r>
    </w:p>
    <w:p>
      <w:pPr>
        <w:spacing w:after="0" w:line="240" w:lineRule="exact"/>
        <w:rPr>
          <w:sz w:val="20"/>
          <w:szCs w:val="20"/>
          <w:color w:val="auto"/>
        </w:rPr>
      </w:pPr>
    </w:p>
    <w:p>
      <w:pPr>
        <w:ind w:left="1440" w:hanging="490"/>
        <w:spacing w:after="0"/>
        <w:tabs>
          <w:tab w:leader="none" w:pos="144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The consolidated financial statements of Alector, Inc. are filed as part of this report on Form 10-K under Item 8.</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Financial Statements and Supplementary Data.</w:t>
      </w:r>
    </w:p>
    <w:p>
      <w:pPr>
        <w:spacing w:after="0" w:line="240" w:lineRule="exact"/>
        <w:rPr>
          <w:sz w:val="20"/>
          <w:szCs w:val="20"/>
          <w:color w:val="auto"/>
        </w:rPr>
      </w:pPr>
    </w:p>
    <w:p>
      <w:pPr>
        <w:ind w:left="1440" w:hanging="490"/>
        <w:spacing w:after="0"/>
        <w:tabs>
          <w:tab w:leader="none" w:pos="144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251" w:lineRule="exact"/>
        <w:rPr>
          <w:sz w:val="20"/>
          <w:szCs w:val="20"/>
          <w:color w:val="auto"/>
        </w:rPr>
      </w:pPr>
    </w:p>
    <w:p>
      <w:pPr>
        <w:ind w:left="960" w:right="860"/>
        <w:spacing w:after="0" w:line="278" w:lineRule="auto"/>
        <w:rPr>
          <w:sz w:val="20"/>
          <w:szCs w:val="20"/>
          <w:color w:val="auto"/>
        </w:rPr>
      </w:pPr>
      <w:r>
        <w:rPr>
          <w:rFonts w:ascii="Arial" w:cs="Arial" w:eastAsia="Arial" w:hAnsi="Arial"/>
          <w:sz w:val="18"/>
          <w:szCs w:val="18"/>
          <w:b w:val="1"/>
          <w:bCs w:val="1"/>
          <w:color w:val="auto"/>
        </w:rPr>
        <w:t>All other schedules have been omitted because they are not required, not inapplicable, or the required information is included in the consolidated financial statements or notes thereto.</w:t>
      </w:r>
    </w:p>
    <w:p>
      <w:pPr>
        <w:spacing w:after="0" w:line="208" w:lineRule="exact"/>
        <w:rPr>
          <w:sz w:val="20"/>
          <w:szCs w:val="20"/>
          <w:color w:val="auto"/>
        </w:rPr>
      </w:pPr>
    </w:p>
    <w:p>
      <w:pPr>
        <w:ind w:left="1440" w:hanging="490"/>
        <w:spacing w:after="0"/>
        <w:tabs>
          <w:tab w:leader="none" w:pos="144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251" w:lineRule="exact"/>
        <w:rPr>
          <w:sz w:val="20"/>
          <w:szCs w:val="20"/>
          <w:color w:val="auto"/>
        </w:rPr>
      </w:pPr>
    </w:p>
    <w:p>
      <w:pPr>
        <w:ind w:left="980" w:right="340" w:hanging="28"/>
        <w:spacing w:after="0" w:line="281" w:lineRule="auto"/>
        <w:rPr>
          <w:sz w:val="20"/>
          <w:szCs w:val="20"/>
          <w:color w:val="auto"/>
        </w:rPr>
      </w:pPr>
      <w:r>
        <w:rPr>
          <w:rFonts w:ascii="Arial" w:cs="Arial" w:eastAsia="Arial" w:hAnsi="Arial"/>
          <w:sz w:val="18"/>
          <w:szCs w:val="18"/>
          <w:b w:val="1"/>
          <w:bCs w:val="1"/>
          <w:color w:val="auto"/>
        </w:rPr>
        <w:t>The documents listed in the Exhibit Index are incorporated by reference or are filed with this report, in each case as indicated herein (numbered in accordance with Item 601 of Regulation S-K).</w:t>
      </w:r>
    </w:p>
    <w:p>
      <w:pPr>
        <w:sectPr>
          <w:pgSz w:w="12240" w:h="15840" w:orient="portrait"/>
          <w:cols w:equalWidth="0" w:num="1">
            <w:col w:w="9920"/>
          </w:cols>
          <w:pgMar w:left="1440" w:top="1151" w:right="880" w:bottom="181"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60" w:type="dxa"/>
            <w:vAlign w:val="bottom"/>
            <w:gridSpan w:val="9"/>
          </w:tcPr>
          <w:p>
            <w:pPr>
              <w:ind w:left="86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835"/>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10"/>
          </w:tcPr>
          <w:p>
            <w:pPr>
              <w:spacing w:after="0"/>
              <w:rPr>
                <w:sz w:val="20"/>
                <w:szCs w:val="20"/>
                <w:color w:val="auto"/>
              </w:rPr>
            </w:pPr>
            <w:r>
              <w:rPr>
                <w:rFonts w:ascii="Arial" w:cs="Arial" w:eastAsia="Arial" w:hAnsi="Arial"/>
                <w:sz w:val="14"/>
                <w:szCs w:val="14"/>
                <w:b w:val="1"/>
                <w:bCs w:val="1"/>
                <w:color w:val="auto"/>
                <w:highlight w:val="white"/>
              </w:rPr>
              <w:t xml:space="preserve">Exhibit </w:t>
            </w: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35"/>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3.1</w:t>
            </w:r>
          </w:p>
        </w:tc>
        <w:tc>
          <w:tcPr>
            <w:tcW w:w="462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b w:val="1"/>
                <w:bCs w:val="1"/>
                <w:color w:val="0000FF"/>
                <w:highlight w:val="white"/>
                <w:w w:val="84"/>
              </w:rPr>
              <w:t>Amended and Restated Certificate of Incorporation of the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960" w:type="dxa"/>
            <w:vAlign w:val="bottom"/>
            <w:vMerge w:val="continue"/>
          </w:tcPr>
          <w:p>
            <w:pPr>
              <w:spacing w:after="0"/>
              <w:rPr>
                <w:sz w:val="9"/>
                <w:szCs w:val="9"/>
                <w:color w:val="auto"/>
              </w:rPr>
            </w:pPr>
          </w:p>
        </w:tc>
        <w:tc>
          <w:tcPr>
            <w:tcW w:w="880" w:type="dxa"/>
            <w:vAlign w:val="bottom"/>
            <w:vMerge w:val="restart"/>
          </w:tcPr>
          <w:p>
            <w:pPr>
              <w:spacing w:after="0" w:line="210" w:lineRule="exact"/>
              <w:rPr>
                <w:sz w:val="20"/>
                <w:szCs w:val="20"/>
                <w:color w:val="auto"/>
              </w:rPr>
            </w:pPr>
            <w:r>
              <w:rPr>
                <w:rFonts w:ascii="Arial" w:cs="Arial" w:eastAsia="Arial" w:hAnsi="Arial"/>
                <w:sz w:val="20"/>
                <w:szCs w:val="20"/>
                <w:b w:val="1"/>
                <w:bCs w:val="1"/>
                <w:color w:val="0000FF"/>
                <w:w w:val="82"/>
              </w:rPr>
              <w:t>Registrant.</w:t>
            </w:r>
          </w:p>
        </w:tc>
        <w:tc>
          <w:tcPr>
            <w:tcW w:w="376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880" w:type="dxa"/>
            <w:vAlign w:val="bottom"/>
            <w:tcBorders>
              <w:bottom w:val="single" w:sz="8" w:color="0000FF"/>
            </w:tcBorders>
            <w:vMerge w:val="continue"/>
          </w:tcPr>
          <w:p>
            <w:pPr>
              <w:spacing w:after="0"/>
              <w:rPr>
                <w:sz w:val="8"/>
                <w:szCs w:val="8"/>
                <w:color w:val="auto"/>
              </w:rPr>
            </w:pPr>
          </w:p>
        </w:tc>
        <w:tc>
          <w:tcPr>
            <w:tcW w:w="376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960" w:type="dxa"/>
            <w:vAlign w:val="bottom"/>
          </w:tcPr>
          <w:p>
            <w:pPr>
              <w:spacing w:after="0"/>
              <w:rPr>
                <w:sz w:val="20"/>
                <w:szCs w:val="20"/>
                <w:color w:val="auto"/>
              </w:rPr>
            </w:pPr>
            <w:r>
              <w:rPr>
                <w:rFonts w:ascii="Arial" w:cs="Arial" w:eastAsia="Arial" w:hAnsi="Arial"/>
                <w:sz w:val="20"/>
                <w:szCs w:val="20"/>
                <w:b w:val="1"/>
                <w:bCs w:val="1"/>
                <w:color w:val="auto"/>
              </w:rPr>
              <w:t>3.2</w:t>
            </w:r>
          </w:p>
        </w:tc>
        <w:tc>
          <w:tcPr>
            <w:tcW w:w="394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b w:val="1"/>
                <w:bCs w:val="1"/>
                <w:color w:val="0000FF"/>
                <w:w w:val="83"/>
              </w:rPr>
              <w:t>Amended and Restated Bylaws of the Registrant.</w:t>
            </w:r>
          </w:p>
        </w:tc>
        <w:tc>
          <w:tcPr>
            <w:tcW w:w="70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60" w:type="dxa"/>
            <w:vAlign w:val="bottom"/>
          </w:tcPr>
          <w:p>
            <w:pPr>
              <w:spacing w:after="0"/>
              <w:rPr>
                <w:sz w:val="20"/>
                <w:szCs w:val="20"/>
                <w:color w:val="auto"/>
              </w:rPr>
            </w:pPr>
            <w:r>
              <w:rPr>
                <w:rFonts w:ascii="Arial" w:cs="Arial" w:eastAsia="Arial" w:hAnsi="Arial"/>
                <w:sz w:val="20"/>
                <w:szCs w:val="20"/>
                <w:b w:val="1"/>
                <w:bCs w:val="1"/>
                <w:color w:val="auto"/>
              </w:rPr>
              <w:t>4.2</w:t>
            </w:r>
          </w:p>
        </w:tc>
        <w:tc>
          <w:tcPr>
            <w:tcW w:w="4640" w:type="dxa"/>
            <w:vAlign w:val="bottom"/>
            <w:gridSpan w:val="14"/>
          </w:tcPr>
          <w:p>
            <w:pPr>
              <w:spacing w:after="0"/>
              <w:rPr>
                <w:sz w:val="20"/>
                <w:szCs w:val="20"/>
                <w:color w:val="auto"/>
              </w:rPr>
            </w:pPr>
            <w:r>
              <w:rPr>
                <w:rFonts w:ascii="Arial" w:cs="Arial" w:eastAsia="Arial" w:hAnsi="Arial"/>
                <w:sz w:val="20"/>
                <w:szCs w:val="20"/>
                <w:b w:val="1"/>
                <w:bCs w:val="1"/>
                <w:color w:val="0000FF"/>
                <w:w w:val="91"/>
              </w:rPr>
              <w:t>Specimen common stock certificate of the Registrant</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Arial" w:cs="Arial" w:eastAsia="Arial" w:hAnsi="Arial"/>
                <w:sz w:val="20"/>
                <w:szCs w:val="20"/>
                <w:b w:val="1"/>
                <w:bCs w:val="1"/>
                <w:color w:val="auto"/>
              </w:rPr>
              <w:t>4.3</w:t>
            </w:r>
          </w:p>
        </w:tc>
        <w:tc>
          <w:tcPr>
            <w:tcW w:w="4240" w:type="dxa"/>
            <w:vAlign w:val="bottom"/>
            <w:tcBorders>
              <w:top w:val="single" w:sz="8" w:color="0000FF"/>
            </w:tcBorders>
            <w:gridSpan w:val="10"/>
          </w:tcPr>
          <w:p>
            <w:pPr>
              <w:spacing w:after="0"/>
              <w:rPr>
                <w:sz w:val="20"/>
                <w:szCs w:val="20"/>
                <w:color w:val="auto"/>
              </w:rPr>
            </w:pPr>
            <w:r>
              <w:rPr>
                <w:rFonts w:ascii="Arial" w:cs="Arial" w:eastAsia="Arial" w:hAnsi="Arial"/>
                <w:sz w:val="20"/>
                <w:szCs w:val="20"/>
                <w:b w:val="1"/>
                <w:bCs w:val="1"/>
                <w:color w:val="0000FF"/>
                <w:highlight w:val="white"/>
              </w:rPr>
              <w:t>Description of securities of the Registrant.</w:t>
            </w:r>
          </w:p>
        </w:tc>
        <w:tc>
          <w:tcPr>
            <w:tcW w:w="40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10.1+</w:t>
            </w:r>
          </w:p>
        </w:tc>
        <w:tc>
          <w:tcPr>
            <w:tcW w:w="4640" w:type="dxa"/>
            <w:vAlign w:val="bottom"/>
            <w:gridSpan w:val="14"/>
          </w:tcPr>
          <w:p>
            <w:pPr>
              <w:spacing w:after="0"/>
              <w:rPr>
                <w:sz w:val="20"/>
                <w:szCs w:val="20"/>
                <w:color w:val="auto"/>
              </w:rPr>
            </w:pPr>
            <w:r>
              <w:rPr>
                <w:rFonts w:ascii="Arial" w:cs="Arial" w:eastAsia="Arial" w:hAnsi="Arial"/>
                <w:sz w:val="20"/>
                <w:szCs w:val="20"/>
                <w:b w:val="1"/>
                <w:bCs w:val="1"/>
                <w:color w:val="0000FF"/>
                <w:highlight w:val="white"/>
              </w:rPr>
              <w:t>Form of Indemnification Agreement between the</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60" w:type="dxa"/>
            <w:vAlign w:val="bottom"/>
            <w:vMerge w:val="continue"/>
          </w:tcPr>
          <w:p>
            <w:pPr>
              <w:spacing w:after="0"/>
              <w:rPr>
                <w:sz w:val="9"/>
                <w:szCs w:val="9"/>
                <w:color w:val="auto"/>
              </w:rPr>
            </w:pPr>
          </w:p>
        </w:tc>
        <w:tc>
          <w:tcPr>
            <w:tcW w:w="4640" w:type="dxa"/>
            <w:vAlign w:val="bottom"/>
            <w:gridSpan w:val="14"/>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82"/>
              </w:rPr>
              <w:t>Registrant and each of its directors and executive officers.</w:t>
            </w: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4640" w:type="dxa"/>
            <w:vAlign w:val="bottom"/>
            <w:tcBorders>
              <w:bottom w:val="single" w:sz="8" w:color="0000FF"/>
            </w:tcBorders>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10.2+</w:t>
            </w:r>
          </w:p>
        </w:tc>
        <w:tc>
          <w:tcPr>
            <w:tcW w:w="4640" w:type="dxa"/>
            <w:vAlign w:val="bottom"/>
            <w:gridSpan w:val="14"/>
          </w:tcPr>
          <w:p>
            <w:pPr>
              <w:spacing w:after="0"/>
              <w:rPr>
                <w:sz w:val="20"/>
                <w:szCs w:val="20"/>
                <w:color w:val="auto"/>
              </w:rPr>
            </w:pPr>
            <w:r>
              <w:rPr>
                <w:rFonts w:ascii="Arial" w:cs="Arial" w:eastAsia="Arial" w:hAnsi="Arial"/>
                <w:sz w:val="20"/>
                <w:szCs w:val="20"/>
                <w:b w:val="1"/>
                <w:bCs w:val="1"/>
                <w:color w:val="0000FF"/>
                <w:w w:val="84"/>
              </w:rPr>
              <w:t>2017 Stock Option and Grant Plan as amended and forms</w:t>
            </w: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4600" w:type="dxa"/>
            <w:vAlign w:val="bottom"/>
            <w:tcBorders>
              <w:top w:val="single" w:sz="8" w:color="0000FF"/>
            </w:tcBorders>
            <w:gridSpan w:val="12"/>
          </w:tcPr>
          <w:p>
            <w:pPr>
              <w:spacing w:after="0" w:line="210" w:lineRule="exact"/>
              <w:rPr>
                <w:sz w:val="20"/>
                <w:szCs w:val="20"/>
                <w:color w:val="auto"/>
              </w:rPr>
            </w:pPr>
            <w:r>
              <w:rPr>
                <w:rFonts w:ascii="Arial" w:cs="Arial" w:eastAsia="Arial" w:hAnsi="Arial"/>
                <w:sz w:val="20"/>
                <w:szCs w:val="20"/>
                <w:b w:val="1"/>
                <w:bCs w:val="1"/>
                <w:color w:val="0000FF"/>
              </w:rPr>
              <w:t>of agreement thereunder</w:t>
            </w:r>
            <w:r>
              <w:rPr>
                <w:rFonts w:ascii="Arial" w:cs="Arial" w:eastAsia="Arial" w:hAnsi="Arial"/>
                <w:sz w:val="20"/>
                <w:szCs w:val="20"/>
                <w:b w:val="1"/>
                <w:bCs w:val="1"/>
                <w:color w:val="000000"/>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10.3+</w:t>
            </w:r>
          </w:p>
        </w:tc>
        <w:tc>
          <w:tcPr>
            <w:tcW w:w="422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b w:val="1"/>
                <w:bCs w:val="1"/>
                <w:color w:val="0000FF"/>
                <w:highlight w:val="white"/>
                <w:w w:val="84"/>
              </w:rPr>
              <w:t>2019 Equity Incentive Plan and forms of agreements</w:t>
            </w:r>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4640" w:type="dxa"/>
            <w:vAlign w:val="bottom"/>
            <w:gridSpan w:val="14"/>
          </w:tcPr>
          <w:p>
            <w:pPr>
              <w:spacing w:after="0" w:line="210" w:lineRule="exact"/>
              <w:rPr>
                <w:sz w:val="20"/>
                <w:szCs w:val="20"/>
                <w:color w:val="auto"/>
              </w:rPr>
            </w:pPr>
            <w:r>
              <w:rPr>
                <w:rFonts w:ascii="Arial" w:cs="Arial" w:eastAsia="Arial" w:hAnsi="Arial"/>
                <w:sz w:val="20"/>
                <w:szCs w:val="20"/>
                <w:b w:val="1"/>
                <w:bCs w:val="1"/>
                <w:color w:val="0000FF"/>
              </w:rPr>
              <w:t>thereunder.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10.4+</w:t>
            </w:r>
          </w:p>
        </w:tc>
        <w:tc>
          <w:tcPr>
            <w:tcW w:w="394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b w:val="1"/>
                <w:bCs w:val="1"/>
                <w:color w:val="0000FF"/>
                <w:w w:val="84"/>
              </w:rPr>
              <w:t>2019 Employee Stock Purchase Plan and form of</w:t>
            </w:r>
          </w:p>
        </w:tc>
        <w:tc>
          <w:tcPr>
            <w:tcW w:w="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640" w:type="dxa"/>
            <w:vAlign w:val="bottom"/>
            <w:gridSpan w:val="14"/>
            <w:vMerge w:val="restart"/>
          </w:tcPr>
          <w:p>
            <w:pPr>
              <w:spacing w:after="0" w:line="210" w:lineRule="exact"/>
              <w:rPr>
                <w:sz w:val="20"/>
                <w:szCs w:val="20"/>
                <w:color w:val="auto"/>
              </w:rPr>
            </w:pPr>
            <w:r>
              <w:rPr>
                <w:rFonts w:ascii="Arial" w:cs="Arial" w:eastAsia="Arial" w:hAnsi="Arial"/>
                <w:sz w:val="20"/>
                <w:szCs w:val="20"/>
                <w:b w:val="1"/>
                <w:bCs w:val="1"/>
                <w:color w:val="0000FF"/>
              </w:rPr>
              <w:t>agreement thereunder.</w:t>
            </w:r>
          </w:p>
        </w:tc>
        <w:tc>
          <w:tcPr>
            <w:tcW w:w="0" w:type="dxa"/>
            <w:vAlign w:val="bottom"/>
          </w:tcPr>
          <w:p>
            <w:pPr>
              <w:spacing w:after="0"/>
              <w:rPr>
                <w:sz w:val="1"/>
                <w:szCs w:val="1"/>
                <w:color w:val="auto"/>
              </w:rPr>
            </w:pPr>
          </w:p>
        </w:tc>
      </w:tr>
      <w:tr>
        <w:trPr>
          <w:trHeight w:val="89"/>
        </w:trPr>
        <w:tc>
          <w:tcPr>
            <w:tcW w:w="960" w:type="dxa"/>
            <w:vAlign w:val="bottom"/>
          </w:tcPr>
          <w:p>
            <w:pPr>
              <w:spacing w:after="0"/>
              <w:rPr>
                <w:sz w:val="7"/>
                <w:szCs w:val="7"/>
                <w:color w:val="auto"/>
              </w:rPr>
            </w:pPr>
          </w:p>
        </w:tc>
        <w:tc>
          <w:tcPr>
            <w:tcW w:w="464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10.5+</w:t>
            </w:r>
          </w:p>
        </w:tc>
        <w:tc>
          <w:tcPr>
            <w:tcW w:w="4640" w:type="dxa"/>
            <w:vAlign w:val="bottom"/>
            <w:gridSpan w:val="14"/>
          </w:tcPr>
          <w:p>
            <w:pPr>
              <w:spacing w:after="0"/>
              <w:rPr>
                <w:sz w:val="20"/>
                <w:szCs w:val="20"/>
                <w:color w:val="auto"/>
              </w:rPr>
            </w:pPr>
            <w:r>
              <w:rPr>
                <w:rFonts w:ascii="Arial" w:cs="Arial" w:eastAsia="Arial" w:hAnsi="Arial"/>
                <w:sz w:val="20"/>
                <w:szCs w:val="20"/>
                <w:b w:val="1"/>
                <w:bCs w:val="1"/>
                <w:color w:val="0000FF"/>
                <w:w w:val="85"/>
              </w:rPr>
              <w:t>2022 Inducement Equity Incentive Plan, as amended, and</w:t>
            </w: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4600" w:type="dxa"/>
            <w:vAlign w:val="bottom"/>
            <w:tcBorders>
              <w:top w:val="single" w:sz="8" w:color="0000FF"/>
            </w:tcBorders>
            <w:gridSpan w:val="12"/>
          </w:tcPr>
          <w:p>
            <w:pPr>
              <w:spacing w:after="0" w:line="210" w:lineRule="exact"/>
              <w:rPr>
                <w:sz w:val="20"/>
                <w:szCs w:val="20"/>
                <w:color w:val="auto"/>
              </w:rPr>
            </w:pPr>
            <w:r>
              <w:rPr>
                <w:rFonts w:ascii="Arial" w:cs="Arial" w:eastAsia="Arial" w:hAnsi="Arial"/>
                <w:sz w:val="20"/>
                <w:szCs w:val="20"/>
                <w:b w:val="1"/>
                <w:bCs w:val="1"/>
                <w:color w:val="0000FF"/>
              </w:rPr>
              <w:t>forms of agreement thereunder</w:t>
            </w:r>
            <w:r>
              <w:rPr>
                <w:rFonts w:ascii="Arial" w:cs="Arial" w:eastAsia="Arial" w:hAnsi="Arial"/>
                <w:sz w:val="20"/>
                <w:szCs w:val="20"/>
                <w:b w:val="1"/>
                <w:bCs w:val="1"/>
                <w:u w:val="single" w:color="auto"/>
                <w:color w:val="000000"/>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60" w:type="dxa"/>
            <w:vAlign w:val="bottom"/>
            <w:vMerge w:val="restart"/>
          </w:tcPr>
          <w:p>
            <w:pPr>
              <w:spacing w:after="0"/>
              <w:rPr>
                <w:sz w:val="20"/>
                <w:szCs w:val="20"/>
                <w:color w:val="auto"/>
              </w:rPr>
            </w:pPr>
            <w:r>
              <w:rPr>
                <w:rFonts w:ascii="Arial" w:cs="Arial" w:eastAsia="Arial" w:hAnsi="Arial"/>
                <w:sz w:val="20"/>
                <w:szCs w:val="20"/>
                <w:b w:val="1"/>
                <w:bCs w:val="1"/>
                <w:color w:val="auto"/>
              </w:rPr>
              <w:t>10.6+</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b w:val="1"/>
                <w:bCs w:val="1"/>
                <w:color w:val="0000FF"/>
                <w:highlight w:val="white"/>
                <w:w w:val="84"/>
              </w:rPr>
              <w:t>Confirmatory Offer Letter between the Registrant and</w:t>
            </w:r>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1960" w:type="dxa"/>
            <w:vAlign w:val="bottom"/>
            <w:tcBorders>
              <w:bottom w:val="single" w:sz="8" w:color="0000FF"/>
            </w:tcBorders>
            <w:gridSpan w:val="4"/>
          </w:tcPr>
          <w:p>
            <w:pPr>
              <w:spacing w:after="0" w:line="210" w:lineRule="exact"/>
              <w:rPr>
                <w:sz w:val="20"/>
                <w:szCs w:val="20"/>
                <w:color w:val="auto"/>
              </w:rPr>
            </w:pPr>
            <w:r>
              <w:rPr>
                <w:rFonts w:ascii="Arial" w:cs="Arial" w:eastAsia="Arial" w:hAnsi="Arial"/>
                <w:sz w:val="20"/>
                <w:szCs w:val="20"/>
                <w:b w:val="1"/>
                <w:bCs w:val="1"/>
                <w:color w:val="0000FF"/>
                <w:highlight w:val="white"/>
                <w:w w:val="85"/>
              </w:rPr>
              <w:t>Arnon Rosenthal, Ph.D.</w:t>
            </w:r>
          </w:p>
        </w:tc>
        <w:tc>
          <w:tcPr>
            <w:tcW w:w="26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-3618865</wp:posOffset>
            </wp:positionV>
            <wp:extent cx="6282690" cy="4852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2690" cy="4852035"/>
                    </a:xfrm>
                    <a:prstGeom prst="rect">
                      <a:avLst/>
                    </a:prstGeom>
                    <a:noFill/>
                  </pic:spPr>
                </pic:pic>
              </a:graphicData>
            </a:graphic>
          </wp:anchor>
        </w:drawing>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60" w:type="dxa"/>
            <w:vAlign w:val="bottom"/>
            <w:vMerge w:val="restart"/>
          </w:tcPr>
          <w:p>
            <w:pPr>
              <w:jc w:val="right"/>
              <w:ind w:right="400"/>
              <w:spacing w:after="0"/>
              <w:rPr>
                <w:sz w:val="20"/>
                <w:szCs w:val="20"/>
                <w:color w:val="auto"/>
              </w:rPr>
            </w:pPr>
            <w:r>
              <w:rPr>
                <w:rFonts w:ascii="Arial" w:cs="Arial" w:eastAsia="Arial" w:hAnsi="Arial"/>
                <w:sz w:val="20"/>
                <w:szCs w:val="20"/>
                <w:b w:val="1"/>
                <w:bCs w:val="1"/>
                <w:color w:val="auto"/>
                <w:w w:val="86"/>
              </w:rPr>
              <w:t>10.7+</w:t>
            </w:r>
          </w:p>
        </w:tc>
        <w:tc>
          <w:tcPr>
            <w:tcW w:w="326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84"/>
              </w:rPr>
              <w:t>Executive Incentive Compensation Plan.</w:t>
            </w: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960" w:type="dxa"/>
            <w:vAlign w:val="bottom"/>
            <w:vMerge w:val="continue"/>
          </w:tcPr>
          <w:p>
            <w:pPr>
              <w:spacing w:after="0"/>
              <w:rPr>
                <w:sz w:val="7"/>
                <w:szCs w:val="7"/>
                <w:color w:val="auto"/>
              </w:rPr>
            </w:pPr>
          </w:p>
        </w:tc>
        <w:tc>
          <w:tcPr>
            <w:tcW w:w="3160" w:type="dxa"/>
            <w:vAlign w:val="bottom"/>
            <w:gridSpan w:val="2"/>
            <w:vMerge w:val="restart"/>
          </w:tcPr>
          <w:p>
            <w:pPr>
              <w:spacing w:after="0"/>
              <w:rPr>
                <w:sz w:val="20"/>
                <w:szCs w:val="20"/>
                <w:color w:val="auto"/>
              </w:rPr>
            </w:pPr>
            <w:r>
              <w:rPr>
                <w:rFonts w:ascii="Arial" w:cs="Arial" w:eastAsia="Arial" w:hAnsi="Arial"/>
                <w:sz w:val="20"/>
                <w:szCs w:val="20"/>
                <w:b w:val="1"/>
                <w:bCs w:val="1"/>
                <w:color w:val="0000FF"/>
                <w:w w:val="84"/>
              </w:rPr>
              <w:t>Outside Director Compensation Policy.</w:t>
            </w:r>
          </w:p>
        </w:tc>
        <w:tc>
          <w:tcPr>
            <w:tcW w:w="116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960" w:type="dxa"/>
            <w:vAlign w:val="bottom"/>
            <w:vMerge w:val="restart"/>
          </w:tcPr>
          <w:p>
            <w:pPr>
              <w:jc w:val="right"/>
              <w:ind w:right="400"/>
              <w:spacing w:after="0"/>
              <w:rPr>
                <w:sz w:val="20"/>
                <w:szCs w:val="20"/>
                <w:color w:val="auto"/>
              </w:rPr>
            </w:pPr>
            <w:r>
              <w:rPr>
                <w:rFonts w:ascii="Arial" w:cs="Arial" w:eastAsia="Arial" w:hAnsi="Arial"/>
                <w:sz w:val="20"/>
                <w:szCs w:val="20"/>
                <w:b w:val="1"/>
                <w:bCs w:val="1"/>
                <w:color w:val="auto"/>
                <w:w w:val="86"/>
              </w:rPr>
              <w:t>10.8+</w:t>
            </w:r>
          </w:p>
        </w:tc>
        <w:tc>
          <w:tcPr>
            <w:tcW w:w="3160" w:type="dxa"/>
            <w:vAlign w:val="bottom"/>
            <w:tcBorders>
              <w:bottom w:val="single" w:sz="8" w:color="0000FF"/>
            </w:tcBorders>
            <w:gridSpan w:val="2"/>
            <w:vMerge w:val="continue"/>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960" w:type="dxa"/>
            <w:vAlign w:val="bottom"/>
            <w:vMerge w:val="continue"/>
          </w:tcPr>
          <w:p>
            <w:pPr>
              <w:spacing w:after="0"/>
              <w:rPr>
                <w:sz w:val="7"/>
                <w:szCs w:val="7"/>
                <w:color w:val="auto"/>
              </w:rPr>
            </w:pPr>
          </w:p>
        </w:tc>
        <w:tc>
          <w:tcPr>
            <w:tcW w:w="4320" w:type="dxa"/>
            <w:vAlign w:val="bottom"/>
            <w:gridSpan w:val="5"/>
            <w:vMerge w:val="restart"/>
          </w:tcPr>
          <w:p>
            <w:pPr>
              <w:spacing w:after="0"/>
              <w:rPr>
                <w:sz w:val="20"/>
                <w:szCs w:val="20"/>
                <w:color w:val="auto"/>
              </w:rPr>
            </w:pPr>
            <w:r>
              <w:rPr>
                <w:rFonts w:ascii="Arial" w:cs="Arial" w:eastAsia="Arial" w:hAnsi="Arial"/>
                <w:sz w:val="20"/>
                <w:szCs w:val="20"/>
                <w:b w:val="1"/>
                <w:bCs w:val="1"/>
                <w:color w:val="0000FF"/>
                <w:highlight w:val="white"/>
                <w:w w:val="84"/>
              </w:rPr>
              <w:t>Form of Change in Control and Severance Agreement</w:t>
            </w:r>
          </w:p>
        </w:tc>
        <w:tc>
          <w:tcPr>
            <w:tcW w:w="0" w:type="dxa"/>
            <w:vAlign w:val="bottom"/>
          </w:tcPr>
          <w:p>
            <w:pPr>
              <w:spacing w:after="0"/>
              <w:rPr>
                <w:sz w:val="1"/>
                <w:szCs w:val="1"/>
                <w:color w:val="auto"/>
              </w:rPr>
            </w:pPr>
          </w:p>
        </w:tc>
      </w:tr>
      <w:tr>
        <w:trPr>
          <w:trHeight w:val="322"/>
        </w:trPr>
        <w:tc>
          <w:tcPr>
            <w:tcW w:w="960" w:type="dxa"/>
            <w:vAlign w:val="bottom"/>
          </w:tcPr>
          <w:p>
            <w:pPr>
              <w:spacing w:after="0"/>
              <w:rPr>
                <w:sz w:val="24"/>
                <w:szCs w:val="24"/>
                <w:color w:val="auto"/>
              </w:rPr>
            </w:pPr>
          </w:p>
        </w:tc>
        <w:tc>
          <w:tcPr>
            <w:tcW w:w="4320" w:type="dxa"/>
            <w:vAlign w:val="bottom"/>
            <w:tcBorders>
              <w:bottom w:val="single" w:sz="8" w:color="0000FF"/>
            </w:tcBorders>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400"/>
              <w:spacing w:after="0"/>
              <w:rPr>
                <w:sz w:val="20"/>
                <w:szCs w:val="20"/>
                <w:color w:val="auto"/>
              </w:rPr>
            </w:pPr>
            <w:r>
              <w:rPr>
                <w:rFonts w:ascii="Arial" w:cs="Arial" w:eastAsia="Arial" w:hAnsi="Arial"/>
                <w:sz w:val="20"/>
                <w:szCs w:val="20"/>
                <w:b w:val="1"/>
                <w:bCs w:val="1"/>
                <w:color w:val="auto"/>
                <w:w w:val="86"/>
              </w:rPr>
              <w:t>10.9+</w:t>
            </w:r>
          </w:p>
        </w:tc>
        <w:tc>
          <w:tcPr>
            <w:tcW w:w="4040" w:type="dxa"/>
            <w:vAlign w:val="bottom"/>
            <w:tcBorders>
              <w:bottom w:val="single" w:sz="8" w:color="0000FF"/>
            </w:tcBorders>
            <w:gridSpan w:val="4"/>
          </w:tcPr>
          <w:p>
            <w:pPr>
              <w:spacing w:after="0" w:line="210" w:lineRule="exact"/>
              <w:rPr>
                <w:sz w:val="20"/>
                <w:szCs w:val="20"/>
                <w:color w:val="auto"/>
              </w:rPr>
            </w:pPr>
            <w:r>
              <w:rPr>
                <w:rFonts w:ascii="Arial" w:cs="Arial" w:eastAsia="Arial" w:hAnsi="Arial"/>
                <w:sz w:val="20"/>
                <w:szCs w:val="20"/>
                <w:b w:val="1"/>
                <w:bCs w:val="1"/>
                <w:color w:val="0000FF"/>
                <w:highlight w:val="white"/>
                <w:w w:val="83"/>
              </w:rPr>
              <w:t>between the Registrant and certain of its executive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960" w:type="dxa"/>
            <w:vAlign w:val="bottom"/>
            <w:vMerge w:val="continue"/>
          </w:tcPr>
          <w:p>
            <w:pPr>
              <w:spacing w:after="0"/>
              <w:rPr>
                <w:sz w:val="7"/>
                <w:szCs w:val="7"/>
                <w:color w:val="auto"/>
              </w:rPr>
            </w:pPr>
          </w:p>
        </w:tc>
        <w:tc>
          <w:tcPr>
            <w:tcW w:w="660" w:type="dxa"/>
            <w:vAlign w:val="bottom"/>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82"/>
              </w:rPr>
              <w:t>officers.</w:t>
            </w:r>
          </w:p>
        </w:tc>
        <w:tc>
          <w:tcPr>
            <w:tcW w:w="366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0"/>
                <w:szCs w:val="10"/>
                <w:color w:val="auto"/>
              </w:rPr>
            </w:pPr>
          </w:p>
        </w:tc>
        <w:tc>
          <w:tcPr>
            <w:tcW w:w="660" w:type="dxa"/>
            <w:vAlign w:val="bottom"/>
            <w:tcBorders>
              <w:bottom w:val="single" w:sz="8" w:color="0000FF"/>
            </w:tcBorders>
            <w:vMerge w:val="continue"/>
          </w:tcPr>
          <w:p>
            <w:pPr>
              <w:spacing w:after="0"/>
              <w:rPr>
                <w:sz w:val="10"/>
                <w:szCs w:val="10"/>
                <w:color w:val="auto"/>
              </w:rPr>
            </w:pPr>
          </w:p>
        </w:tc>
        <w:tc>
          <w:tcPr>
            <w:tcW w:w="3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800" w:type="dxa"/>
            <w:vAlign w:val="bottom"/>
            <w:gridSpan w:val="3"/>
          </w:tcPr>
          <w:p>
            <w:pPr>
              <w:ind w:left="300"/>
              <w:spacing w:after="0"/>
              <w:rPr>
                <w:sz w:val="20"/>
                <w:szCs w:val="20"/>
                <w:color w:val="auto"/>
              </w:rPr>
            </w:pPr>
            <w:r>
              <w:rPr>
                <w:rFonts w:ascii="Arial" w:cs="Arial" w:eastAsia="Arial" w:hAnsi="Arial"/>
                <w:sz w:val="14"/>
                <w:szCs w:val="14"/>
                <w:b w:val="1"/>
                <w:bCs w:val="1"/>
                <w:color w:val="auto"/>
                <w:highlight w:val="white"/>
              </w:rPr>
              <w:t xml:space="preserve">Incorporated </w:t>
            </w:r>
            <w:r>
              <w:rPr>
                <w:rFonts w:ascii="Arial" w:cs="Arial" w:eastAsia="Arial" w:hAnsi="Arial"/>
                <w:sz w:val="14"/>
                <w:szCs w:val="14"/>
                <w:b w:val="1"/>
                <w:bCs w:val="1"/>
                <w:u w:val="single" w:color="auto"/>
                <w:color w:val="auto"/>
                <w:highlight w:val="white"/>
              </w:rPr>
              <w:t>by</w:t>
            </w:r>
            <w:r>
              <w:rPr>
                <w:rFonts w:ascii="Arial" w:cs="Arial" w:eastAsia="Arial" w:hAnsi="Arial"/>
                <w:sz w:val="14"/>
                <w:szCs w:val="14"/>
                <w:b w:val="1"/>
                <w:bCs w:val="1"/>
                <w:color w:val="auto"/>
                <w:highlight w:val="white"/>
              </w:rPr>
              <w:t xml:space="preserve"> Refere</w:t>
            </w:r>
            <w:r>
              <w:rPr>
                <w:rFonts w:ascii="Arial" w:cs="Arial" w:eastAsia="Arial" w:hAnsi="Arial"/>
                <w:sz w:val="14"/>
                <w:szCs w:val="14"/>
                <w:b w:val="1"/>
                <w:bCs w:val="1"/>
                <w:u w:val="single" w:color="auto"/>
                <w:color w:val="auto"/>
                <w:highlight w:val="white"/>
              </w:rPr>
              <w:t>nce</w:t>
            </w:r>
          </w:p>
        </w:tc>
        <w:tc>
          <w:tcPr>
            <w:tcW w:w="680" w:type="dxa"/>
            <w:vAlign w:val="bottom"/>
          </w:tcPr>
          <w:p>
            <w:pPr>
              <w:spacing w:after="0"/>
              <w:rPr>
                <w:sz w:val="14"/>
                <w:szCs w:val="14"/>
                <w:color w:val="auto"/>
              </w:rPr>
            </w:pPr>
          </w:p>
        </w:tc>
      </w:tr>
      <w:tr>
        <w:trPr>
          <w:trHeight w:val="218"/>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680" w:type="dxa"/>
            <w:vAlign w:val="bottom"/>
          </w:tcPr>
          <w:p>
            <w:pPr>
              <w:jc w:val="center"/>
              <w:ind w:left="20"/>
              <w:spacing w:after="0"/>
              <w:rPr>
                <w:sz w:val="20"/>
                <w:szCs w:val="20"/>
                <w:color w:val="auto"/>
              </w:rPr>
            </w:pPr>
            <w:r>
              <w:rPr>
                <w:rFonts w:ascii="Arial" w:cs="Arial" w:eastAsia="Arial" w:hAnsi="Arial"/>
                <w:sz w:val="14"/>
                <w:szCs w:val="14"/>
                <w:b w:val="1"/>
                <w:bCs w:val="1"/>
                <w:color w:val="auto"/>
                <w:w w:val="91"/>
              </w:rPr>
              <w:t>Filed</w:t>
            </w:r>
          </w:p>
        </w:tc>
      </w:tr>
      <w:tr>
        <w:trPr>
          <w:trHeight w:val="228"/>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highlight w:val="white"/>
              </w:rPr>
              <w:t xml:space="preserve">File </w:t>
            </w:r>
            <w:r>
              <w:rPr>
                <w:rFonts w:ascii="Arial" w:cs="Arial" w:eastAsia="Arial" w:hAnsi="Arial"/>
                <w:sz w:val="14"/>
                <w:szCs w:val="14"/>
                <w:b w:val="1"/>
                <w:bCs w:val="1"/>
                <w:color w:val="auto"/>
              </w:rPr>
              <w:t>No.</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ind w:left="40"/>
              <w:spacing w:after="0"/>
              <w:rPr>
                <w:sz w:val="20"/>
                <w:szCs w:val="20"/>
                <w:color w:val="auto"/>
              </w:rPr>
            </w:pPr>
            <w:r>
              <w:rPr>
                <w:rFonts w:ascii="Arial" w:cs="Arial" w:eastAsia="Arial" w:hAnsi="Arial"/>
                <w:sz w:val="14"/>
                <w:szCs w:val="14"/>
                <w:b w:val="1"/>
                <w:bCs w:val="1"/>
                <w:color w:val="auto"/>
                <w:w w:val="94"/>
              </w:rPr>
              <w:t>Herewith</w:t>
            </w:r>
          </w:p>
        </w:tc>
      </w:tr>
      <w:tr>
        <w:trPr>
          <w:trHeight w:val="367"/>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92"/>
              </w:rPr>
              <w:t>8-K</w:t>
            </w:r>
          </w:p>
        </w:tc>
        <w:tc>
          <w:tcPr>
            <w:tcW w:w="1140" w:type="dxa"/>
            <w:vAlign w:val="bottom"/>
          </w:tcPr>
          <w:p>
            <w:pPr>
              <w:ind w:left="140"/>
              <w:spacing w:after="0"/>
              <w:rPr>
                <w:sz w:val="20"/>
                <w:szCs w:val="20"/>
                <w:color w:val="auto"/>
              </w:rPr>
            </w:pPr>
            <w:r>
              <w:rPr>
                <w:rFonts w:ascii="Arial" w:cs="Arial" w:eastAsia="Arial" w:hAnsi="Arial"/>
                <w:sz w:val="20"/>
                <w:szCs w:val="20"/>
                <w:b w:val="1"/>
                <w:bCs w:val="1"/>
                <w:color w:val="auto"/>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3.1</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2"/>
              </w:rPr>
              <w:t>2/11/2019</w:t>
            </w:r>
          </w:p>
        </w:tc>
        <w:tc>
          <w:tcPr>
            <w:tcW w:w="680" w:type="dxa"/>
            <w:vAlign w:val="bottom"/>
          </w:tcPr>
          <w:p>
            <w:pPr>
              <w:spacing w:after="0"/>
              <w:rPr>
                <w:sz w:val="24"/>
                <w:szCs w:val="24"/>
                <w:color w:val="auto"/>
              </w:rPr>
            </w:pPr>
          </w:p>
        </w:tc>
      </w:tr>
      <w:tr>
        <w:trPr>
          <w:trHeight w:val="410"/>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92"/>
              </w:rPr>
              <w:t>8-K</w:t>
            </w:r>
          </w:p>
        </w:tc>
        <w:tc>
          <w:tcPr>
            <w:tcW w:w="1140" w:type="dxa"/>
            <w:vAlign w:val="bottom"/>
          </w:tcPr>
          <w:p>
            <w:pPr>
              <w:ind w:left="140"/>
              <w:spacing w:after="0"/>
              <w:rPr>
                <w:sz w:val="20"/>
                <w:szCs w:val="20"/>
                <w:color w:val="auto"/>
              </w:rPr>
            </w:pPr>
            <w:r>
              <w:rPr>
                <w:rFonts w:ascii="Arial" w:cs="Arial" w:eastAsia="Arial" w:hAnsi="Arial"/>
                <w:sz w:val="20"/>
                <w:szCs w:val="20"/>
                <w:b w:val="1"/>
                <w:bCs w:val="1"/>
                <w:color w:val="auto"/>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3.1</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2"/>
              </w:rPr>
              <w:t>6/15/2023</w:t>
            </w:r>
          </w:p>
        </w:tc>
        <w:tc>
          <w:tcPr>
            <w:tcW w:w="680" w:type="dxa"/>
            <w:vAlign w:val="bottom"/>
          </w:tcPr>
          <w:p>
            <w:pPr>
              <w:spacing w:after="0"/>
              <w:rPr>
                <w:sz w:val="24"/>
                <w:szCs w:val="24"/>
                <w:color w:val="auto"/>
              </w:rPr>
            </w:pPr>
          </w:p>
        </w:tc>
      </w:tr>
      <w:tr>
        <w:trPr>
          <w:trHeight w:val="288"/>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3"/>
              </w:rPr>
              <w:t>S-1</w:t>
            </w:r>
          </w:p>
        </w:tc>
        <w:tc>
          <w:tcPr>
            <w:tcW w:w="1140" w:type="dxa"/>
            <w:vAlign w:val="bottom"/>
          </w:tcPr>
          <w:p>
            <w:pPr>
              <w:ind w:left="80"/>
              <w:spacing w:after="0"/>
              <w:rPr>
                <w:sz w:val="20"/>
                <w:szCs w:val="20"/>
                <w:color w:val="auto"/>
              </w:rPr>
            </w:pPr>
            <w:r>
              <w:rPr>
                <w:rFonts w:ascii="Arial" w:cs="Arial" w:eastAsia="Arial" w:hAnsi="Arial"/>
                <w:sz w:val="20"/>
                <w:szCs w:val="20"/>
                <w:b w:val="1"/>
                <w:bCs w:val="1"/>
                <w:color w:val="auto"/>
                <w:w w:val="97"/>
              </w:rPr>
              <w:t>333-229152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4.2</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1/7/2019</w:t>
            </w:r>
          </w:p>
        </w:tc>
        <w:tc>
          <w:tcPr>
            <w:tcW w:w="680" w:type="dxa"/>
            <w:vAlign w:val="bottom"/>
          </w:tcPr>
          <w:p>
            <w:pPr>
              <w:spacing w:after="0"/>
              <w:rPr>
                <w:sz w:val="24"/>
                <w:szCs w:val="24"/>
                <w:color w:val="auto"/>
              </w:rPr>
            </w:pPr>
          </w:p>
        </w:tc>
      </w:tr>
      <w:tr>
        <w:trPr>
          <w:trHeight w:val="288"/>
        </w:trPr>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center"/>
              <w:ind w:left="20"/>
              <w:spacing w:after="0"/>
              <w:rPr>
                <w:sz w:val="20"/>
                <w:szCs w:val="20"/>
                <w:color w:val="auto"/>
              </w:rPr>
            </w:pPr>
            <w:r>
              <w:rPr>
                <w:rFonts w:ascii="Arial" w:cs="Arial" w:eastAsia="Arial" w:hAnsi="Arial"/>
                <w:sz w:val="20"/>
                <w:szCs w:val="20"/>
                <w:b w:val="1"/>
                <w:bCs w:val="1"/>
                <w:color w:val="auto"/>
              </w:rPr>
              <w:t>X</w:t>
            </w:r>
          </w:p>
        </w:tc>
      </w:tr>
      <w:tr>
        <w:trPr>
          <w:trHeight w:val="434"/>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3"/>
              </w:rPr>
              <w:t>S-1</w:t>
            </w:r>
          </w:p>
        </w:tc>
        <w:tc>
          <w:tcPr>
            <w:tcW w:w="1780" w:type="dxa"/>
            <w:vAlign w:val="bottom"/>
            <w:gridSpan w:val="2"/>
          </w:tcPr>
          <w:p>
            <w:pPr>
              <w:ind w:left="80"/>
              <w:spacing w:after="0"/>
              <w:rPr>
                <w:sz w:val="20"/>
                <w:szCs w:val="20"/>
                <w:color w:val="auto"/>
              </w:rPr>
            </w:pPr>
            <w:r>
              <w:rPr>
                <w:rFonts w:ascii="Arial" w:cs="Arial" w:eastAsia="Arial" w:hAnsi="Arial"/>
                <w:sz w:val="20"/>
                <w:szCs w:val="20"/>
                <w:b w:val="1"/>
                <w:bCs w:val="1"/>
                <w:color w:val="auto"/>
              </w:rPr>
              <w:t>333-229152   10.1</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1/7/2019</w:t>
            </w:r>
          </w:p>
        </w:tc>
        <w:tc>
          <w:tcPr>
            <w:tcW w:w="680" w:type="dxa"/>
            <w:vAlign w:val="bottom"/>
          </w:tcPr>
          <w:p>
            <w:pPr>
              <w:spacing w:after="0"/>
              <w:rPr>
                <w:sz w:val="24"/>
                <w:szCs w:val="24"/>
                <w:color w:val="auto"/>
              </w:rPr>
            </w:pPr>
          </w:p>
        </w:tc>
      </w:tr>
      <w:tr>
        <w:trPr>
          <w:trHeight w:val="590"/>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3"/>
              </w:rPr>
              <w:t>S-1</w:t>
            </w:r>
          </w:p>
        </w:tc>
        <w:tc>
          <w:tcPr>
            <w:tcW w:w="1780" w:type="dxa"/>
            <w:vAlign w:val="bottom"/>
            <w:gridSpan w:val="2"/>
          </w:tcPr>
          <w:p>
            <w:pPr>
              <w:ind w:left="80"/>
              <w:spacing w:after="0"/>
              <w:rPr>
                <w:sz w:val="20"/>
                <w:szCs w:val="20"/>
                <w:color w:val="auto"/>
              </w:rPr>
            </w:pPr>
            <w:r>
              <w:rPr>
                <w:rFonts w:ascii="Arial" w:cs="Arial" w:eastAsia="Arial" w:hAnsi="Arial"/>
                <w:sz w:val="20"/>
                <w:szCs w:val="20"/>
                <w:b w:val="1"/>
                <w:bCs w:val="1"/>
                <w:color w:val="auto"/>
              </w:rPr>
              <w:t>333-229152   10.2</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1/7/2019</w:t>
            </w:r>
          </w:p>
        </w:tc>
        <w:tc>
          <w:tcPr>
            <w:tcW w:w="680" w:type="dxa"/>
            <w:vAlign w:val="bottom"/>
          </w:tcPr>
          <w:p>
            <w:pPr>
              <w:spacing w:after="0"/>
              <w:rPr>
                <w:sz w:val="24"/>
                <w:szCs w:val="24"/>
                <w:color w:val="auto"/>
              </w:rPr>
            </w:pPr>
          </w:p>
        </w:tc>
      </w:tr>
      <w:tr>
        <w:trPr>
          <w:trHeight w:val="653"/>
        </w:trPr>
        <w:tc>
          <w:tcPr>
            <w:tcW w:w="540" w:type="dxa"/>
            <w:vAlign w:val="bottom"/>
          </w:tcPr>
          <w:p>
            <w:pPr>
              <w:jc w:val="center"/>
              <w:ind w:right="3"/>
              <w:spacing w:after="0"/>
              <w:rPr>
                <w:sz w:val="20"/>
                <w:szCs w:val="20"/>
                <w:color w:val="auto"/>
              </w:rPr>
            </w:pPr>
            <w:r>
              <w:rPr>
                <w:rFonts w:ascii="Arial" w:cs="Arial" w:eastAsia="Arial" w:hAnsi="Arial"/>
                <w:sz w:val="20"/>
                <w:szCs w:val="20"/>
                <w:b w:val="1"/>
                <w:bCs w:val="1"/>
                <w:color w:val="auto"/>
                <w:w w:val="92"/>
              </w:rPr>
              <w:t>10-K</w:t>
            </w:r>
          </w:p>
        </w:tc>
        <w:tc>
          <w:tcPr>
            <w:tcW w:w="1780" w:type="dxa"/>
            <w:vAlign w:val="bottom"/>
            <w:gridSpan w:val="2"/>
          </w:tcPr>
          <w:p>
            <w:pPr>
              <w:ind w:left="120"/>
              <w:spacing w:after="0"/>
              <w:rPr>
                <w:sz w:val="20"/>
                <w:szCs w:val="20"/>
                <w:color w:val="auto"/>
              </w:rPr>
            </w:pPr>
            <w:r>
              <w:rPr>
                <w:rFonts w:ascii="Arial" w:cs="Arial" w:eastAsia="Arial" w:hAnsi="Arial"/>
                <w:sz w:val="20"/>
                <w:szCs w:val="20"/>
                <w:b w:val="1"/>
                <w:bCs w:val="1"/>
                <w:color w:val="auto"/>
                <w:highlight w:val="white"/>
              </w:rPr>
              <w:t xml:space="preserve">001-38792   </w:t>
            </w:r>
            <w:r>
              <w:rPr>
                <w:rFonts w:ascii="Arial" w:cs="Arial" w:eastAsia="Arial" w:hAnsi="Arial"/>
                <w:sz w:val="20"/>
                <w:szCs w:val="20"/>
                <w:b w:val="1"/>
                <w:bCs w:val="1"/>
                <w:color w:val="auto"/>
              </w:rPr>
              <w:t>10.3</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2"/>
              </w:rPr>
              <w:t>2/27/2024</w:t>
            </w:r>
          </w:p>
        </w:tc>
        <w:tc>
          <w:tcPr>
            <w:tcW w:w="680" w:type="dxa"/>
            <w:vAlign w:val="bottom"/>
          </w:tcPr>
          <w:p>
            <w:pPr>
              <w:spacing w:after="0"/>
              <w:rPr>
                <w:sz w:val="24"/>
                <w:szCs w:val="24"/>
                <w:color w:val="auto"/>
              </w:rPr>
            </w:pPr>
          </w:p>
        </w:tc>
      </w:tr>
      <w:tr>
        <w:trPr>
          <w:trHeight w:val="571"/>
        </w:trPr>
        <w:tc>
          <w:tcPr>
            <w:tcW w:w="540" w:type="dxa"/>
            <w:vAlign w:val="bottom"/>
          </w:tcPr>
          <w:p>
            <w:pPr>
              <w:jc w:val="center"/>
              <w:ind w:right="3"/>
              <w:spacing w:after="0"/>
              <w:rPr>
                <w:sz w:val="20"/>
                <w:szCs w:val="20"/>
                <w:color w:val="auto"/>
              </w:rPr>
            </w:pPr>
            <w:r>
              <w:rPr>
                <w:rFonts w:ascii="Arial" w:cs="Arial" w:eastAsia="Arial" w:hAnsi="Arial"/>
                <w:sz w:val="20"/>
                <w:szCs w:val="20"/>
                <w:b w:val="1"/>
                <w:bCs w:val="1"/>
                <w:color w:val="auto"/>
                <w:w w:val="92"/>
              </w:rPr>
              <w:t>10-K</w:t>
            </w:r>
          </w:p>
        </w:tc>
        <w:tc>
          <w:tcPr>
            <w:tcW w:w="1780" w:type="dxa"/>
            <w:vAlign w:val="bottom"/>
            <w:gridSpan w:val="2"/>
          </w:tcPr>
          <w:p>
            <w:pPr>
              <w:ind w:left="120"/>
              <w:spacing w:after="0"/>
              <w:rPr>
                <w:sz w:val="20"/>
                <w:szCs w:val="20"/>
                <w:color w:val="auto"/>
              </w:rPr>
            </w:pPr>
            <w:r>
              <w:rPr>
                <w:rFonts w:ascii="Arial" w:cs="Arial" w:eastAsia="Arial" w:hAnsi="Arial"/>
                <w:sz w:val="20"/>
                <w:szCs w:val="20"/>
                <w:b w:val="1"/>
                <w:bCs w:val="1"/>
                <w:color w:val="auto"/>
                <w:highlight w:val="white"/>
              </w:rPr>
              <w:t xml:space="preserve">001-38792   </w:t>
            </w:r>
            <w:r>
              <w:rPr>
                <w:rFonts w:ascii="Arial" w:cs="Arial" w:eastAsia="Arial" w:hAnsi="Arial"/>
                <w:sz w:val="20"/>
                <w:szCs w:val="20"/>
                <w:b w:val="1"/>
                <w:bCs w:val="1"/>
                <w:color w:val="auto"/>
              </w:rPr>
              <w:t>10.4</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2"/>
              </w:rPr>
              <w:t>2/27/2024</w:t>
            </w:r>
          </w:p>
        </w:tc>
        <w:tc>
          <w:tcPr>
            <w:tcW w:w="680" w:type="dxa"/>
            <w:vAlign w:val="bottom"/>
          </w:tcPr>
          <w:p>
            <w:pPr>
              <w:spacing w:after="0"/>
              <w:rPr>
                <w:sz w:val="24"/>
                <w:szCs w:val="24"/>
                <w:color w:val="auto"/>
              </w:rPr>
            </w:pPr>
          </w:p>
        </w:tc>
      </w:tr>
      <w:tr>
        <w:trPr>
          <w:trHeight w:val="569"/>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92"/>
              </w:rPr>
              <w:t>8-K</w:t>
            </w:r>
          </w:p>
        </w:tc>
        <w:tc>
          <w:tcPr>
            <w:tcW w:w="1780" w:type="dxa"/>
            <w:vAlign w:val="bottom"/>
            <w:gridSpan w:val="2"/>
          </w:tcPr>
          <w:p>
            <w:pPr>
              <w:ind w:left="80"/>
              <w:spacing w:after="0"/>
              <w:rPr>
                <w:sz w:val="20"/>
                <w:szCs w:val="20"/>
                <w:color w:val="auto"/>
              </w:rPr>
            </w:pPr>
            <w:r>
              <w:rPr>
                <w:rFonts w:ascii="Arial" w:cs="Arial" w:eastAsia="Arial" w:hAnsi="Arial"/>
                <w:sz w:val="20"/>
                <w:szCs w:val="20"/>
                <w:b w:val="1"/>
                <w:bCs w:val="1"/>
                <w:color w:val="auto"/>
              </w:rPr>
              <w:t>333-229152   10.1</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1"/>
              </w:rPr>
              <w:t>1//3/2022</w:t>
            </w:r>
          </w:p>
        </w:tc>
        <w:tc>
          <w:tcPr>
            <w:tcW w:w="680" w:type="dxa"/>
            <w:vAlign w:val="bottom"/>
          </w:tcPr>
          <w:p>
            <w:pPr>
              <w:spacing w:after="0"/>
              <w:rPr>
                <w:sz w:val="24"/>
                <w:szCs w:val="24"/>
                <w:color w:val="auto"/>
              </w:rPr>
            </w:pPr>
          </w:p>
        </w:tc>
      </w:tr>
      <w:tr>
        <w:trPr>
          <w:trHeight w:val="653"/>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9"/>
              </w:rPr>
              <w:t>S-1/A</w:t>
            </w:r>
          </w:p>
        </w:tc>
        <w:tc>
          <w:tcPr>
            <w:tcW w:w="2800" w:type="dxa"/>
            <w:vAlign w:val="bottom"/>
            <w:gridSpan w:val="3"/>
          </w:tcPr>
          <w:p>
            <w:pPr>
              <w:ind w:left="80"/>
              <w:spacing w:after="0"/>
              <w:rPr>
                <w:sz w:val="20"/>
                <w:szCs w:val="20"/>
                <w:color w:val="auto"/>
              </w:rPr>
            </w:pPr>
            <w:r>
              <w:rPr>
                <w:rFonts w:ascii="Arial" w:cs="Arial" w:eastAsia="Arial" w:hAnsi="Arial"/>
                <w:sz w:val="20"/>
                <w:szCs w:val="20"/>
                <w:b w:val="1"/>
                <w:bCs w:val="1"/>
                <w:color w:val="auto"/>
              </w:rPr>
              <w:t>333-229152   10.5   1/29/2019</w:t>
            </w:r>
          </w:p>
        </w:tc>
        <w:tc>
          <w:tcPr>
            <w:tcW w:w="680" w:type="dxa"/>
            <w:vAlign w:val="bottom"/>
          </w:tcPr>
          <w:p>
            <w:pPr>
              <w:spacing w:after="0"/>
              <w:rPr>
                <w:sz w:val="24"/>
                <w:szCs w:val="24"/>
                <w:color w:val="auto"/>
              </w:rPr>
            </w:pPr>
          </w:p>
        </w:tc>
      </w:tr>
      <w:tr>
        <w:trPr>
          <w:trHeight w:val="535"/>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3"/>
              </w:rPr>
              <w:t>S-1</w:t>
            </w:r>
          </w:p>
        </w:tc>
        <w:tc>
          <w:tcPr>
            <w:tcW w:w="1140" w:type="dxa"/>
            <w:vAlign w:val="bottom"/>
          </w:tcPr>
          <w:p>
            <w:pPr>
              <w:ind w:left="80"/>
              <w:spacing w:after="0"/>
              <w:rPr>
                <w:sz w:val="20"/>
                <w:szCs w:val="20"/>
                <w:color w:val="auto"/>
              </w:rPr>
            </w:pPr>
            <w:r>
              <w:rPr>
                <w:rFonts w:ascii="Arial" w:cs="Arial" w:eastAsia="Arial" w:hAnsi="Arial"/>
                <w:sz w:val="20"/>
                <w:szCs w:val="20"/>
                <w:b w:val="1"/>
                <w:bCs w:val="1"/>
                <w:color w:val="auto"/>
                <w:w w:val="97"/>
              </w:rPr>
              <w:t>333-229152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10.10</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1/7/2019</w:t>
            </w:r>
          </w:p>
        </w:tc>
        <w:tc>
          <w:tcPr>
            <w:tcW w:w="680" w:type="dxa"/>
            <w:vAlign w:val="bottom"/>
          </w:tcPr>
          <w:p>
            <w:pPr>
              <w:spacing w:after="0"/>
              <w:rPr>
                <w:sz w:val="24"/>
                <w:szCs w:val="24"/>
                <w:color w:val="auto"/>
              </w:rPr>
            </w:pPr>
          </w:p>
        </w:tc>
      </w:tr>
      <w:tr>
        <w:trPr>
          <w:trHeight w:val="420"/>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94"/>
              </w:rPr>
              <w:t>10-Q</w:t>
            </w:r>
          </w:p>
        </w:tc>
        <w:tc>
          <w:tcPr>
            <w:tcW w:w="1140" w:type="dxa"/>
            <w:vAlign w:val="bottom"/>
          </w:tcPr>
          <w:p>
            <w:pPr>
              <w:ind w:left="120"/>
              <w:spacing w:after="0"/>
              <w:rPr>
                <w:sz w:val="20"/>
                <w:szCs w:val="20"/>
                <w:color w:val="auto"/>
              </w:rPr>
            </w:pPr>
            <w:r>
              <w:rPr>
                <w:rFonts w:ascii="Arial" w:cs="Arial" w:eastAsia="Arial" w:hAnsi="Arial"/>
                <w:sz w:val="20"/>
                <w:szCs w:val="20"/>
                <w:b w:val="1"/>
                <w:bCs w:val="1"/>
                <w:color w:val="auto"/>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2"/>
              </w:rPr>
              <w:t>10.1</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8/7/2025</w:t>
            </w:r>
          </w:p>
        </w:tc>
        <w:tc>
          <w:tcPr>
            <w:tcW w:w="680" w:type="dxa"/>
            <w:vAlign w:val="bottom"/>
          </w:tcPr>
          <w:p>
            <w:pPr>
              <w:spacing w:after="0"/>
              <w:rPr>
                <w:sz w:val="24"/>
                <w:szCs w:val="24"/>
                <w:color w:val="auto"/>
              </w:rPr>
            </w:pPr>
          </w:p>
        </w:tc>
      </w:tr>
      <w:tr>
        <w:trPr>
          <w:trHeight w:val="653"/>
        </w:trPr>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83"/>
              </w:rPr>
              <w:t>S-1</w:t>
            </w:r>
          </w:p>
        </w:tc>
        <w:tc>
          <w:tcPr>
            <w:tcW w:w="1140" w:type="dxa"/>
            <w:vAlign w:val="bottom"/>
          </w:tcPr>
          <w:p>
            <w:pPr>
              <w:ind w:left="80"/>
              <w:spacing w:after="0"/>
              <w:rPr>
                <w:sz w:val="20"/>
                <w:szCs w:val="20"/>
                <w:color w:val="auto"/>
              </w:rPr>
            </w:pPr>
            <w:r>
              <w:rPr>
                <w:rFonts w:ascii="Arial" w:cs="Arial" w:eastAsia="Arial" w:hAnsi="Arial"/>
                <w:sz w:val="20"/>
                <w:szCs w:val="20"/>
                <w:b w:val="1"/>
                <w:bCs w:val="1"/>
                <w:color w:val="auto"/>
                <w:w w:val="97"/>
              </w:rPr>
              <w:t>333-229152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highlight w:val="white"/>
                <w:w w:val="87"/>
              </w:rPr>
              <w:t>10.12</w:t>
            </w: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highlight w:val="white"/>
                <w:w w:val="89"/>
              </w:rPr>
              <w:t>1/7/2019</w:t>
            </w:r>
          </w:p>
        </w:tc>
        <w:tc>
          <w:tcPr>
            <w:tcW w:w="680" w:type="dxa"/>
            <w:vAlign w:val="bottom"/>
          </w:tcPr>
          <w:p>
            <w:pPr>
              <w:spacing w:after="0"/>
              <w:rPr>
                <w:sz w:val="24"/>
                <w:szCs w:val="24"/>
                <w:color w:val="auto"/>
              </w:rPr>
            </w:pPr>
          </w:p>
        </w:tc>
      </w:tr>
    </w:tbl>
    <w:p>
      <w:pPr>
        <w:spacing w:after="0" w:line="336" w:lineRule="exact"/>
        <w:rPr>
          <w:sz w:val="20"/>
          <w:szCs w:val="20"/>
          <w:color w:val="auto"/>
        </w:rPr>
      </w:pPr>
    </w:p>
    <w:p>
      <w:pPr>
        <w:sectPr>
          <w:pgSz w:w="12240" w:h="15840" w:orient="portrait"/>
          <w:cols w:equalWidth="0" w:num="2">
            <w:col w:w="5680" w:space="80"/>
            <w:col w:w="4160"/>
          </w:cols>
          <w:pgMar w:left="1440" w:top="1151" w:right="880" w:bottom="181"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130</w:t>
      </w:r>
    </w:p>
    <w:p>
      <w:pPr>
        <w:sectPr>
          <w:pgSz w:w="12240" w:h="15840" w:orient="portrait"/>
          <w:cols w:equalWidth="0" w:num="1">
            <w:col w:w="9920"/>
          </w:cols>
          <w:pgMar w:left="1440" w:top="1151" w:right="880" w:bottom="181" w:gutter="0" w:footer="0" w:header="0"/>
          <w:type w:val="continuous"/>
        </w:sectPr>
      </w:pPr>
    </w:p>
    <w:bookmarkStart w:id="132" w:name="page133"/>
    <w:bookmarkEnd w:id="132"/>
    <w:tbl>
      <w:tblPr>
        <w:tblLayout w:type="fixed"/>
        <w:tblInd w:w="80" w:type="dxa"/>
        <w:tblCellMar>
          <w:top w:w="0" w:type="dxa"/>
          <w:left w:w="0" w:type="dxa"/>
          <w:bottom w:w="0" w:type="dxa"/>
          <w:right w:w="0" w:type="dxa"/>
        </w:tblCellMar>
      </w:tblPr>
      <w:tr>
        <w:trPr>
          <w:trHeight w:val="230"/>
        </w:trPr>
        <w:tc>
          <w:tcPr>
            <w:tcW w:w="700" w:type="dxa"/>
            <w:vAlign w:val="bottom"/>
            <w:vMerge w:val="restart"/>
          </w:tcPr>
          <w:p>
            <w:pPr>
              <w:jc w:val="right"/>
              <w:ind w:right="160"/>
              <w:spacing w:after="0"/>
              <w:rPr>
                <w:sz w:val="20"/>
                <w:szCs w:val="20"/>
                <w:color w:val="auto"/>
              </w:rPr>
            </w:pPr>
            <w:r>
              <w:rPr>
                <w:rFonts w:ascii="Arial" w:cs="Arial" w:eastAsia="Arial" w:hAnsi="Arial"/>
                <w:sz w:val="20"/>
                <w:szCs w:val="20"/>
                <w:b w:val="1"/>
                <w:bCs w:val="1"/>
                <w:color w:val="auto"/>
                <w:highlight w:val="white"/>
                <w:w w:val="83"/>
              </w:rPr>
              <w:t>10.10</w:t>
            </w:r>
          </w:p>
        </w:tc>
        <w:tc>
          <w:tcPr>
            <w:tcW w:w="4740" w:type="dxa"/>
            <w:vAlign w:val="bottom"/>
          </w:tcPr>
          <w:p>
            <w:pPr>
              <w:ind w:left="260"/>
              <w:spacing w:after="0"/>
              <w:rPr>
                <w:sz w:val="20"/>
                <w:szCs w:val="20"/>
                <w:color w:val="auto"/>
              </w:rPr>
            </w:pPr>
            <w:r>
              <w:rPr>
                <w:rFonts w:ascii="Arial" w:cs="Arial" w:eastAsia="Arial" w:hAnsi="Arial"/>
                <w:sz w:val="20"/>
                <w:szCs w:val="20"/>
                <w:b w:val="1"/>
                <w:bCs w:val="1"/>
                <w:u w:val="single" w:color="auto"/>
                <w:color w:val="0000FF"/>
                <w:highlight w:val="white"/>
                <w:w w:val="85"/>
              </w:rPr>
              <w:t>Lease between the Registrant and HCP Oyster Point III,</w:t>
            </w: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20"/>
                <w:szCs w:val="20"/>
                <w:color w:val="auto"/>
              </w:rPr>
            </w:pPr>
          </w:p>
        </w:tc>
        <w:tc>
          <w:tcPr>
            <w:tcW w:w="4740" w:type="dxa"/>
            <w:vAlign w:val="bottom"/>
          </w:tcPr>
          <w:p>
            <w:pPr>
              <w:ind w:left="260"/>
              <w:spacing w:after="0"/>
              <w:rPr>
                <w:sz w:val="20"/>
                <w:szCs w:val="20"/>
                <w:color w:val="auto"/>
              </w:rPr>
            </w:pPr>
            <w:r>
              <w:rPr>
                <w:rFonts w:ascii="Arial" w:cs="Arial" w:eastAsia="Arial" w:hAnsi="Arial"/>
                <w:sz w:val="20"/>
                <w:szCs w:val="20"/>
                <w:b w:val="1"/>
                <w:bCs w:val="1"/>
                <w:u w:val="single" w:color="auto"/>
                <w:color w:val="0000FF"/>
                <w:highlight w:val="white"/>
              </w:rPr>
              <w:t>LLC, dated June 27, 2018.</w:t>
            </w:r>
          </w:p>
        </w:tc>
        <w:tc>
          <w:tcPr>
            <w:tcW w:w="0" w:type="dxa"/>
            <w:vAlign w:val="bottom"/>
          </w:tcPr>
          <w:p>
            <w:pPr>
              <w:spacing w:after="0"/>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927735</wp:posOffset>
            </wp:positionH>
            <wp:positionV relativeFrom="page">
              <wp:posOffset>717550</wp:posOffset>
            </wp:positionV>
            <wp:extent cx="6282690" cy="8695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2690" cy="86956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4440" w:type="dxa"/>
            <w:vAlign w:val="bottom"/>
            <w:tcBorders>
              <w:bottom w:val="single" w:sz="8" w:color="0000FF"/>
            </w:tcBorders>
            <w:gridSpan w:val="14"/>
          </w:tcPr>
          <w:p>
            <w:pPr>
              <w:spacing w:after="0"/>
              <w:rPr>
                <w:sz w:val="20"/>
                <w:szCs w:val="20"/>
                <w:color w:val="auto"/>
              </w:rPr>
            </w:pPr>
            <w:r>
              <w:rPr>
                <w:rFonts w:ascii="Arial" w:cs="Arial" w:eastAsia="Arial" w:hAnsi="Arial"/>
                <w:sz w:val="20"/>
                <w:szCs w:val="20"/>
                <w:b w:val="1"/>
                <w:bCs w:val="1"/>
                <w:color w:val="0000FF"/>
                <w:highlight w:val="white"/>
                <w:w w:val="84"/>
              </w:rPr>
              <w:t>Third Amended and Restated Collaboration Agreement</w:t>
            </w:r>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10.11#</w:t>
            </w:r>
          </w:p>
        </w:tc>
        <w:tc>
          <w:tcPr>
            <w:tcW w:w="4600" w:type="dxa"/>
            <w:vAlign w:val="bottom"/>
            <w:tcBorders>
              <w:bottom w:val="single" w:sz="8" w:color="0000FF"/>
            </w:tcBorders>
            <w:gridSpan w:val="20"/>
          </w:tcPr>
          <w:p>
            <w:pPr>
              <w:spacing w:after="0" w:line="210" w:lineRule="exact"/>
              <w:rPr>
                <w:sz w:val="20"/>
                <w:szCs w:val="20"/>
                <w:color w:val="auto"/>
              </w:rPr>
            </w:pPr>
            <w:r>
              <w:rPr>
                <w:rFonts w:ascii="Arial" w:cs="Arial" w:eastAsia="Arial" w:hAnsi="Arial"/>
                <w:sz w:val="20"/>
                <w:szCs w:val="20"/>
                <w:b w:val="1"/>
                <w:bCs w:val="1"/>
                <w:color w:val="0000FF"/>
                <w:highlight w:val="white"/>
                <w:w w:val="83"/>
              </w:rPr>
              <w:t>between the Registrant and Adimab, dated September 19,</w:t>
            </w:r>
          </w:p>
        </w:tc>
        <w:tc>
          <w:tcPr>
            <w:tcW w:w="0" w:type="dxa"/>
            <w:vAlign w:val="bottom"/>
          </w:tcPr>
          <w:p>
            <w:pPr>
              <w:spacing w:after="0"/>
              <w:rPr>
                <w:sz w:val="1"/>
                <w:szCs w:val="1"/>
                <w:color w:val="auto"/>
              </w:rPr>
            </w:pPr>
          </w:p>
        </w:tc>
      </w:tr>
      <w:tr>
        <w:trPr>
          <w:trHeight w:val="86"/>
        </w:trPr>
        <w:tc>
          <w:tcPr>
            <w:tcW w:w="960" w:type="dxa"/>
            <w:vAlign w:val="bottom"/>
            <w:vMerge w:val="continue"/>
          </w:tcPr>
          <w:p>
            <w:pPr>
              <w:spacing w:after="0"/>
              <w:rPr>
                <w:sz w:val="7"/>
                <w:szCs w:val="7"/>
                <w:color w:val="auto"/>
              </w:rPr>
            </w:pPr>
          </w:p>
        </w:tc>
        <w:tc>
          <w:tcPr>
            <w:tcW w:w="4600" w:type="dxa"/>
            <w:vAlign w:val="bottom"/>
            <w:gridSpan w:val="20"/>
            <w:vMerge w:val="restart"/>
          </w:tcPr>
          <w:p>
            <w:pPr>
              <w:spacing w:after="0" w:line="210" w:lineRule="exact"/>
              <w:rPr>
                <w:sz w:val="20"/>
                <w:szCs w:val="20"/>
                <w:color w:val="auto"/>
              </w:rPr>
            </w:pPr>
            <w:r>
              <w:rPr>
                <w:rFonts w:ascii="Arial" w:cs="Arial" w:eastAsia="Arial" w:hAnsi="Arial"/>
                <w:sz w:val="20"/>
                <w:szCs w:val="20"/>
                <w:b w:val="1"/>
                <w:bCs w:val="1"/>
                <w:color w:val="0000FF"/>
                <w:highlight w:val="white"/>
              </w:rPr>
              <w:t>2016, as amended.</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60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960" w:type="dxa"/>
            <w:vAlign w:val="bottom"/>
          </w:tcPr>
          <w:p>
            <w:pPr>
              <w:spacing w:after="0"/>
              <w:rPr>
                <w:sz w:val="24"/>
                <w:szCs w:val="24"/>
                <w:color w:val="auto"/>
              </w:rPr>
            </w:pPr>
          </w:p>
        </w:tc>
        <w:tc>
          <w:tcPr>
            <w:tcW w:w="4600" w:type="dxa"/>
            <w:vAlign w:val="bottom"/>
            <w:gridSpan w:val="20"/>
          </w:tcPr>
          <w:p>
            <w:pPr>
              <w:spacing w:after="0"/>
              <w:rPr>
                <w:sz w:val="20"/>
                <w:szCs w:val="20"/>
                <w:color w:val="auto"/>
              </w:rPr>
            </w:pPr>
            <w:r>
              <w:rPr>
                <w:rFonts w:ascii="Arial" w:cs="Arial" w:eastAsia="Arial" w:hAnsi="Arial"/>
                <w:sz w:val="20"/>
                <w:szCs w:val="20"/>
                <w:b w:val="1"/>
                <w:bCs w:val="1"/>
                <w:color w:val="0000FF"/>
                <w:w w:val="93"/>
              </w:rPr>
              <w:t>Collaboration and License Agreement, dated July 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10.12#</w:t>
            </w:r>
          </w:p>
        </w:tc>
        <w:tc>
          <w:tcPr>
            <w:tcW w:w="4600" w:type="dxa"/>
            <w:vAlign w:val="bottom"/>
            <w:gridSpan w:val="20"/>
          </w:tcPr>
          <w:p>
            <w:pPr>
              <w:spacing w:after="0" w:line="208" w:lineRule="exact"/>
              <w:rPr>
                <w:sz w:val="20"/>
                <w:szCs w:val="20"/>
                <w:color w:val="auto"/>
              </w:rPr>
            </w:pPr>
            <w:r>
              <w:rPr>
                <w:rFonts w:ascii="Arial" w:cs="Arial" w:eastAsia="Arial" w:hAnsi="Arial"/>
                <w:sz w:val="20"/>
                <w:szCs w:val="20"/>
                <w:b w:val="1"/>
                <w:bCs w:val="1"/>
                <w:color w:val="0000FF"/>
                <w:highlight w:val="white"/>
                <w:w w:val="88"/>
              </w:rPr>
              <w:t>2021, by and between Glaxo Wellcome UK Limited and</w:t>
            </w:r>
          </w:p>
        </w:tc>
        <w:tc>
          <w:tcPr>
            <w:tcW w:w="0" w:type="dxa"/>
            <w:vAlign w:val="bottom"/>
          </w:tcPr>
          <w:p>
            <w:pPr>
              <w:spacing w:after="0"/>
              <w:rPr>
                <w:sz w:val="1"/>
                <w:szCs w:val="1"/>
                <w:color w:val="auto"/>
              </w:rPr>
            </w:pPr>
          </w:p>
        </w:tc>
      </w:tr>
      <w:tr>
        <w:trPr>
          <w:trHeight w:val="86"/>
        </w:trPr>
        <w:tc>
          <w:tcPr>
            <w:tcW w:w="960" w:type="dxa"/>
            <w:vAlign w:val="bottom"/>
            <w:vMerge w:val="continue"/>
          </w:tcPr>
          <w:p>
            <w:pPr>
              <w:spacing w:after="0"/>
              <w:rPr>
                <w:sz w:val="7"/>
                <w:szCs w:val="7"/>
                <w:color w:val="auto"/>
              </w:rPr>
            </w:pPr>
          </w:p>
        </w:tc>
        <w:tc>
          <w:tcPr>
            <w:tcW w:w="4520" w:type="dxa"/>
            <w:vAlign w:val="bottom"/>
            <w:tcBorders>
              <w:top w:val="single" w:sz="8" w:color="0000FF"/>
            </w:tcBorders>
            <w:gridSpan w:val="16"/>
            <w:vMerge w:val="restart"/>
          </w:tcPr>
          <w:p>
            <w:pPr>
              <w:spacing w:after="0" w:line="210" w:lineRule="exact"/>
              <w:rPr>
                <w:sz w:val="20"/>
                <w:szCs w:val="20"/>
                <w:color w:val="auto"/>
              </w:rPr>
            </w:pPr>
            <w:r>
              <w:rPr>
                <w:rFonts w:ascii="Arial" w:cs="Arial" w:eastAsia="Arial" w:hAnsi="Arial"/>
                <w:sz w:val="20"/>
                <w:szCs w:val="20"/>
                <w:b w:val="1"/>
                <w:bCs w:val="1"/>
                <w:color w:val="0000FF"/>
                <w:highlight w:val="white"/>
              </w:rPr>
              <w:t>Alector, Inc.</w:t>
            </w:r>
          </w:p>
        </w:tc>
        <w:tc>
          <w:tcPr>
            <w:tcW w:w="8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520" w:type="dxa"/>
            <w:vAlign w:val="bottom"/>
            <w:gridSpan w:val="16"/>
            <w:vMerge w:val="continue"/>
          </w:tcPr>
          <w:p>
            <w:pPr>
              <w:spacing w:after="0"/>
              <w:rPr>
                <w:sz w:val="10"/>
                <w:szCs w:val="10"/>
                <w:color w:val="auto"/>
              </w:rPr>
            </w:pPr>
          </w:p>
        </w:tc>
        <w:tc>
          <w:tcPr>
            <w:tcW w:w="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960" w:type="dxa"/>
            <w:vAlign w:val="bottom"/>
          </w:tcPr>
          <w:p>
            <w:pPr>
              <w:spacing w:after="0"/>
              <w:rPr>
                <w:sz w:val="24"/>
                <w:szCs w:val="24"/>
                <w:color w:val="auto"/>
              </w:rPr>
            </w:pPr>
          </w:p>
        </w:tc>
        <w:tc>
          <w:tcPr>
            <w:tcW w:w="4600" w:type="dxa"/>
            <w:vAlign w:val="bottom"/>
            <w:gridSpan w:val="20"/>
          </w:tcPr>
          <w:p>
            <w:pPr>
              <w:spacing w:after="0"/>
              <w:rPr>
                <w:sz w:val="20"/>
                <w:szCs w:val="20"/>
                <w:color w:val="auto"/>
              </w:rPr>
            </w:pPr>
            <w:r>
              <w:rPr>
                <w:rFonts w:ascii="Arial" w:cs="Arial" w:eastAsia="Arial" w:hAnsi="Arial"/>
                <w:sz w:val="20"/>
                <w:szCs w:val="20"/>
                <w:b w:val="1"/>
                <w:bCs w:val="1"/>
                <w:color w:val="0000FF"/>
                <w:highlight w:val="white"/>
                <w:w w:val="86"/>
              </w:rPr>
              <w:t>Letter Agreement Amending the 2021 Collaboration and</w:t>
            </w:r>
          </w:p>
        </w:tc>
        <w:tc>
          <w:tcPr>
            <w:tcW w:w="0" w:type="dxa"/>
            <w:vAlign w:val="bottom"/>
          </w:tcPr>
          <w:p>
            <w:pPr>
              <w:spacing w:after="0"/>
              <w:rPr>
                <w:sz w:val="1"/>
                <w:szCs w:val="1"/>
                <w:color w:val="auto"/>
              </w:rPr>
            </w:pPr>
          </w:p>
        </w:tc>
      </w:tr>
      <w:tr>
        <w:trPr>
          <w:trHeight w:val="208"/>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10.13#</w:t>
            </w:r>
          </w:p>
        </w:tc>
        <w:tc>
          <w:tcPr>
            <w:tcW w:w="4320" w:type="dxa"/>
            <w:vAlign w:val="bottom"/>
            <w:tcBorders>
              <w:top w:val="single" w:sz="8" w:color="0000FF"/>
              <w:bottom w:val="single" w:sz="8" w:color="0000FF"/>
            </w:tcBorders>
            <w:gridSpan w:val="11"/>
          </w:tcPr>
          <w:p>
            <w:pPr>
              <w:spacing w:after="0" w:line="208" w:lineRule="exact"/>
              <w:rPr>
                <w:sz w:val="20"/>
                <w:szCs w:val="20"/>
                <w:color w:val="auto"/>
              </w:rPr>
            </w:pPr>
            <w:r>
              <w:rPr>
                <w:rFonts w:ascii="Arial" w:cs="Arial" w:eastAsia="Arial" w:hAnsi="Arial"/>
                <w:sz w:val="20"/>
                <w:szCs w:val="20"/>
                <w:b w:val="1"/>
                <w:bCs w:val="1"/>
                <w:color w:val="0000FF"/>
                <w:highlight w:val="white"/>
                <w:w w:val="83"/>
              </w:rPr>
              <w:t>License Agreement between the Registrant and Glaxo</w:t>
            </w:r>
          </w:p>
        </w:tc>
        <w:tc>
          <w:tcPr>
            <w:tcW w:w="220" w:type="dxa"/>
            <w:vAlign w:val="bottom"/>
            <w:tcBorders>
              <w:top w:val="single" w:sz="8" w:color="0000FF"/>
            </w:tcBorders>
            <w:gridSpan w:val="6"/>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960" w:type="dxa"/>
            <w:vAlign w:val="bottom"/>
            <w:vMerge w:val="continue"/>
          </w:tcPr>
          <w:p>
            <w:pPr>
              <w:spacing w:after="0"/>
              <w:rPr>
                <w:sz w:val="7"/>
                <w:szCs w:val="7"/>
                <w:color w:val="auto"/>
              </w:rPr>
            </w:pPr>
          </w:p>
        </w:tc>
        <w:tc>
          <w:tcPr>
            <w:tcW w:w="3240" w:type="dxa"/>
            <w:vAlign w:val="bottom"/>
            <w:gridSpan w:val="4"/>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88"/>
              </w:rPr>
              <w:t>Wellcome UK Ltd. dated May 19, 2023.</w:t>
            </w:r>
          </w:p>
        </w:tc>
        <w:tc>
          <w:tcPr>
            <w:tcW w:w="1360" w:type="dxa"/>
            <w:vAlign w:val="bottom"/>
            <w:gridSpan w:val="16"/>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0"/>
                <w:szCs w:val="10"/>
                <w:color w:val="auto"/>
              </w:rPr>
            </w:pPr>
          </w:p>
        </w:tc>
        <w:tc>
          <w:tcPr>
            <w:tcW w:w="3240" w:type="dxa"/>
            <w:vAlign w:val="bottom"/>
            <w:tcBorders>
              <w:bottom w:val="single" w:sz="8" w:color="0000FF"/>
            </w:tcBorders>
            <w:gridSpan w:val="4"/>
            <w:vMerge w:val="continue"/>
          </w:tcPr>
          <w:p>
            <w:pPr>
              <w:spacing w:after="0"/>
              <w:rPr>
                <w:sz w:val="10"/>
                <w:szCs w:val="10"/>
                <w:color w:val="auto"/>
              </w:rPr>
            </w:pPr>
          </w:p>
        </w:tc>
        <w:tc>
          <w:tcPr>
            <w:tcW w:w="1360" w:type="dxa"/>
            <w:vAlign w:val="bottom"/>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960" w:type="dxa"/>
            <w:vAlign w:val="bottom"/>
          </w:tcPr>
          <w:p>
            <w:pPr>
              <w:spacing w:after="0"/>
              <w:rPr>
                <w:sz w:val="24"/>
                <w:szCs w:val="24"/>
                <w:color w:val="auto"/>
              </w:rPr>
            </w:pPr>
          </w:p>
        </w:tc>
        <w:tc>
          <w:tcPr>
            <w:tcW w:w="40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b w:val="1"/>
                <w:bCs w:val="1"/>
                <w:color w:val="0000FF"/>
                <w:w w:val="84"/>
              </w:rPr>
              <w:t>Sales Agreement, dated November 7, 2023, by and</w:t>
            </w:r>
          </w:p>
        </w:tc>
        <w:tc>
          <w:tcPr>
            <w:tcW w:w="5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4380" w:type="dxa"/>
            <w:vAlign w:val="bottom"/>
            <w:tcBorders>
              <w:bottom w:val="single" w:sz="8" w:color="0000FF"/>
            </w:tcBorders>
            <w:gridSpan w:val="12"/>
          </w:tcPr>
          <w:p>
            <w:pPr>
              <w:spacing w:after="0" w:line="210" w:lineRule="exact"/>
              <w:rPr>
                <w:sz w:val="20"/>
                <w:szCs w:val="20"/>
                <w:color w:val="auto"/>
              </w:rPr>
            </w:pPr>
            <w:r>
              <w:rPr>
                <w:rFonts w:ascii="Arial" w:cs="Arial" w:eastAsia="Arial" w:hAnsi="Arial"/>
                <w:sz w:val="20"/>
                <w:szCs w:val="20"/>
                <w:b w:val="1"/>
                <w:bCs w:val="1"/>
                <w:color w:val="0000FF"/>
                <w:w w:val="86"/>
              </w:rPr>
              <w:t>between Alector, Inc., and Cowen and Company, LLC</w:t>
            </w:r>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960" w:type="dxa"/>
            <w:vAlign w:val="bottom"/>
          </w:tcPr>
          <w:p>
            <w:pPr>
              <w:spacing w:after="0"/>
              <w:rPr>
                <w:sz w:val="24"/>
                <w:szCs w:val="24"/>
                <w:color w:val="auto"/>
              </w:rPr>
            </w:pPr>
          </w:p>
        </w:tc>
        <w:tc>
          <w:tcPr>
            <w:tcW w:w="4600" w:type="dxa"/>
            <w:vAlign w:val="bottom"/>
            <w:gridSpan w:val="20"/>
          </w:tcPr>
          <w:p>
            <w:pPr>
              <w:spacing w:after="0"/>
              <w:rPr>
                <w:sz w:val="20"/>
                <w:szCs w:val="20"/>
                <w:color w:val="auto"/>
              </w:rPr>
            </w:pPr>
            <w:r>
              <w:rPr>
                <w:rFonts w:ascii="Arial" w:cs="Arial" w:eastAsia="Arial" w:hAnsi="Arial"/>
                <w:sz w:val="20"/>
                <w:szCs w:val="20"/>
                <w:b w:val="1"/>
                <w:bCs w:val="1"/>
                <w:color w:val="0000FF"/>
                <w:highlight w:val="white"/>
                <w:w w:val="86"/>
              </w:rPr>
              <w:t>Letter Agreement Amending the 2021 Collaboration and</w:t>
            </w: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10.15#</w:t>
            </w:r>
          </w:p>
        </w:tc>
        <w:tc>
          <w:tcPr>
            <w:tcW w:w="4320" w:type="dxa"/>
            <w:vAlign w:val="bottom"/>
            <w:tcBorders>
              <w:top w:val="single" w:sz="8" w:color="0000FF"/>
              <w:bottom w:val="single" w:sz="8" w:color="0000FF"/>
            </w:tcBorders>
            <w:gridSpan w:val="11"/>
          </w:tcPr>
          <w:p>
            <w:pPr>
              <w:spacing w:after="0" w:line="210" w:lineRule="exact"/>
              <w:rPr>
                <w:sz w:val="20"/>
                <w:szCs w:val="20"/>
                <w:color w:val="auto"/>
              </w:rPr>
            </w:pPr>
            <w:r>
              <w:rPr>
                <w:rFonts w:ascii="Arial" w:cs="Arial" w:eastAsia="Arial" w:hAnsi="Arial"/>
                <w:sz w:val="20"/>
                <w:szCs w:val="20"/>
                <w:b w:val="1"/>
                <w:bCs w:val="1"/>
                <w:color w:val="0000FF"/>
                <w:highlight w:val="white"/>
                <w:w w:val="83"/>
              </w:rPr>
              <w:t>License Agreement between the Registrant and Glaxo</w:t>
            </w:r>
          </w:p>
        </w:tc>
        <w:tc>
          <w:tcPr>
            <w:tcW w:w="220" w:type="dxa"/>
            <w:vAlign w:val="bottom"/>
            <w:tcBorders>
              <w:top w:val="single" w:sz="8" w:color="0000FF"/>
            </w:tcBorders>
            <w:gridSpan w:val="6"/>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960" w:type="dxa"/>
            <w:vAlign w:val="bottom"/>
            <w:vMerge w:val="continue"/>
          </w:tcPr>
          <w:p>
            <w:pPr>
              <w:spacing w:after="0"/>
              <w:rPr>
                <w:sz w:val="7"/>
                <w:szCs w:val="7"/>
                <w:color w:val="auto"/>
              </w:rPr>
            </w:pPr>
          </w:p>
        </w:tc>
        <w:tc>
          <w:tcPr>
            <w:tcW w:w="3400" w:type="dxa"/>
            <w:vAlign w:val="bottom"/>
            <w:gridSpan w:val="5"/>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88"/>
              </w:rPr>
              <w:t>Wellcome UK Ltd. dated March 11, 2024.</w:t>
            </w:r>
          </w:p>
        </w:tc>
        <w:tc>
          <w:tcPr>
            <w:tcW w:w="1200" w:type="dxa"/>
            <w:vAlign w:val="bottom"/>
            <w:gridSpan w:val="15"/>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400" w:type="dxa"/>
            <w:vAlign w:val="bottom"/>
            <w:tcBorders>
              <w:bottom w:val="single" w:sz="8" w:color="0000FF"/>
            </w:tcBorders>
            <w:gridSpan w:val="5"/>
            <w:vMerge w:val="continue"/>
          </w:tcPr>
          <w:p>
            <w:pPr>
              <w:spacing w:after="0"/>
              <w:rPr>
                <w:sz w:val="11"/>
                <w:szCs w:val="11"/>
                <w:color w:val="auto"/>
              </w:rPr>
            </w:pPr>
          </w:p>
        </w:tc>
        <w:tc>
          <w:tcPr>
            <w:tcW w:w="1200" w:type="dxa"/>
            <w:vAlign w:val="bottom"/>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960" w:type="dxa"/>
            <w:vAlign w:val="bottom"/>
          </w:tcPr>
          <w:p>
            <w:pPr>
              <w:spacing w:after="0"/>
              <w:rPr>
                <w:sz w:val="24"/>
                <w:szCs w:val="24"/>
                <w:color w:val="auto"/>
              </w:rPr>
            </w:pPr>
          </w:p>
        </w:tc>
        <w:tc>
          <w:tcPr>
            <w:tcW w:w="4600" w:type="dxa"/>
            <w:vAlign w:val="bottom"/>
            <w:gridSpan w:val="20"/>
          </w:tcPr>
          <w:p>
            <w:pPr>
              <w:spacing w:after="0"/>
              <w:rPr>
                <w:sz w:val="20"/>
                <w:szCs w:val="20"/>
                <w:color w:val="auto"/>
              </w:rPr>
            </w:pPr>
            <w:r>
              <w:rPr>
                <w:rFonts w:ascii="Arial" w:cs="Arial" w:eastAsia="Arial" w:hAnsi="Arial"/>
                <w:sz w:val="20"/>
                <w:szCs w:val="20"/>
                <w:b w:val="1"/>
                <w:bCs w:val="1"/>
                <w:color w:val="0000FF"/>
                <w:highlight w:val="white"/>
                <w:w w:val="85"/>
              </w:rPr>
              <w:t>Loan and Security Agreement, dated as of November 14,</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4200" w:type="dxa"/>
            <w:vAlign w:val="bottom"/>
            <w:tcBorders>
              <w:top w:val="single" w:sz="8" w:color="0000FF"/>
              <w:bottom w:val="single" w:sz="8" w:color="0000FF"/>
            </w:tcBorders>
            <w:gridSpan w:val="9"/>
          </w:tcPr>
          <w:p>
            <w:pPr>
              <w:spacing w:after="0" w:line="210" w:lineRule="exact"/>
              <w:rPr>
                <w:sz w:val="20"/>
                <w:szCs w:val="20"/>
                <w:color w:val="auto"/>
              </w:rPr>
            </w:pPr>
            <w:r>
              <w:rPr>
                <w:rFonts w:ascii="Arial" w:cs="Arial" w:eastAsia="Arial" w:hAnsi="Arial"/>
                <w:sz w:val="20"/>
                <w:szCs w:val="20"/>
                <w:b w:val="1"/>
                <w:bCs w:val="1"/>
                <w:color w:val="0000FF"/>
                <w:highlight w:val="white"/>
                <w:w w:val="85"/>
              </w:rPr>
              <w:t>2024, among the Registrant and Alector LLC, as co-</w:t>
            </w:r>
          </w:p>
        </w:tc>
        <w:tc>
          <w:tcPr>
            <w:tcW w:w="360" w:type="dxa"/>
            <w:vAlign w:val="bottom"/>
            <w:tcBorders>
              <w:top w:val="single" w:sz="8" w:color="0000FF"/>
            </w:tcBorders>
            <w:gridSpan w:val="9"/>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10.16#</w:t>
            </w:r>
          </w:p>
        </w:tc>
        <w:tc>
          <w:tcPr>
            <w:tcW w:w="4600" w:type="dxa"/>
            <w:vAlign w:val="bottom"/>
            <w:gridSpan w:val="20"/>
          </w:tcPr>
          <w:p>
            <w:pPr>
              <w:spacing w:after="0" w:line="210" w:lineRule="exact"/>
              <w:rPr>
                <w:sz w:val="20"/>
                <w:szCs w:val="20"/>
                <w:color w:val="auto"/>
              </w:rPr>
            </w:pPr>
            <w:r>
              <w:rPr>
                <w:rFonts w:ascii="Arial" w:cs="Arial" w:eastAsia="Arial" w:hAnsi="Arial"/>
                <w:sz w:val="20"/>
                <w:szCs w:val="20"/>
                <w:b w:val="1"/>
                <w:bCs w:val="1"/>
                <w:color w:val="0000FF"/>
                <w:highlight w:val="white"/>
                <w:w w:val="84"/>
              </w:rPr>
              <w:t>borrowers, the banks and financial institutions from time</w:t>
            </w:r>
          </w:p>
        </w:tc>
        <w:tc>
          <w:tcPr>
            <w:tcW w:w="0" w:type="dxa"/>
            <w:vAlign w:val="bottom"/>
          </w:tcPr>
          <w:p>
            <w:pPr>
              <w:spacing w:after="0"/>
              <w:rPr>
                <w:sz w:val="1"/>
                <w:szCs w:val="1"/>
                <w:color w:val="auto"/>
              </w:rPr>
            </w:pPr>
          </w:p>
        </w:tc>
      </w:tr>
      <w:tr>
        <w:trPr>
          <w:trHeight w:val="83"/>
        </w:trPr>
        <w:tc>
          <w:tcPr>
            <w:tcW w:w="960" w:type="dxa"/>
            <w:vAlign w:val="bottom"/>
            <w:vMerge w:val="continue"/>
          </w:tcPr>
          <w:p>
            <w:pPr>
              <w:spacing w:after="0"/>
              <w:rPr>
                <w:sz w:val="7"/>
                <w:szCs w:val="7"/>
                <w:color w:val="auto"/>
              </w:rPr>
            </w:pPr>
          </w:p>
        </w:tc>
        <w:tc>
          <w:tcPr>
            <w:tcW w:w="4080" w:type="dxa"/>
            <w:vAlign w:val="bottom"/>
            <w:tcBorders>
              <w:top w:val="single" w:sz="8" w:color="0000FF"/>
            </w:tcBorders>
            <w:gridSpan w:val="7"/>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84"/>
              </w:rPr>
              <w:t>to time party thereto, and Hercules Capital, Inc., as</w:t>
            </w:r>
          </w:p>
        </w:tc>
        <w:tc>
          <w:tcPr>
            <w:tcW w:w="460" w:type="dxa"/>
            <w:vAlign w:val="bottom"/>
            <w:tcBorders>
              <w:top w:val="single" w:sz="8" w:color="0000FF"/>
            </w:tcBorders>
            <w:gridSpan w:val="10"/>
            <w:vMerge w:val="restart"/>
          </w:tcPr>
          <w:p>
            <w:pPr>
              <w:spacing w:after="0"/>
              <w:rPr>
                <w:sz w:val="7"/>
                <w:szCs w:val="7"/>
                <w:color w:val="auto"/>
              </w:rPr>
            </w:pPr>
          </w:p>
        </w:tc>
        <w:tc>
          <w:tcPr>
            <w:tcW w:w="6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4080" w:type="dxa"/>
            <w:vAlign w:val="bottom"/>
            <w:tcBorders>
              <w:bottom w:val="single" w:sz="8" w:color="0000FF"/>
            </w:tcBorders>
            <w:gridSpan w:val="7"/>
            <w:vMerge w:val="continue"/>
          </w:tcPr>
          <w:p>
            <w:pPr>
              <w:spacing w:after="0"/>
              <w:rPr>
                <w:sz w:val="11"/>
                <w:szCs w:val="11"/>
                <w:color w:val="auto"/>
              </w:rPr>
            </w:pPr>
          </w:p>
        </w:tc>
        <w:tc>
          <w:tcPr>
            <w:tcW w:w="460" w:type="dxa"/>
            <w:vAlign w:val="bottom"/>
            <w:gridSpan w:val="10"/>
            <w:vMerge w:val="continue"/>
          </w:tcPr>
          <w:p>
            <w:pPr>
              <w:spacing w:after="0"/>
              <w:rPr>
                <w:sz w:val="11"/>
                <w:szCs w:val="11"/>
                <w:color w:val="auto"/>
              </w:rPr>
            </w:pPr>
          </w:p>
        </w:tc>
        <w:tc>
          <w:tcPr>
            <w:tcW w:w="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4600" w:type="dxa"/>
            <w:vAlign w:val="bottom"/>
            <w:gridSpan w:val="20"/>
          </w:tcPr>
          <w:p>
            <w:pPr>
              <w:spacing w:after="0" w:line="208" w:lineRule="exact"/>
              <w:rPr>
                <w:sz w:val="20"/>
                <w:szCs w:val="20"/>
                <w:color w:val="auto"/>
              </w:rPr>
            </w:pPr>
            <w:r>
              <w:rPr>
                <w:rFonts w:ascii="Arial" w:cs="Arial" w:eastAsia="Arial" w:hAnsi="Arial"/>
                <w:sz w:val="20"/>
                <w:szCs w:val="20"/>
                <w:b w:val="1"/>
                <w:bCs w:val="1"/>
                <w:color w:val="0000FF"/>
                <w:highlight w:val="white"/>
              </w:rPr>
              <w:t>administrative agent and collateral agent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960" w:type="dxa"/>
            <w:vAlign w:val="bottom"/>
          </w:tcPr>
          <w:p>
            <w:pPr>
              <w:spacing w:after="0"/>
              <w:rPr>
                <w:sz w:val="24"/>
                <w:szCs w:val="24"/>
                <w:color w:val="auto"/>
              </w:rPr>
            </w:pPr>
          </w:p>
        </w:tc>
        <w:tc>
          <w:tcPr>
            <w:tcW w:w="460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b w:val="1"/>
                <w:bCs w:val="1"/>
                <w:color w:val="0000FF"/>
                <w:highlight w:val="white"/>
                <w:w w:val="84"/>
              </w:rPr>
              <w:t>First Amendment to Loan and Security Agreement, dated</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4600" w:type="dxa"/>
            <w:vAlign w:val="bottom"/>
            <w:gridSpan w:val="20"/>
          </w:tcPr>
          <w:p>
            <w:pPr>
              <w:spacing w:after="0" w:line="210" w:lineRule="exact"/>
              <w:rPr>
                <w:sz w:val="20"/>
                <w:szCs w:val="20"/>
                <w:color w:val="auto"/>
              </w:rPr>
            </w:pPr>
            <w:r>
              <w:rPr>
                <w:rFonts w:ascii="Arial" w:cs="Arial" w:eastAsia="Arial" w:hAnsi="Arial"/>
                <w:sz w:val="20"/>
                <w:szCs w:val="20"/>
                <w:b w:val="1"/>
                <w:bCs w:val="1"/>
                <w:color w:val="0000FF"/>
                <w:highlight w:val="white"/>
                <w:w w:val="87"/>
              </w:rPr>
              <w:t>December 12, 2024, by and among Alector Inc., Alector</w:t>
            </w:r>
          </w:p>
        </w:tc>
        <w:tc>
          <w:tcPr>
            <w:tcW w:w="0" w:type="dxa"/>
            <w:vAlign w:val="bottom"/>
          </w:tcPr>
          <w:p>
            <w:pPr>
              <w:spacing w:after="0"/>
              <w:rPr>
                <w:sz w:val="1"/>
                <w:szCs w:val="1"/>
                <w:color w:val="auto"/>
              </w:rPr>
            </w:pPr>
          </w:p>
        </w:tc>
      </w:tr>
      <w:tr>
        <w:trPr>
          <w:trHeight w:val="208"/>
        </w:trPr>
        <w:tc>
          <w:tcPr>
            <w:tcW w:w="960" w:type="dxa"/>
            <w:vAlign w:val="bottom"/>
            <w:vMerge w:val="restart"/>
          </w:tcPr>
          <w:p>
            <w:pPr>
              <w:jc w:val="right"/>
              <w:ind w:right="300"/>
              <w:spacing w:after="0"/>
              <w:rPr>
                <w:sz w:val="20"/>
                <w:szCs w:val="20"/>
                <w:color w:val="auto"/>
              </w:rPr>
            </w:pPr>
            <w:r>
              <w:rPr>
                <w:rFonts w:ascii="Arial" w:cs="Arial" w:eastAsia="Arial" w:hAnsi="Arial"/>
                <w:sz w:val="20"/>
                <w:szCs w:val="20"/>
                <w:b w:val="1"/>
                <w:bCs w:val="1"/>
                <w:color w:val="auto"/>
                <w:w w:val="88"/>
              </w:rPr>
              <w:t>10.17#</w:t>
            </w:r>
          </w:p>
        </w:tc>
        <w:tc>
          <w:tcPr>
            <w:tcW w:w="4420" w:type="dxa"/>
            <w:vAlign w:val="bottom"/>
            <w:tcBorders>
              <w:top w:val="single" w:sz="8" w:color="0000FF"/>
              <w:bottom w:val="single" w:sz="8" w:color="0000FF"/>
            </w:tcBorders>
            <w:gridSpan w:val="13"/>
          </w:tcPr>
          <w:p>
            <w:pPr>
              <w:spacing w:after="0" w:line="208" w:lineRule="exact"/>
              <w:rPr>
                <w:sz w:val="20"/>
                <w:szCs w:val="20"/>
                <w:color w:val="auto"/>
              </w:rPr>
            </w:pPr>
            <w:r>
              <w:rPr>
                <w:rFonts w:ascii="Arial" w:cs="Arial" w:eastAsia="Arial" w:hAnsi="Arial"/>
                <w:sz w:val="20"/>
                <w:szCs w:val="20"/>
                <w:b w:val="1"/>
                <w:bCs w:val="1"/>
                <w:color w:val="0000FF"/>
                <w:highlight w:val="white"/>
                <w:w w:val="84"/>
              </w:rPr>
              <w:t>LLC, certain banks and other financial institutions, and</w:t>
            </w:r>
          </w:p>
        </w:tc>
        <w:tc>
          <w:tcPr>
            <w:tcW w:w="80" w:type="dxa"/>
            <w:vAlign w:val="bottom"/>
            <w:tcBorders>
              <w:top w:val="single" w:sz="8" w:color="0000FF"/>
            </w:tcBorders>
            <w:gridSpan w:val="2"/>
          </w:tcPr>
          <w:p>
            <w:pPr>
              <w:spacing w:after="0"/>
              <w:rPr>
                <w:sz w:val="18"/>
                <w:szCs w:val="18"/>
                <w:color w:val="auto"/>
              </w:rPr>
            </w:pPr>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960" w:type="dxa"/>
            <w:vAlign w:val="bottom"/>
            <w:vMerge w:val="continue"/>
          </w:tcPr>
          <w:p>
            <w:pPr>
              <w:spacing w:after="0"/>
              <w:rPr>
                <w:sz w:val="7"/>
                <w:szCs w:val="7"/>
                <w:color w:val="auto"/>
              </w:rPr>
            </w:pPr>
          </w:p>
        </w:tc>
        <w:tc>
          <w:tcPr>
            <w:tcW w:w="4600" w:type="dxa"/>
            <w:vAlign w:val="bottom"/>
            <w:gridSpan w:val="20"/>
            <w:vMerge w:val="restart"/>
          </w:tcPr>
          <w:p>
            <w:pPr>
              <w:spacing w:after="0" w:line="210" w:lineRule="exact"/>
              <w:rPr>
                <w:sz w:val="20"/>
                <w:szCs w:val="20"/>
                <w:color w:val="auto"/>
              </w:rPr>
            </w:pPr>
            <w:r>
              <w:rPr>
                <w:rFonts w:ascii="Arial" w:cs="Arial" w:eastAsia="Arial" w:hAnsi="Arial"/>
                <w:sz w:val="20"/>
                <w:szCs w:val="20"/>
                <w:b w:val="1"/>
                <w:bCs w:val="1"/>
                <w:color w:val="0000FF"/>
                <w:highlight w:val="white"/>
                <w:w w:val="96"/>
              </w:rPr>
              <w:t>Hercules Capital, Inc., as administrative agent and</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60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4020" w:type="dxa"/>
            <w:vAlign w:val="bottom"/>
            <w:tcBorders>
              <w:top w:val="single" w:sz="8" w:color="0000FF"/>
            </w:tcBorders>
            <w:gridSpan w:val="6"/>
          </w:tcPr>
          <w:p>
            <w:pPr>
              <w:spacing w:after="0" w:line="210" w:lineRule="exact"/>
              <w:rPr>
                <w:sz w:val="20"/>
                <w:szCs w:val="20"/>
                <w:color w:val="auto"/>
              </w:rPr>
            </w:pPr>
            <w:r>
              <w:rPr>
                <w:rFonts w:ascii="Arial" w:cs="Arial" w:eastAsia="Arial" w:hAnsi="Arial"/>
                <w:sz w:val="20"/>
                <w:szCs w:val="20"/>
                <w:b w:val="1"/>
                <w:bCs w:val="1"/>
                <w:color w:val="0000FF"/>
                <w:highlight w:val="white"/>
              </w:rPr>
              <w:t>collateral agent</w:t>
            </w:r>
          </w:p>
        </w:tc>
        <w:tc>
          <w:tcPr>
            <w:tcW w:w="5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960" w:type="dxa"/>
            <w:vAlign w:val="bottom"/>
          </w:tcPr>
          <w:p>
            <w:pPr>
              <w:spacing w:after="0"/>
              <w:rPr>
                <w:sz w:val="24"/>
                <w:szCs w:val="24"/>
                <w:color w:val="auto"/>
              </w:rPr>
            </w:pPr>
          </w:p>
        </w:tc>
        <w:tc>
          <w:tcPr>
            <w:tcW w:w="4600" w:type="dxa"/>
            <w:vAlign w:val="bottom"/>
            <w:gridSpan w:val="20"/>
          </w:tcPr>
          <w:p>
            <w:pPr>
              <w:spacing w:after="0"/>
              <w:rPr>
                <w:sz w:val="20"/>
                <w:szCs w:val="20"/>
                <w:color w:val="auto"/>
              </w:rPr>
            </w:pPr>
            <w:r>
              <w:rPr>
                <w:rFonts w:ascii="Arial" w:cs="Arial" w:eastAsia="Arial" w:hAnsi="Arial"/>
                <w:sz w:val="20"/>
                <w:szCs w:val="20"/>
                <w:b w:val="1"/>
                <w:bCs w:val="1"/>
                <w:color w:val="0000FF"/>
                <w:highlight w:val="white"/>
                <w:w w:val="84"/>
              </w:rPr>
              <w:t>Separation Agreement, dated December 22, 2025, by and</w:t>
            </w: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4580" w:type="dxa"/>
            <w:vAlign w:val="bottom"/>
            <w:tcBorders>
              <w:top w:val="single" w:sz="8" w:color="0000FF"/>
            </w:tcBorders>
            <w:gridSpan w:val="19"/>
          </w:tcPr>
          <w:p>
            <w:pPr>
              <w:spacing w:after="0" w:line="208" w:lineRule="exact"/>
              <w:rPr>
                <w:sz w:val="20"/>
                <w:szCs w:val="20"/>
                <w:color w:val="auto"/>
              </w:rPr>
            </w:pPr>
            <w:r>
              <w:rPr>
                <w:rFonts w:ascii="Arial" w:cs="Arial" w:eastAsia="Arial" w:hAnsi="Arial"/>
                <w:sz w:val="20"/>
                <w:szCs w:val="20"/>
                <w:b w:val="1"/>
                <w:bCs w:val="1"/>
                <w:color w:val="0000FF"/>
                <w:highlight w:val="white"/>
                <w:w w:val="92"/>
              </w:rPr>
              <w:t>between Alector, Inc. and Saraswati (Sara) Kenkare-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Borders>
              <w:top w:val="single" w:sz="8" w:color="0000FF"/>
              <w:bottom w:val="single" w:sz="8" w:color="0000FF"/>
            </w:tcBorders>
          </w:tcPr>
          <w:p>
            <w:pPr>
              <w:spacing w:after="0" w:line="210" w:lineRule="exact"/>
              <w:rPr>
                <w:sz w:val="20"/>
                <w:szCs w:val="20"/>
                <w:color w:val="auto"/>
              </w:rPr>
            </w:pPr>
            <w:r>
              <w:rPr>
                <w:rFonts w:ascii="Arial" w:cs="Arial" w:eastAsia="Arial" w:hAnsi="Arial"/>
                <w:sz w:val="20"/>
                <w:szCs w:val="20"/>
                <w:b w:val="1"/>
                <w:bCs w:val="1"/>
                <w:color w:val="0000FF"/>
                <w:highlight w:val="white"/>
                <w:w w:val="89"/>
              </w:rPr>
              <w:t xml:space="preserve">Mitra, </w:t>
            </w:r>
            <w:r>
              <w:rPr>
                <w:rFonts w:ascii="Arial" w:cs="Arial" w:eastAsia="Arial" w:hAnsi="Arial"/>
                <w:sz w:val="20"/>
                <w:szCs w:val="20"/>
                <w:b w:val="1"/>
                <w:bCs w:val="1"/>
                <w:color w:val="0000FF"/>
                <w:w w:val="89"/>
              </w:rPr>
              <w:t>Ph.D.</w:t>
            </w:r>
          </w:p>
        </w:tc>
        <w:tc>
          <w:tcPr>
            <w:tcW w:w="3220" w:type="dxa"/>
            <w:vAlign w:val="bottom"/>
            <w:tcBorders>
              <w:top w:val="single" w:sz="8" w:color="0000FF"/>
            </w:tcBorders>
            <w:gridSpan w:val="9"/>
          </w:tcPr>
          <w:p>
            <w:pPr>
              <w:spacing w:after="0"/>
              <w:rPr>
                <w:sz w:val="18"/>
                <w:szCs w:val="18"/>
                <w:color w:val="auto"/>
              </w:rPr>
            </w:pPr>
          </w:p>
        </w:tc>
        <w:tc>
          <w:tcPr>
            <w:tcW w:w="3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bl>
    <w:p>
      <w:pPr>
        <w:ind w:left="1040" w:hanging="961"/>
        <w:spacing w:after="0" w:line="221" w:lineRule="auto"/>
        <w:tabs>
          <w:tab w:leader="none" w:pos="1040" w:val="left"/>
        </w:tabs>
        <w:numPr>
          <w:ilvl w:val="0"/>
          <w:numId w:val="83"/>
        </w:numPr>
        <w:rPr>
          <w:rFonts w:ascii="Arial" w:cs="Arial" w:eastAsia="Arial" w:hAnsi="Arial"/>
          <w:sz w:val="40"/>
          <w:szCs w:val="40"/>
          <w:b w:val="1"/>
          <w:bCs w:val="1"/>
          <w:color w:val="auto"/>
          <w:vertAlign w:val="subscript"/>
        </w:rPr>
      </w:pPr>
      <w:r>
        <w:rPr>
          <w:rFonts w:ascii="Arial" w:cs="Arial" w:eastAsia="Arial" w:hAnsi="Arial"/>
          <w:sz w:val="20"/>
          <w:szCs w:val="20"/>
          <w:b w:val="1"/>
          <w:bCs w:val="1"/>
          <w:u w:val="single" w:color="auto"/>
          <w:color w:val="0000FF"/>
        </w:rPr>
        <w:t>Alector Inc. Insider Trading Policy</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60" w:type="dxa"/>
            <w:vAlign w:val="bottom"/>
            <w:vMerge w:val="restart"/>
          </w:tcPr>
          <w:p>
            <w:pPr>
              <w:jc w:val="right"/>
              <w:ind w:right="520"/>
              <w:spacing w:after="0"/>
              <w:rPr>
                <w:sz w:val="20"/>
                <w:szCs w:val="20"/>
                <w:color w:val="auto"/>
              </w:rPr>
            </w:pPr>
            <w:r>
              <w:rPr>
                <w:rFonts w:ascii="Arial" w:cs="Arial" w:eastAsia="Arial" w:hAnsi="Arial"/>
                <w:sz w:val="20"/>
                <w:szCs w:val="20"/>
                <w:b w:val="1"/>
                <w:bCs w:val="1"/>
                <w:color w:val="auto"/>
                <w:w w:val="82"/>
              </w:rPr>
              <w:t>21.1</w:t>
            </w:r>
          </w:p>
        </w:tc>
        <w:tc>
          <w:tcPr>
            <w:tcW w:w="4600" w:type="dxa"/>
            <w:vAlign w:val="bottom"/>
            <w:gridSpan w:val="10"/>
          </w:tcPr>
          <w:p>
            <w:pPr>
              <w:spacing w:after="0"/>
              <w:rPr>
                <w:sz w:val="20"/>
                <w:szCs w:val="20"/>
                <w:color w:val="auto"/>
              </w:rPr>
            </w:pPr>
            <w:r>
              <w:rPr>
                <w:rFonts w:ascii="Arial" w:cs="Arial" w:eastAsia="Arial" w:hAnsi="Arial"/>
                <w:sz w:val="20"/>
                <w:szCs w:val="20"/>
                <w:b w:val="1"/>
                <w:bCs w:val="1"/>
                <w:color w:val="0000FF"/>
              </w:rPr>
              <w:t>List of subsidiaries of Registrant.</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960" w:type="dxa"/>
            <w:vAlign w:val="bottom"/>
            <w:vMerge w:val="continue"/>
          </w:tcPr>
          <w:p>
            <w:pPr>
              <w:spacing w:after="0"/>
              <w:rPr>
                <w:sz w:val="7"/>
                <w:szCs w:val="7"/>
                <w:color w:val="auto"/>
              </w:rPr>
            </w:pPr>
          </w:p>
        </w:tc>
        <w:tc>
          <w:tcPr>
            <w:tcW w:w="4360" w:type="dxa"/>
            <w:vAlign w:val="bottom"/>
            <w:gridSpan w:val="6"/>
            <w:vMerge w:val="restart"/>
          </w:tcPr>
          <w:p>
            <w:pPr>
              <w:spacing w:after="0"/>
              <w:rPr>
                <w:sz w:val="20"/>
                <w:szCs w:val="20"/>
                <w:color w:val="auto"/>
              </w:rPr>
            </w:pPr>
            <w:r>
              <w:rPr>
                <w:rFonts w:ascii="Arial" w:cs="Arial" w:eastAsia="Arial" w:hAnsi="Arial"/>
                <w:sz w:val="20"/>
                <w:szCs w:val="20"/>
                <w:b w:val="1"/>
                <w:bCs w:val="1"/>
                <w:color w:val="0000FF"/>
                <w:highlight w:val="white"/>
                <w:w w:val="83"/>
              </w:rPr>
              <w:t>Consent of Independent Registered Public Accounting</w:t>
            </w:r>
          </w:p>
        </w:tc>
        <w:tc>
          <w:tcPr>
            <w:tcW w:w="24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960" w:type="dxa"/>
            <w:vAlign w:val="bottom"/>
            <w:vMerge w:val="restart"/>
          </w:tcPr>
          <w:p>
            <w:pPr>
              <w:jc w:val="right"/>
              <w:ind w:right="520"/>
              <w:spacing w:after="0"/>
              <w:rPr>
                <w:sz w:val="20"/>
                <w:szCs w:val="20"/>
                <w:color w:val="auto"/>
              </w:rPr>
            </w:pPr>
            <w:r>
              <w:rPr>
                <w:rFonts w:ascii="Arial" w:cs="Arial" w:eastAsia="Arial" w:hAnsi="Arial"/>
                <w:sz w:val="20"/>
                <w:szCs w:val="20"/>
                <w:b w:val="1"/>
                <w:bCs w:val="1"/>
                <w:color w:val="auto"/>
                <w:w w:val="82"/>
              </w:rPr>
              <w:t>23.1</w:t>
            </w:r>
          </w:p>
        </w:tc>
        <w:tc>
          <w:tcPr>
            <w:tcW w:w="4360" w:type="dxa"/>
            <w:vAlign w:val="bottom"/>
            <w:tcBorders>
              <w:bottom w:val="single" w:sz="8" w:color="0000FF"/>
            </w:tcBorders>
            <w:gridSpan w:val="6"/>
            <w:vMerge w:val="continue"/>
          </w:tcPr>
          <w:p>
            <w:pPr>
              <w:spacing w:after="0"/>
              <w:rPr>
                <w:sz w:val="24"/>
                <w:szCs w:val="24"/>
                <w:color w:val="auto"/>
              </w:rPr>
            </w:pPr>
          </w:p>
        </w:tc>
        <w:tc>
          <w:tcPr>
            <w:tcW w:w="2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440" w:type="dxa"/>
            <w:vAlign w:val="bottom"/>
            <w:tcBorders>
              <w:bottom w:val="single" w:sz="8" w:color="0000FF"/>
            </w:tcBorders>
          </w:tcPr>
          <w:p>
            <w:pPr>
              <w:spacing w:after="0" w:line="210" w:lineRule="exact"/>
              <w:rPr>
                <w:sz w:val="20"/>
                <w:szCs w:val="20"/>
                <w:color w:val="auto"/>
              </w:rPr>
            </w:pPr>
            <w:r>
              <w:rPr>
                <w:rFonts w:ascii="Arial" w:cs="Arial" w:eastAsia="Arial" w:hAnsi="Arial"/>
                <w:sz w:val="20"/>
                <w:szCs w:val="20"/>
                <w:b w:val="1"/>
                <w:bCs w:val="1"/>
                <w:color w:val="0000FF"/>
                <w:w w:val="85"/>
              </w:rPr>
              <w:t>Firm.</w:t>
            </w:r>
          </w:p>
        </w:tc>
        <w:tc>
          <w:tcPr>
            <w:tcW w:w="41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960" w:type="dxa"/>
            <w:vAlign w:val="bottom"/>
          </w:tcPr>
          <w:p>
            <w:pPr>
              <w:jc w:val="right"/>
              <w:ind w:right="520"/>
              <w:spacing w:after="0"/>
              <w:rPr>
                <w:sz w:val="20"/>
                <w:szCs w:val="20"/>
                <w:color w:val="auto"/>
              </w:rPr>
            </w:pPr>
            <w:r>
              <w:rPr>
                <w:rFonts w:ascii="Arial" w:cs="Arial" w:eastAsia="Arial" w:hAnsi="Arial"/>
                <w:sz w:val="20"/>
                <w:szCs w:val="20"/>
                <w:b w:val="1"/>
                <w:bCs w:val="1"/>
                <w:color w:val="auto"/>
                <w:w w:val="82"/>
              </w:rPr>
              <w:t>24.1</w:t>
            </w:r>
          </w:p>
        </w:tc>
        <w:tc>
          <w:tcPr>
            <w:tcW w:w="460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b w:val="1"/>
                <w:bCs w:val="1"/>
                <w:color w:val="0000FF"/>
                <w:highlight w:val="white"/>
                <w:w w:val="83"/>
              </w:rPr>
              <w:t>Power of Attorney (included on the signature page to this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2500" w:type="dxa"/>
            <w:vAlign w:val="bottom"/>
            <w:tcBorders>
              <w:bottom w:val="single" w:sz="8" w:color="0000FF"/>
            </w:tcBorders>
            <w:gridSpan w:val="2"/>
          </w:tcPr>
          <w:p>
            <w:pPr>
              <w:spacing w:after="0" w:line="210" w:lineRule="exact"/>
              <w:rPr>
                <w:sz w:val="20"/>
                <w:szCs w:val="20"/>
                <w:color w:val="auto"/>
              </w:rPr>
            </w:pPr>
            <w:r>
              <w:rPr>
                <w:rFonts w:ascii="Arial" w:cs="Arial" w:eastAsia="Arial" w:hAnsi="Arial"/>
                <w:sz w:val="20"/>
                <w:szCs w:val="20"/>
                <w:b w:val="1"/>
                <w:bCs w:val="1"/>
                <w:color w:val="0000FF"/>
                <w:highlight w:val="white"/>
                <w:w w:val="87"/>
              </w:rPr>
              <w:t>Annual Report on Form 10-K).</w:t>
            </w:r>
          </w:p>
        </w:tc>
        <w:tc>
          <w:tcPr>
            <w:tcW w:w="21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960" w:type="dxa"/>
            <w:vAlign w:val="bottom"/>
          </w:tcPr>
          <w:p>
            <w:pPr>
              <w:spacing w:after="0"/>
              <w:rPr>
                <w:sz w:val="24"/>
                <w:szCs w:val="24"/>
                <w:color w:val="auto"/>
              </w:rPr>
            </w:pPr>
          </w:p>
        </w:tc>
        <w:tc>
          <w:tcPr>
            <w:tcW w:w="444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b w:val="1"/>
                <w:bCs w:val="1"/>
                <w:color w:val="0000FF"/>
                <w:highlight w:val="white"/>
                <w:w w:val="85"/>
              </w:rPr>
              <w:t>Certification of Principal Executive Officer Pursuant to</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520"/>
              <w:spacing w:after="0"/>
              <w:rPr>
                <w:sz w:val="20"/>
                <w:szCs w:val="20"/>
                <w:color w:val="auto"/>
              </w:rPr>
            </w:pPr>
            <w:r>
              <w:rPr>
                <w:rFonts w:ascii="Arial" w:cs="Arial" w:eastAsia="Arial" w:hAnsi="Arial"/>
                <w:sz w:val="20"/>
                <w:szCs w:val="20"/>
                <w:b w:val="1"/>
                <w:bCs w:val="1"/>
                <w:color w:val="auto"/>
                <w:w w:val="82"/>
              </w:rPr>
              <w:t>31.1</w:t>
            </w:r>
          </w:p>
        </w:tc>
        <w:tc>
          <w:tcPr>
            <w:tcW w:w="4100" w:type="dxa"/>
            <w:vAlign w:val="bottom"/>
            <w:tcBorders>
              <w:bottom w:val="single" w:sz="8" w:color="0000FF"/>
            </w:tcBorders>
            <w:gridSpan w:val="5"/>
          </w:tcPr>
          <w:p>
            <w:pPr>
              <w:spacing w:after="0" w:line="210" w:lineRule="exact"/>
              <w:rPr>
                <w:sz w:val="20"/>
                <w:szCs w:val="20"/>
                <w:color w:val="auto"/>
              </w:rPr>
            </w:pPr>
            <w:r>
              <w:rPr>
                <w:rFonts w:ascii="Arial" w:cs="Arial" w:eastAsia="Arial" w:hAnsi="Arial"/>
                <w:sz w:val="20"/>
                <w:szCs w:val="20"/>
                <w:b w:val="1"/>
                <w:bCs w:val="1"/>
                <w:color w:val="0000FF"/>
                <w:highlight w:val="white"/>
                <w:w w:val="85"/>
              </w:rPr>
              <w:t xml:space="preserve">Rules 13a-14(a) and 15d-14(a) </w:t>
            </w:r>
            <w:r>
              <w:rPr>
                <w:rFonts w:ascii="Arial" w:cs="Arial" w:eastAsia="Arial" w:hAnsi="Arial"/>
                <w:sz w:val="20"/>
                <w:szCs w:val="20"/>
                <w:b w:val="1"/>
                <w:bCs w:val="1"/>
                <w:color w:val="0000FF"/>
                <w:w w:val="85"/>
              </w:rPr>
              <w:t>under the Securities</w:t>
            </w:r>
          </w:p>
        </w:tc>
        <w:tc>
          <w:tcPr>
            <w:tcW w:w="5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4600" w:type="dxa"/>
            <w:vAlign w:val="bottom"/>
            <w:gridSpan w:val="10"/>
          </w:tcPr>
          <w:p>
            <w:pPr>
              <w:spacing w:after="0" w:line="210" w:lineRule="exact"/>
              <w:rPr>
                <w:sz w:val="20"/>
                <w:szCs w:val="20"/>
                <w:color w:val="auto"/>
              </w:rPr>
            </w:pPr>
            <w:r>
              <w:rPr>
                <w:rFonts w:ascii="Arial" w:cs="Arial" w:eastAsia="Arial" w:hAnsi="Arial"/>
                <w:sz w:val="20"/>
                <w:szCs w:val="20"/>
                <w:b w:val="1"/>
                <w:bCs w:val="1"/>
                <w:color w:val="0000FF"/>
                <w:highlight w:val="white"/>
                <w:w w:val="87"/>
              </w:rPr>
              <w:t>Exchange Act of 1934, as Adopted Pursuant to Section</w:t>
            </w: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4"/>
          </w:tcPr>
          <w:p>
            <w:pPr>
              <w:spacing w:after="0" w:line="208" w:lineRule="exact"/>
              <w:rPr>
                <w:sz w:val="20"/>
                <w:szCs w:val="20"/>
                <w:color w:val="auto"/>
              </w:rPr>
            </w:pPr>
            <w:r>
              <w:rPr>
                <w:rFonts w:ascii="Arial" w:cs="Arial" w:eastAsia="Arial" w:hAnsi="Arial"/>
                <w:sz w:val="20"/>
                <w:szCs w:val="20"/>
                <w:b w:val="1"/>
                <w:bCs w:val="1"/>
                <w:color w:val="0000FF"/>
                <w:highlight w:val="white"/>
                <w:w w:val="86"/>
              </w:rPr>
              <w:t>302 of the Sarbanes-Oxley Act of 2002.</w:t>
            </w:r>
          </w:p>
        </w:tc>
        <w:tc>
          <w:tcPr>
            <w:tcW w:w="1200" w:type="dxa"/>
            <w:vAlign w:val="bottom"/>
            <w:tcBorders>
              <w:top w:val="single" w:sz="8" w:color="0000FF"/>
            </w:tcBorders>
            <w:gridSpan w:val="4"/>
          </w:tcPr>
          <w:p>
            <w:pPr>
              <w:spacing w:after="0"/>
              <w:rPr>
                <w:sz w:val="18"/>
                <w:szCs w:val="18"/>
                <w:color w:val="auto"/>
              </w:rPr>
            </w:pP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960" w:type="dxa"/>
            <w:vAlign w:val="bottom"/>
          </w:tcPr>
          <w:p>
            <w:pPr>
              <w:spacing w:after="0"/>
              <w:rPr>
                <w:sz w:val="24"/>
                <w:szCs w:val="24"/>
                <w:color w:val="auto"/>
              </w:rPr>
            </w:pPr>
          </w:p>
        </w:tc>
        <w:tc>
          <w:tcPr>
            <w:tcW w:w="43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b w:val="1"/>
                <w:bCs w:val="1"/>
                <w:color w:val="0000FF"/>
                <w:highlight w:val="white"/>
                <w:w w:val="85"/>
              </w:rPr>
              <w:t>Certification of Principal Financial Officer Pursuant to</w:t>
            </w:r>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520"/>
              <w:spacing w:after="0"/>
              <w:rPr>
                <w:sz w:val="20"/>
                <w:szCs w:val="20"/>
                <w:color w:val="auto"/>
              </w:rPr>
            </w:pPr>
            <w:r>
              <w:rPr>
                <w:rFonts w:ascii="Arial" w:cs="Arial" w:eastAsia="Arial" w:hAnsi="Arial"/>
                <w:sz w:val="20"/>
                <w:szCs w:val="20"/>
                <w:b w:val="1"/>
                <w:bCs w:val="1"/>
                <w:color w:val="auto"/>
                <w:w w:val="82"/>
              </w:rPr>
              <w:t>31.2</w:t>
            </w:r>
          </w:p>
        </w:tc>
        <w:tc>
          <w:tcPr>
            <w:tcW w:w="4100" w:type="dxa"/>
            <w:vAlign w:val="bottom"/>
            <w:tcBorders>
              <w:bottom w:val="single" w:sz="8" w:color="0000FF"/>
            </w:tcBorders>
            <w:gridSpan w:val="5"/>
          </w:tcPr>
          <w:p>
            <w:pPr>
              <w:spacing w:after="0" w:line="210" w:lineRule="exact"/>
              <w:rPr>
                <w:sz w:val="20"/>
                <w:szCs w:val="20"/>
                <w:color w:val="auto"/>
              </w:rPr>
            </w:pPr>
            <w:r>
              <w:rPr>
                <w:rFonts w:ascii="Arial" w:cs="Arial" w:eastAsia="Arial" w:hAnsi="Arial"/>
                <w:sz w:val="20"/>
                <w:szCs w:val="20"/>
                <w:b w:val="1"/>
                <w:bCs w:val="1"/>
                <w:color w:val="0000FF"/>
                <w:highlight w:val="white"/>
                <w:w w:val="85"/>
              </w:rPr>
              <w:t xml:space="preserve">Rules 13a-14(a) and 15d-14(a) </w:t>
            </w:r>
            <w:r>
              <w:rPr>
                <w:rFonts w:ascii="Arial" w:cs="Arial" w:eastAsia="Arial" w:hAnsi="Arial"/>
                <w:sz w:val="20"/>
                <w:szCs w:val="20"/>
                <w:b w:val="1"/>
                <w:bCs w:val="1"/>
                <w:color w:val="0000FF"/>
                <w:w w:val="85"/>
              </w:rPr>
              <w:t>under the Securities</w:t>
            </w:r>
          </w:p>
        </w:tc>
        <w:tc>
          <w:tcPr>
            <w:tcW w:w="5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60" w:type="dxa"/>
            <w:vAlign w:val="bottom"/>
            <w:vMerge w:val="continue"/>
          </w:tcPr>
          <w:p>
            <w:pPr>
              <w:spacing w:after="0"/>
              <w:rPr>
                <w:sz w:val="19"/>
                <w:szCs w:val="19"/>
                <w:color w:val="auto"/>
              </w:rPr>
            </w:pPr>
          </w:p>
        </w:tc>
        <w:tc>
          <w:tcPr>
            <w:tcW w:w="4600" w:type="dxa"/>
            <w:vAlign w:val="bottom"/>
            <w:gridSpan w:val="10"/>
          </w:tcPr>
          <w:p>
            <w:pPr>
              <w:spacing w:after="0" w:line="225" w:lineRule="exact"/>
              <w:rPr>
                <w:sz w:val="20"/>
                <w:szCs w:val="20"/>
                <w:color w:val="auto"/>
              </w:rPr>
            </w:pPr>
            <w:r>
              <w:rPr>
                <w:rFonts w:ascii="Arial" w:cs="Arial" w:eastAsia="Arial" w:hAnsi="Arial"/>
                <w:sz w:val="20"/>
                <w:szCs w:val="20"/>
                <w:b w:val="1"/>
                <w:bCs w:val="1"/>
                <w:u w:val="single" w:color="auto"/>
                <w:color w:val="0000FF"/>
                <w:highlight w:val="white"/>
                <w:w w:val="87"/>
              </w:rPr>
              <w:t>Exchange Act of 1934, as Adopted Pursuant to Section</w:t>
            </w:r>
          </w:p>
        </w:tc>
        <w:tc>
          <w:tcPr>
            <w:tcW w:w="0" w:type="dxa"/>
            <w:vAlign w:val="bottom"/>
          </w:tcPr>
          <w:p>
            <w:pPr>
              <w:spacing w:after="0"/>
              <w:rPr>
                <w:sz w:val="1"/>
                <w:szCs w:val="1"/>
                <w:color w:val="auto"/>
              </w:rPr>
            </w:pPr>
          </w:p>
        </w:tc>
      </w:tr>
    </w:tbl>
    <w:p>
      <w:pPr>
        <w:ind w:left="1040"/>
        <w:spacing w:after="0"/>
        <w:rPr>
          <w:sz w:val="20"/>
          <w:szCs w:val="20"/>
          <w:color w:val="auto"/>
        </w:rPr>
      </w:pPr>
      <w:r>
        <w:rPr>
          <w:rFonts w:ascii="Arial" w:cs="Arial" w:eastAsia="Arial" w:hAnsi="Arial"/>
          <w:sz w:val="20"/>
          <w:szCs w:val="20"/>
          <w:b w:val="1"/>
          <w:bCs w:val="1"/>
          <w:u w:val="single" w:color="auto"/>
          <w:color w:val="0000FF"/>
          <w:highlight w:val="white"/>
        </w:rPr>
        <w:t>302 of the Sarbanes-Oxley Act of 2002.</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ind w:left="80"/>
              <w:spacing w:after="0"/>
              <w:rPr>
                <w:sz w:val="20"/>
                <w:szCs w:val="20"/>
                <w:color w:val="auto"/>
              </w:rPr>
            </w:pPr>
            <w:r>
              <w:rPr>
                <w:rFonts w:ascii="Arial" w:cs="Arial" w:eastAsia="Arial" w:hAnsi="Arial"/>
                <w:sz w:val="20"/>
                <w:szCs w:val="20"/>
                <w:b w:val="1"/>
                <w:bCs w:val="1"/>
                <w:color w:val="auto"/>
              </w:rPr>
              <w:t>S-1</w:t>
            </w:r>
          </w:p>
        </w:tc>
        <w:tc>
          <w:tcPr>
            <w:tcW w:w="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89"/>
              </w:rPr>
              <w:t>333-229152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10.14</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89"/>
              </w:rPr>
              <w:t>1/7/2019</w:t>
            </w:r>
          </w:p>
        </w:tc>
      </w:tr>
      <w:tr>
        <w:trPr>
          <w:trHeight w:val="766"/>
        </w:trPr>
        <w:tc>
          <w:tcPr>
            <w:tcW w:w="480" w:type="dxa"/>
            <w:vAlign w:val="bottom"/>
          </w:tcPr>
          <w:p>
            <w:pPr>
              <w:ind w:left="80"/>
              <w:spacing w:after="0"/>
              <w:rPr>
                <w:sz w:val="20"/>
                <w:szCs w:val="20"/>
                <w:color w:val="auto"/>
              </w:rPr>
            </w:pPr>
            <w:r>
              <w:rPr>
                <w:rFonts w:ascii="Arial" w:cs="Arial" w:eastAsia="Arial" w:hAnsi="Arial"/>
                <w:sz w:val="20"/>
                <w:szCs w:val="20"/>
                <w:b w:val="1"/>
                <w:bCs w:val="1"/>
                <w:color w:val="auto"/>
              </w:rPr>
              <w:t>S-1</w:t>
            </w:r>
          </w:p>
        </w:tc>
        <w:tc>
          <w:tcPr>
            <w:tcW w:w="1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333-229152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highlight w:val="white"/>
                <w:w w:val="87"/>
              </w:rPr>
              <w:t>10.15</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highlight w:val="white"/>
                <w:w w:val="89"/>
              </w:rPr>
              <w:t>1/7/2019</w:t>
            </w:r>
          </w:p>
        </w:tc>
      </w:tr>
      <w:tr>
        <w:trPr>
          <w:trHeight w:val="881"/>
        </w:trPr>
        <w:tc>
          <w:tcPr>
            <w:tcW w:w="1660" w:type="dxa"/>
            <w:vAlign w:val="bottom"/>
            <w:gridSpan w:val="3"/>
          </w:tcPr>
          <w:p>
            <w:pPr>
              <w:spacing w:after="0"/>
              <w:rPr>
                <w:sz w:val="20"/>
                <w:szCs w:val="20"/>
                <w:color w:val="auto"/>
              </w:rPr>
            </w:pPr>
            <w:r>
              <w:rPr>
                <w:rFonts w:ascii="Arial" w:cs="Arial" w:eastAsia="Arial" w:hAnsi="Arial"/>
                <w:sz w:val="20"/>
                <w:szCs w:val="20"/>
                <w:b w:val="1"/>
                <w:bCs w:val="1"/>
                <w:color w:val="auto"/>
                <w:highlight w:val="white"/>
              </w:rPr>
              <w:t>10-Q   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10.19</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89"/>
              </w:rPr>
              <w:t>8/3/2021</w:t>
            </w:r>
          </w:p>
        </w:tc>
      </w:tr>
      <w:tr>
        <w:trPr>
          <w:trHeight w:val="881"/>
        </w:trPr>
        <w:tc>
          <w:tcPr>
            <w:tcW w:w="500" w:type="dxa"/>
            <w:vAlign w:val="bottom"/>
            <w:gridSpan w:val="2"/>
          </w:tcPr>
          <w:p>
            <w:pPr>
              <w:spacing w:after="0"/>
              <w:rPr>
                <w:sz w:val="20"/>
                <w:szCs w:val="20"/>
                <w:color w:val="auto"/>
              </w:rPr>
            </w:pPr>
            <w:r>
              <w:rPr>
                <w:rFonts w:ascii="Arial" w:cs="Arial" w:eastAsia="Arial" w:hAnsi="Arial"/>
                <w:sz w:val="20"/>
                <w:szCs w:val="20"/>
                <w:b w:val="1"/>
                <w:bCs w:val="1"/>
                <w:color w:val="auto"/>
                <w:highlight w:val="white"/>
              </w:rPr>
              <w:t>10-Q</w:t>
            </w: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highlight w:val="white"/>
                <w:w w:val="91"/>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2"/>
              </w:rPr>
              <w:t>10.1</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89"/>
              </w:rPr>
              <w:t>8/3/2023</w:t>
            </w:r>
          </w:p>
        </w:tc>
      </w:tr>
      <w:tr>
        <w:trPr>
          <w:trHeight w:val="766"/>
        </w:trPr>
        <w:tc>
          <w:tcPr>
            <w:tcW w:w="1660" w:type="dxa"/>
            <w:vAlign w:val="bottom"/>
            <w:gridSpan w:val="3"/>
          </w:tcPr>
          <w:p>
            <w:pPr>
              <w:ind w:left="60"/>
              <w:spacing w:after="0"/>
              <w:rPr>
                <w:sz w:val="20"/>
                <w:szCs w:val="20"/>
                <w:color w:val="auto"/>
              </w:rPr>
            </w:pPr>
            <w:r>
              <w:rPr>
                <w:rFonts w:ascii="Arial" w:cs="Arial" w:eastAsia="Arial" w:hAnsi="Arial"/>
                <w:sz w:val="20"/>
                <w:szCs w:val="20"/>
                <w:b w:val="1"/>
                <w:bCs w:val="1"/>
                <w:color w:val="auto"/>
              </w:rPr>
              <w:t>8-K   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1.1</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92"/>
              </w:rPr>
              <w:t>11/7/2023</w:t>
            </w:r>
          </w:p>
        </w:tc>
      </w:tr>
      <w:tr>
        <w:trPr>
          <w:trHeight w:val="766"/>
        </w:trPr>
        <w:tc>
          <w:tcPr>
            <w:tcW w:w="1660" w:type="dxa"/>
            <w:vAlign w:val="bottom"/>
            <w:gridSpan w:val="3"/>
          </w:tcPr>
          <w:p>
            <w:pPr>
              <w:spacing w:after="0"/>
              <w:rPr>
                <w:sz w:val="20"/>
                <w:szCs w:val="20"/>
                <w:color w:val="auto"/>
              </w:rPr>
            </w:pPr>
            <w:r>
              <w:rPr>
                <w:rFonts w:ascii="Arial" w:cs="Arial" w:eastAsia="Arial" w:hAnsi="Arial"/>
                <w:sz w:val="20"/>
                <w:szCs w:val="20"/>
                <w:b w:val="1"/>
                <w:bCs w:val="1"/>
                <w:color w:val="auto"/>
                <w:highlight w:val="white"/>
              </w:rPr>
              <w:t>10-Q   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2"/>
              </w:rPr>
              <w:t>10.1</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89"/>
              </w:rPr>
              <w:t>5/8/2024</w:t>
            </w:r>
          </w:p>
        </w:tc>
      </w:tr>
      <w:tr>
        <w:trPr>
          <w:trHeight w:val="1111"/>
        </w:trPr>
        <w:tc>
          <w:tcPr>
            <w:tcW w:w="1660" w:type="dxa"/>
            <w:vAlign w:val="bottom"/>
            <w:gridSpan w:val="3"/>
          </w:tcPr>
          <w:p>
            <w:pPr>
              <w:spacing w:after="0"/>
              <w:rPr>
                <w:sz w:val="20"/>
                <w:szCs w:val="20"/>
                <w:color w:val="auto"/>
              </w:rPr>
            </w:pPr>
            <w:r>
              <w:rPr>
                <w:rFonts w:ascii="Arial" w:cs="Arial" w:eastAsia="Arial" w:hAnsi="Arial"/>
                <w:sz w:val="20"/>
                <w:szCs w:val="20"/>
                <w:b w:val="1"/>
                <w:bCs w:val="1"/>
                <w:color w:val="auto"/>
                <w:highlight w:val="white"/>
              </w:rPr>
              <w:t xml:space="preserve">10-K  </w:t>
            </w:r>
            <w:r>
              <w:rPr>
                <w:rFonts w:ascii="Arial" w:cs="Arial" w:eastAsia="Arial" w:hAnsi="Arial"/>
                <w:sz w:val="20"/>
                <w:szCs w:val="20"/>
                <w:b w:val="1"/>
                <w:bCs w:val="1"/>
                <w:color w:val="auto"/>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10.21</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92"/>
              </w:rPr>
              <w:t>2/26/2025</w:t>
            </w:r>
          </w:p>
        </w:tc>
      </w:tr>
      <w:tr>
        <w:trPr>
          <w:trHeight w:val="1342"/>
        </w:trPr>
        <w:tc>
          <w:tcPr>
            <w:tcW w:w="500" w:type="dxa"/>
            <w:vAlign w:val="bottom"/>
            <w:gridSpan w:val="2"/>
          </w:tcPr>
          <w:p>
            <w:pPr>
              <w:spacing w:after="0"/>
              <w:rPr>
                <w:sz w:val="20"/>
                <w:szCs w:val="20"/>
                <w:color w:val="auto"/>
              </w:rPr>
            </w:pPr>
            <w:r>
              <w:rPr>
                <w:rFonts w:ascii="Arial" w:cs="Arial" w:eastAsia="Arial" w:hAnsi="Arial"/>
                <w:sz w:val="20"/>
                <w:szCs w:val="20"/>
                <w:b w:val="1"/>
                <w:bCs w:val="1"/>
                <w:color w:val="auto"/>
                <w:highlight w:val="white"/>
              </w:rPr>
              <w:t>10-K</w:t>
            </w:r>
          </w:p>
        </w:tc>
        <w:tc>
          <w:tcPr>
            <w:tcW w:w="1160" w:type="dxa"/>
            <w:vAlign w:val="bottom"/>
          </w:tcPr>
          <w:p>
            <w:pPr>
              <w:jc w:val="right"/>
              <w:ind w:right="60"/>
              <w:spacing w:after="0"/>
              <w:rPr>
                <w:sz w:val="20"/>
                <w:szCs w:val="20"/>
                <w:color w:val="auto"/>
              </w:rPr>
            </w:pPr>
            <w:r>
              <w:rPr>
                <w:rFonts w:ascii="Arial" w:cs="Arial" w:eastAsia="Arial" w:hAnsi="Arial"/>
                <w:sz w:val="20"/>
                <w:szCs w:val="20"/>
                <w:b w:val="1"/>
                <w:bCs w:val="1"/>
                <w:color w:val="auto"/>
              </w:rPr>
              <w:t>001-38792</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10.22</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92"/>
              </w:rPr>
              <w:t>2/26/2025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192" w:lineRule="exact"/>
        <w:rPr>
          <w:sz w:val="20"/>
          <w:szCs w:val="20"/>
          <w:color w:val="auto"/>
        </w:rPr>
      </w:pPr>
    </w:p>
    <w:p>
      <w:pPr>
        <w:spacing w:after="0"/>
        <w:tabs>
          <w:tab w:leader="none" w:pos="620" w:val="left"/>
          <w:tab w:leader="none" w:pos="1780" w:val="left"/>
          <w:tab w:leader="none" w:pos="2360" w:val="left"/>
        </w:tabs>
        <w:rPr>
          <w:sz w:val="20"/>
          <w:szCs w:val="20"/>
          <w:color w:val="auto"/>
        </w:rPr>
      </w:pPr>
      <w:r>
        <w:rPr>
          <w:rFonts w:ascii="Arial" w:cs="Arial" w:eastAsia="Arial" w:hAnsi="Arial"/>
          <w:sz w:val="20"/>
          <w:szCs w:val="20"/>
          <w:b w:val="1"/>
          <w:bCs w:val="1"/>
          <w:color w:val="auto"/>
        </w:rPr>
        <w:t>10-K</w:t>
        <w:tab/>
        <w:t>001-38792</w:t>
        <w:tab/>
        <w:t>21.1</w:t>
      </w:r>
      <w:r>
        <w:rPr>
          <w:sz w:val="20"/>
          <w:szCs w:val="20"/>
          <w:color w:val="auto"/>
        </w:rPr>
        <w:tab/>
      </w:r>
      <w:r>
        <w:rPr>
          <w:rFonts w:ascii="Arial" w:cs="Arial" w:eastAsia="Arial" w:hAnsi="Arial"/>
          <w:sz w:val="18"/>
          <w:szCs w:val="18"/>
          <w:b w:val="1"/>
          <w:bCs w:val="1"/>
          <w:color w:val="auto"/>
        </w:rPr>
        <w:t>2/26/2025</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X</w:t>
      </w:r>
    </w:p>
    <w:p>
      <w:pPr>
        <w:spacing w:after="0" w:line="432" w:lineRule="exact"/>
        <w:rPr>
          <w:sz w:val="20"/>
          <w:szCs w:val="20"/>
          <w:color w:val="auto"/>
        </w:rPr>
      </w:pPr>
    </w:p>
    <w:p>
      <w:pPr>
        <w:sectPr>
          <w:pgSz w:w="12240" w:h="15840" w:orient="portrait"/>
          <w:cols w:equalWidth="0" w:num="2">
            <w:col w:w="5640" w:space="140"/>
            <w:col w:w="3780"/>
          </w:cols>
          <w:pgMar w:left="1440" w:top="1165" w:right="1240" w:bottom="181" w:gutter="0" w:footer="0" w:header="0"/>
        </w:sectPr>
      </w:pPr>
    </w:p>
    <w:tbl>
      <w:tblPr>
        <w:tblLayout w:type="fixed"/>
        <w:tblInd w:w="8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44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highlight w:val="white"/>
                <w:w w:val="85"/>
              </w:rPr>
              <w:t>Certification of Principal Executive Officer Pursuant to</w:t>
            </w: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jc w:val="right"/>
              <w:ind w:right="420"/>
              <w:spacing w:after="0"/>
              <w:rPr>
                <w:sz w:val="20"/>
                <w:szCs w:val="20"/>
                <w:color w:val="auto"/>
              </w:rPr>
            </w:pPr>
            <w:r>
              <w:rPr>
                <w:rFonts w:ascii="Arial" w:cs="Arial" w:eastAsia="Arial" w:hAnsi="Arial"/>
                <w:sz w:val="20"/>
                <w:szCs w:val="20"/>
                <w:b w:val="1"/>
                <w:bCs w:val="1"/>
                <w:color w:val="auto"/>
                <w:w w:val="89"/>
              </w:rPr>
              <w:t>32.1*</w:t>
            </w:r>
          </w:p>
        </w:tc>
        <w:tc>
          <w:tcPr>
            <w:tcW w:w="4500" w:type="dxa"/>
            <w:vAlign w:val="bottom"/>
            <w:tcBorders>
              <w:bottom w:val="single" w:sz="8" w:color="0000FF"/>
            </w:tcBorders>
            <w:gridSpan w:val="3"/>
          </w:tcPr>
          <w:p>
            <w:pPr>
              <w:spacing w:after="0" w:line="210" w:lineRule="exact"/>
              <w:rPr>
                <w:sz w:val="20"/>
                <w:szCs w:val="20"/>
                <w:color w:val="auto"/>
              </w:rPr>
            </w:pPr>
            <w:r>
              <w:rPr>
                <w:rFonts w:ascii="Arial" w:cs="Arial" w:eastAsia="Arial" w:hAnsi="Arial"/>
                <w:sz w:val="20"/>
                <w:szCs w:val="20"/>
                <w:b w:val="1"/>
                <w:bCs w:val="1"/>
                <w:color w:val="0000FF"/>
                <w:highlight w:val="white"/>
                <w:w w:val="84"/>
              </w:rPr>
              <w:t>18 U.S.C. Section 1350, as Adopted Pursuant to Section</w:t>
            </w:r>
          </w:p>
        </w:tc>
        <w:tc>
          <w:tcPr>
            <w:tcW w:w="4020" w:type="dxa"/>
            <w:vAlign w:val="bottom"/>
            <w:vMerge w:val="restart"/>
          </w:tcPr>
          <w:p>
            <w:pPr>
              <w:ind w:left="3880"/>
              <w:spacing w:after="0"/>
              <w:rPr>
                <w:sz w:val="20"/>
                <w:szCs w:val="20"/>
                <w:color w:val="auto"/>
              </w:rPr>
            </w:pPr>
            <w:r>
              <w:rPr>
                <w:rFonts w:ascii="Arial" w:cs="Arial" w:eastAsia="Arial" w:hAnsi="Arial"/>
                <w:sz w:val="20"/>
                <w:szCs w:val="20"/>
                <w:b w:val="1"/>
                <w:bCs w:val="1"/>
                <w:color w:val="auto"/>
                <w:highlight w:val="white"/>
                <w:w w:val="89"/>
              </w:rPr>
              <w:t>X</w:t>
            </w:r>
          </w:p>
        </w:tc>
        <w:tc>
          <w:tcPr>
            <w:tcW w:w="0" w:type="dxa"/>
            <w:vAlign w:val="bottom"/>
          </w:tcPr>
          <w:p>
            <w:pPr>
              <w:spacing w:after="0"/>
              <w:rPr>
                <w:sz w:val="1"/>
                <w:szCs w:val="1"/>
                <w:color w:val="auto"/>
              </w:rPr>
            </w:pPr>
          </w:p>
        </w:tc>
      </w:tr>
      <w:tr>
        <w:trPr>
          <w:trHeight w:val="83"/>
        </w:trPr>
        <w:tc>
          <w:tcPr>
            <w:tcW w:w="960" w:type="dxa"/>
            <w:vAlign w:val="bottom"/>
            <w:vMerge w:val="continue"/>
          </w:tcPr>
          <w:p>
            <w:pPr>
              <w:spacing w:after="0"/>
              <w:rPr>
                <w:sz w:val="7"/>
                <w:szCs w:val="7"/>
                <w:color w:val="auto"/>
              </w:rPr>
            </w:pPr>
          </w:p>
        </w:tc>
        <w:tc>
          <w:tcPr>
            <w:tcW w:w="3200" w:type="dxa"/>
            <w:vAlign w:val="bottom"/>
            <w:vMerge w:val="restart"/>
          </w:tcPr>
          <w:p>
            <w:pPr>
              <w:spacing w:after="0" w:line="208" w:lineRule="exact"/>
              <w:rPr>
                <w:sz w:val="20"/>
                <w:szCs w:val="20"/>
                <w:color w:val="auto"/>
              </w:rPr>
            </w:pPr>
            <w:r>
              <w:rPr>
                <w:rFonts w:ascii="Arial" w:cs="Arial" w:eastAsia="Arial" w:hAnsi="Arial"/>
                <w:sz w:val="20"/>
                <w:szCs w:val="20"/>
                <w:b w:val="1"/>
                <w:bCs w:val="1"/>
                <w:color w:val="0000FF"/>
                <w:highlight w:val="white"/>
                <w:w w:val="86"/>
              </w:rPr>
              <w:t>906 of the Sarbanes-Oxley Act of 2002.</w:t>
            </w:r>
          </w:p>
        </w:tc>
        <w:tc>
          <w:tcPr>
            <w:tcW w:w="1300" w:type="dxa"/>
            <w:vAlign w:val="bottom"/>
            <w:gridSpan w:val="2"/>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0"/>
                <w:szCs w:val="10"/>
                <w:color w:val="auto"/>
              </w:rPr>
            </w:pPr>
          </w:p>
        </w:tc>
        <w:tc>
          <w:tcPr>
            <w:tcW w:w="3200" w:type="dxa"/>
            <w:vAlign w:val="bottom"/>
            <w:tcBorders>
              <w:bottom w:val="single" w:sz="8" w:color="0000FF"/>
            </w:tcBorders>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560"/>
          </w:cols>
          <w:pgMar w:left="1440" w:top="1165" w:right="1240" w:bottom="181" w:gutter="0" w:footer="0" w:header="0"/>
          <w:type w:val="continuous"/>
        </w:sectPr>
      </w:pP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131</w:t>
      </w:r>
    </w:p>
    <w:p>
      <w:pPr>
        <w:sectPr>
          <w:pgSz w:w="12240" w:h="15840" w:orient="portrait"/>
          <w:cols w:equalWidth="0" w:num="1">
            <w:col w:w="9560"/>
          </w:cols>
          <w:pgMar w:left="1440" w:top="1165" w:right="1240" w:bottom="181" w:gutter="0" w:footer="0" w:header="0"/>
          <w:type w:val="continuous"/>
        </w:sectPr>
      </w:pPr>
    </w:p>
    <w:bookmarkStart w:id="133" w:name="page134"/>
    <w:bookmarkEnd w:id="133"/>
    <w:p>
      <w:pPr>
        <w:spacing w:after="0" w:line="33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highlight w:val="white"/>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101.INS</w:t>
      </w:r>
    </w:p>
    <w:p>
      <w:pPr>
        <w:spacing w:after="0" w:line="31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101.SCH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b w:val="1"/>
                <w:bCs w:val="1"/>
                <w:color w:val="0000FF"/>
                <w:highlight w:val="white"/>
                <w:w w:val="85"/>
              </w:rPr>
              <w:t>Certification of Principal Financial Officer Pursuant to 18</w:t>
            </w:r>
          </w:p>
        </w:tc>
        <w:tc>
          <w:tcPr>
            <w:tcW w:w="1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0000FF"/>
            </w:tcBorders>
            <w:gridSpan w:val="3"/>
          </w:tcPr>
          <w:p>
            <w:pPr>
              <w:spacing w:after="0" w:line="210" w:lineRule="exact"/>
              <w:rPr>
                <w:sz w:val="20"/>
                <w:szCs w:val="20"/>
                <w:color w:val="auto"/>
              </w:rPr>
            </w:pPr>
            <w:r>
              <w:rPr>
                <w:rFonts w:ascii="Arial" w:cs="Arial" w:eastAsia="Arial" w:hAnsi="Arial"/>
                <w:sz w:val="20"/>
                <w:szCs w:val="20"/>
                <w:b w:val="1"/>
                <w:bCs w:val="1"/>
                <w:color w:val="0000FF"/>
                <w:highlight w:val="white"/>
                <w:w w:val="84"/>
              </w:rPr>
              <w:t>U.S.C. Section 1350, as Adopted Pursuant to Section 906</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80" w:type="dxa"/>
            <w:vAlign w:val="bottom"/>
            <w:vMerge w:val="restart"/>
          </w:tcPr>
          <w:p>
            <w:pPr>
              <w:ind w:left="1940"/>
              <w:spacing w:after="0"/>
              <w:rPr>
                <w:sz w:val="20"/>
                <w:szCs w:val="20"/>
                <w:color w:val="auto"/>
              </w:rPr>
            </w:pPr>
            <w:r>
              <w:rPr>
                <w:rFonts w:ascii="Arial" w:cs="Arial" w:eastAsia="Arial" w:hAnsi="Arial"/>
                <w:sz w:val="20"/>
                <w:szCs w:val="20"/>
                <w:b w:val="1"/>
                <w:bCs w:val="1"/>
                <w:color w:val="auto"/>
                <w:w w:val="89"/>
              </w:rPr>
              <w:t>X</w:t>
            </w:r>
          </w:p>
        </w:tc>
        <w:tc>
          <w:tcPr>
            <w:tcW w:w="0" w:type="dxa"/>
            <w:vAlign w:val="bottom"/>
          </w:tcPr>
          <w:p>
            <w:pPr>
              <w:spacing w:after="0"/>
              <w:rPr>
                <w:sz w:val="1"/>
                <w:szCs w:val="1"/>
                <w:color w:val="auto"/>
              </w:rPr>
            </w:pPr>
          </w:p>
        </w:tc>
      </w:tr>
      <w:tr>
        <w:trPr>
          <w:trHeight w:val="86"/>
        </w:trPr>
        <w:tc>
          <w:tcPr>
            <w:tcW w:w="4620" w:type="dxa"/>
            <w:vAlign w:val="bottom"/>
            <w:gridSpan w:val="4"/>
            <w:vMerge w:val="restart"/>
          </w:tcPr>
          <w:p>
            <w:pPr>
              <w:spacing w:after="0" w:line="210" w:lineRule="exact"/>
              <w:rPr>
                <w:sz w:val="20"/>
                <w:szCs w:val="20"/>
                <w:color w:val="auto"/>
              </w:rPr>
            </w:pPr>
            <w:r>
              <w:rPr>
                <w:rFonts w:ascii="Arial" w:cs="Arial" w:eastAsia="Arial" w:hAnsi="Arial"/>
                <w:sz w:val="20"/>
                <w:szCs w:val="20"/>
                <w:b w:val="1"/>
                <w:bCs w:val="1"/>
                <w:color w:val="0000FF"/>
                <w:highlight w:val="white"/>
              </w:rPr>
              <w:t>of the Sarbanes-Oxley Act of 2002.</w:t>
            </w:r>
          </w:p>
        </w:tc>
        <w:tc>
          <w:tcPr>
            <w:tcW w:w="18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620" w:type="dxa"/>
            <w:vAlign w:val="bottom"/>
            <w:gridSpan w:val="4"/>
            <w:vMerge w:val="continue"/>
          </w:tcPr>
          <w:p>
            <w:pPr>
              <w:spacing w:after="0"/>
              <w:rPr>
                <w:sz w:val="10"/>
                <w:szCs w:val="10"/>
                <w:color w:val="auto"/>
              </w:rPr>
            </w:pPr>
          </w:p>
        </w:tc>
        <w:tc>
          <w:tcPr>
            <w:tcW w:w="18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0"/>
        </w:trPr>
        <w:tc>
          <w:tcPr>
            <w:tcW w:w="2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b w:val="1"/>
                <w:bCs w:val="1"/>
                <w:color w:val="0000FF"/>
                <w:w w:val="84"/>
              </w:rPr>
              <w:t>Compensation Recovery Policy</w:t>
            </w:r>
          </w:p>
        </w:tc>
        <w:tc>
          <w:tcPr>
            <w:tcW w:w="300" w:type="dxa"/>
            <w:vAlign w:val="bottom"/>
            <w:tcBorders>
              <w:top w:val="single" w:sz="8" w:color="0000FF"/>
            </w:tcBorders>
          </w:tcPr>
          <w:p>
            <w:pPr>
              <w:spacing w:after="0"/>
              <w:rPr>
                <w:sz w:val="24"/>
                <w:szCs w:val="24"/>
                <w:color w:val="auto"/>
              </w:rPr>
            </w:pPr>
          </w:p>
        </w:tc>
        <w:tc>
          <w:tcPr>
            <w:tcW w:w="1780" w:type="dxa"/>
            <w:vAlign w:val="bottom"/>
            <w:gridSpan w:val="2"/>
          </w:tcPr>
          <w:p>
            <w:pPr>
              <w:spacing w:after="0"/>
              <w:rPr>
                <w:sz w:val="24"/>
                <w:szCs w:val="24"/>
                <w:color w:val="auto"/>
              </w:rPr>
            </w:pPr>
          </w:p>
        </w:tc>
        <w:tc>
          <w:tcPr>
            <w:tcW w:w="18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10-K   001-38792</w:t>
            </w:r>
          </w:p>
        </w:tc>
        <w:tc>
          <w:tcPr>
            <w:tcW w:w="2080" w:type="dxa"/>
            <w:vAlign w:val="bottom"/>
            <w:vMerge w:val="restart"/>
          </w:tcPr>
          <w:p>
            <w:pPr>
              <w:jc w:val="right"/>
              <w:ind w:right="480"/>
              <w:spacing w:after="0"/>
              <w:rPr>
                <w:sz w:val="20"/>
                <w:szCs w:val="20"/>
                <w:color w:val="auto"/>
              </w:rPr>
            </w:pPr>
            <w:r>
              <w:rPr>
                <w:rFonts w:ascii="Arial" w:cs="Arial" w:eastAsia="Arial" w:hAnsi="Arial"/>
                <w:sz w:val="20"/>
                <w:szCs w:val="20"/>
                <w:b w:val="1"/>
                <w:bCs w:val="1"/>
                <w:color w:val="auto"/>
              </w:rPr>
              <w:t>97   2/27/2024</w:t>
            </w:r>
          </w:p>
        </w:tc>
        <w:tc>
          <w:tcPr>
            <w:tcW w:w="0" w:type="dxa"/>
            <w:vAlign w:val="bottom"/>
          </w:tcPr>
          <w:p>
            <w:pPr>
              <w:spacing w:after="0"/>
              <w:rPr>
                <w:sz w:val="1"/>
                <w:szCs w:val="1"/>
                <w:color w:val="auto"/>
              </w:rPr>
            </w:pPr>
          </w:p>
        </w:tc>
      </w:tr>
      <w:tr>
        <w:trPr>
          <w:trHeight w:val="86"/>
        </w:trPr>
        <w:tc>
          <w:tcPr>
            <w:tcW w:w="4620" w:type="dxa"/>
            <w:vAlign w:val="bottom"/>
            <w:gridSpan w:val="4"/>
            <w:vMerge w:val="restart"/>
          </w:tcPr>
          <w:p>
            <w:pPr>
              <w:spacing w:after="0"/>
              <w:rPr>
                <w:sz w:val="20"/>
                <w:szCs w:val="20"/>
                <w:color w:val="auto"/>
              </w:rPr>
            </w:pPr>
            <w:r>
              <w:rPr>
                <w:rFonts w:ascii="Arial" w:cs="Arial" w:eastAsia="Arial" w:hAnsi="Arial"/>
                <w:sz w:val="20"/>
                <w:szCs w:val="20"/>
                <w:b w:val="1"/>
                <w:bCs w:val="1"/>
                <w:color w:val="auto"/>
                <w:highlight w:val="white"/>
              </w:rPr>
              <w:t xml:space="preserve">Inline XBRL Instance </w:t>
            </w:r>
            <w:r>
              <w:rPr>
                <w:rFonts w:ascii="Arial" w:cs="Arial" w:eastAsia="Arial" w:hAnsi="Arial"/>
                <w:sz w:val="20"/>
                <w:szCs w:val="20"/>
                <w:b w:val="1"/>
                <w:bCs w:val="1"/>
                <w:color w:val="auto"/>
              </w:rPr>
              <w:t>Document</w:t>
            </w:r>
          </w:p>
        </w:tc>
        <w:tc>
          <w:tcPr>
            <w:tcW w:w="182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4620" w:type="dxa"/>
            <w:vAlign w:val="bottom"/>
            <w:gridSpan w:val="4"/>
            <w:vMerge w:val="continue"/>
          </w:tcPr>
          <w:p>
            <w:pPr>
              <w:spacing w:after="0"/>
              <w:rPr>
                <w:sz w:val="24"/>
                <w:szCs w:val="24"/>
                <w:color w:val="auto"/>
              </w:rPr>
            </w:pPr>
          </w:p>
        </w:tc>
        <w:tc>
          <w:tcPr>
            <w:tcW w:w="1820" w:type="dxa"/>
            <w:vAlign w:val="bottom"/>
          </w:tcPr>
          <w:p>
            <w:pPr>
              <w:spacing w:after="0"/>
              <w:rPr>
                <w:sz w:val="24"/>
                <w:szCs w:val="24"/>
                <w:color w:val="auto"/>
              </w:rPr>
            </w:pPr>
          </w:p>
        </w:tc>
        <w:tc>
          <w:tcPr>
            <w:tcW w:w="2080" w:type="dxa"/>
            <w:vAlign w:val="bottom"/>
            <w:vMerge w:val="restart"/>
          </w:tcPr>
          <w:p>
            <w:pPr>
              <w:ind w:left="1940"/>
              <w:spacing w:after="0"/>
              <w:rPr>
                <w:sz w:val="20"/>
                <w:szCs w:val="20"/>
                <w:color w:val="auto"/>
              </w:rPr>
            </w:pPr>
            <w:r>
              <w:rPr>
                <w:rFonts w:ascii="Arial" w:cs="Arial" w:eastAsia="Arial" w:hAnsi="Arial"/>
                <w:sz w:val="20"/>
                <w:szCs w:val="20"/>
                <w:b w:val="1"/>
                <w:bCs w:val="1"/>
                <w:color w:val="auto"/>
                <w:w w:val="89"/>
              </w:rPr>
              <w:t>X</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4620" w:type="dxa"/>
            <w:vAlign w:val="bottom"/>
            <w:gridSpan w:val="4"/>
          </w:tcPr>
          <w:p>
            <w:pPr>
              <w:spacing w:after="0"/>
              <w:rPr>
                <w:sz w:val="20"/>
                <w:szCs w:val="20"/>
                <w:color w:val="auto"/>
              </w:rPr>
            </w:pPr>
            <w:r>
              <w:rPr>
                <w:rFonts w:ascii="Arial" w:cs="Arial" w:eastAsia="Arial" w:hAnsi="Arial"/>
                <w:sz w:val="20"/>
                <w:szCs w:val="20"/>
                <w:b w:val="1"/>
                <w:bCs w:val="1"/>
                <w:color w:val="auto"/>
                <w:highlight w:val="white"/>
              </w:rPr>
              <w:t xml:space="preserve">Inline XBRL Taxonomy Extension </w:t>
            </w:r>
            <w:r>
              <w:rPr>
                <w:rFonts w:ascii="Arial" w:cs="Arial" w:eastAsia="Arial" w:hAnsi="Arial"/>
                <w:sz w:val="20"/>
                <w:szCs w:val="20"/>
                <w:b w:val="1"/>
                <w:bCs w:val="1"/>
                <w:color w:val="auto"/>
              </w:rPr>
              <w:t>Schema With</w:t>
            </w:r>
          </w:p>
        </w:tc>
        <w:tc>
          <w:tcPr>
            <w:tcW w:w="1820" w:type="dxa"/>
            <w:vAlign w:val="bottom"/>
          </w:tcPr>
          <w:p>
            <w:pPr>
              <w:spacing w:after="0"/>
              <w:rPr>
                <w:sz w:val="24"/>
                <w:szCs w:val="24"/>
                <w:color w:val="auto"/>
              </w:rPr>
            </w:pPr>
          </w:p>
        </w:tc>
        <w:tc>
          <w:tcPr>
            <w:tcW w:w="2080" w:type="dxa"/>
            <w:vAlign w:val="bottom"/>
            <w:vMerge w:val="restart"/>
          </w:tcPr>
          <w:p>
            <w:pPr>
              <w:ind w:left="1940"/>
              <w:spacing w:after="0"/>
              <w:rPr>
                <w:sz w:val="20"/>
                <w:szCs w:val="20"/>
                <w:color w:val="auto"/>
              </w:rPr>
            </w:pPr>
            <w:r>
              <w:rPr>
                <w:rFonts w:ascii="Arial" w:cs="Arial" w:eastAsia="Arial" w:hAnsi="Arial"/>
                <w:sz w:val="20"/>
                <w:szCs w:val="20"/>
                <w:b w:val="1"/>
                <w:bCs w:val="1"/>
                <w:color w:val="auto"/>
                <w:w w:val="89"/>
              </w:rPr>
              <w:t>X</w:t>
            </w: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20"/>
                <w:szCs w:val="20"/>
                <w:b w:val="1"/>
                <w:bCs w:val="1"/>
                <w:color w:val="auto"/>
              </w:rPr>
              <w:t>Embedded Linkbase Documents</w:t>
            </w:r>
          </w:p>
        </w:tc>
        <w:tc>
          <w:tcPr>
            <w:tcW w:w="1820" w:type="dxa"/>
            <w:vAlign w:val="bottom"/>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-1409065</wp:posOffset>
            </wp:positionV>
            <wp:extent cx="6282690" cy="1957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2690" cy="1957705"/>
                    </a:xfrm>
                    <a:prstGeom prst="rect">
                      <a:avLst/>
                    </a:prstGeom>
                    <a:noFill/>
                  </pic:spPr>
                </pic:pic>
              </a:graphicData>
            </a:graphic>
          </wp:anchor>
        </w:drawing>
      </w:r>
    </w:p>
    <w:p>
      <w:pPr>
        <w:spacing w:after="0" w:line="174" w:lineRule="exact"/>
        <w:rPr>
          <w:sz w:val="20"/>
          <w:szCs w:val="20"/>
          <w:color w:val="auto"/>
        </w:rPr>
      </w:pPr>
    </w:p>
    <w:p>
      <w:pPr>
        <w:sectPr>
          <w:pgSz w:w="12240" w:h="15840" w:orient="portrait"/>
          <w:cols w:equalWidth="0" w:num="2">
            <w:col w:w="820" w:space="220"/>
            <w:col w:w="8820"/>
          </w:cols>
          <w:pgMar w:left="1440" w:top="1148" w:right="940" w:bottom="181" w:gutter="0" w:footer="0" w:header="0"/>
        </w:sectPr>
      </w:pPr>
    </w:p>
    <w:p>
      <w:pPr>
        <w:ind w:left="1040"/>
        <w:spacing w:after="0"/>
        <w:rPr>
          <w:sz w:val="20"/>
          <w:szCs w:val="20"/>
          <w:color w:val="auto"/>
        </w:rPr>
      </w:pPr>
      <w:r>
        <w:rPr>
          <w:rFonts w:ascii="Arial" w:cs="Arial" w:eastAsia="Arial" w:hAnsi="Arial"/>
          <w:sz w:val="20"/>
          <w:szCs w:val="20"/>
          <w:b w:val="1"/>
          <w:bCs w:val="1"/>
          <w:color w:val="auto"/>
          <w:highlight w:val="white"/>
        </w:rPr>
        <w:t>Cover Page Interactive Data File (embedded within the</w:t>
      </w:r>
    </w:p>
    <w:p>
      <w:pPr>
        <w:spacing w:after="0" w:line="16" w:lineRule="exact"/>
        <w:rPr>
          <w:sz w:val="20"/>
          <w:szCs w:val="20"/>
          <w:color w:val="auto"/>
        </w:rPr>
      </w:pPr>
    </w:p>
    <w:p>
      <w:pPr>
        <w:ind w:left="1040" w:hanging="961"/>
        <w:spacing w:after="0"/>
        <w:tabs>
          <w:tab w:leader="none" w:pos="1040"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color w:val="auto"/>
          <w:highlight w:val="white"/>
        </w:rPr>
        <w:t>Inline XBRL document)</w:t>
      </w:r>
    </w:p>
    <w:p>
      <w:pPr>
        <w:spacing w:after="0" w:line="309" w:lineRule="exact"/>
        <w:rPr>
          <w:rFonts w:ascii="Arial" w:cs="Arial" w:eastAsia="Arial" w:hAnsi="Arial"/>
          <w:sz w:val="20"/>
          <w:szCs w:val="20"/>
          <w:b w:val="1"/>
          <w:bCs w:val="1"/>
          <w:color w:val="auto"/>
        </w:rPr>
      </w:pPr>
    </w:p>
    <w:p>
      <w:pPr>
        <w:ind w:left="160" w:hanging="160"/>
        <w:spacing w:after="0"/>
        <w:tabs>
          <w:tab w:leader="none" w:pos="1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Indicates management contract or compensatory plan.</w:t>
      </w:r>
    </w:p>
    <w:p>
      <w:pPr>
        <w:spacing w:after="0" w:line="71" w:lineRule="exact"/>
        <w:rPr>
          <w:sz w:val="20"/>
          <w:szCs w:val="20"/>
          <w:color w:val="auto"/>
        </w:rPr>
      </w:pPr>
    </w:p>
    <w:p>
      <w:pPr>
        <w:ind w:right="480"/>
        <w:spacing w:after="0" w:line="234" w:lineRule="auto"/>
        <w:tabs>
          <w:tab w:leader="none" w:pos="151"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Portions of this exhibit (indicated by asterisks) have been omitted in accordance with the rules of the Securities and Exchange Commission.</w:t>
      </w:r>
    </w:p>
    <w:p>
      <w:pPr>
        <w:spacing w:after="0" w:line="72" w:lineRule="exact"/>
        <w:rPr>
          <w:sz w:val="20"/>
          <w:szCs w:val="20"/>
          <w:color w:val="auto"/>
        </w:rPr>
      </w:pPr>
    </w:p>
    <w:p>
      <w:pPr>
        <w:ind w:hanging="14"/>
        <w:spacing w:after="0" w:line="254" w:lineRule="auto"/>
        <w:rPr>
          <w:sz w:val="20"/>
          <w:szCs w:val="20"/>
          <w:color w:val="auto"/>
        </w:rPr>
      </w:pPr>
      <w:r>
        <w:rPr>
          <w:sz w:val="1"/>
          <w:szCs w:val="1"/>
          <w:color w:val="auto"/>
        </w:rPr>
        <w:drawing>
          <wp:inline distT="0" distB="0" distL="0" distR="0">
            <wp:extent cx="101600" cy="11049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600" cy="110490"/>
                    </a:xfrm>
                    <a:prstGeom prst="rect">
                      <a:avLst/>
                    </a:prstGeom>
                    <a:noFill/>
                    <a:ln>
                      <a:noFill/>
                    </a:ln>
                  </pic:spPr>
                </pic:pic>
              </a:graphicData>
            </a:graphic>
          </wp:inline>
        </w:drawing>
      </w:r>
      <w:r>
        <w:rPr>
          <w:rFonts w:ascii="Arial" w:cs="Arial" w:eastAsia="Arial" w:hAnsi="Arial"/>
          <w:sz w:val="19"/>
          <w:szCs w:val="19"/>
          <w:b w:val="1"/>
          <w:bCs w:val="1"/>
          <w:color w:val="auto"/>
        </w:rPr>
        <w:t xml:space="preserve"> Certain schedules and exhibits to this exhibit have been omitted pursuant to Item 601(a)(5) of Regulation S-K. A copy of any omitted exhibit or schedule will be furnished to the SEC or its staff upon request.</w:t>
      </w:r>
    </w:p>
    <w:p>
      <w:pPr>
        <w:spacing w:after="0" w:line="58" w:lineRule="exact"/>
        <w:rPr>
          <w:sz w:val="20"/>
          <w:szCs w:val="20"/>
          <w:color w:val="auto"/>
        </w:rPr>
      </w:pPr>
    </w:p>
    <w:p>
      <w:pPr>
        <w:ind w:right="160"/>
        <w:spacing w:after="0" w:line="252" w:lineRule="auto"/>
        <w:tabs>
          <w:tab w:leader="none" w:pos="151"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pgSz w:w="12240" w:h="15840" w:orient="portrait"/>
          <w:cols w:equalWidth="0" w:num="1">
            <w:col w:w="9860"/>
          </w:cols>
          <w:pgMar w:left="1440" w:top="1148" w:right="94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132</w:t>
      </w:r>
    </w:p>
    <w:p>
      <w:pPr>
        <w:sectPr>
          <w:pgSz w:w="12240" w:h="15840" w:orient="portrait"/>
          <w:cols w:equalWidth="0" w:num="1">
            <w:col w:w="9860"/>
          </w:cols>
          <w:pgMar w:left="1440" w:top="1148" w:right="940" w:bottom="181"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371" w:lineRule="exact"/>
        <w:rPr>
          <w:sz w:val="20"/>
          <w:szCs w:val="20"/>
          <w:color w:val="auto"/>
        </w:rPr>
      </w:pPr>
    </w:p>
    <w:p>
      <w:pPr>
        <w:ind w:right="740" w:firstLine="490"/>
        <w:spacing w:after="0" w:line="382" w:lineRule="auto"/>
        <w:rPr>
          <w:sz w:val="20"/>
          <w:szCs w:val="20"/>
          <w:color w:val="auto"/>
        </w:rPr>
      </w:pPr>
      <w:r>
        <w:rPr>
          <w:rFonts w:ascii="Arial" w:cs="Arial" w:eastAsia="Arial" w:hAnsi="Arial"/>
          <w:sz w:val="15"/>
          <w:szCs w:val="15"/>
          <w:b w:val="1"/>
          <w:bCs w:val="1"/>
          <w:color w:val="auto"/>
        </w:rPr>
        <w:t>Pursuant to the requirements of Section 13 or 15(d) of the Securities Exchange Act of 1934, as amended, the Registrant has duly caused this Report to be signed on its behalf by the undersigned, thereunto duly authorized.</w:t>
      </w:r>
    </w:p>
    <w:p>
      <w:pPr>
        <w:spacing w:after="0" w:line="192"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ALECTOR,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6336030" cy="73634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6030" cy="7363460"/>
                    </a:xfrm>
                    <a:prstGeom prst="rect">
                      <a:avLst/>
                    </a:prstGeom>
                    <a:noFill/>
                  </pic:spPr>
                </pic:pic>
              </a:graphicData>
            </a:graphic>
          </wp:anchor>
        </w:drawing>
      </w:r>
    </w:p>
    <w:p>
      <w:pPr>
        <w:spacing w:after="0" w:line="240" w:lineRule="exact"/>
        <w:rPr>
          <w:sz w:val="20"/>
          <w:szCs w:val="20"/>
          <w:color w:val="auto"/>
        </w:rPr>
      </w:pPr>
    </w:p>
    <w:p>
      <w:pPr>
        <w:spacing w:after="0"/>
        <w:tabs>
          <w:tab w:leader="none" w:pos="4880" w:val="left"/>
        </w:tabs>
        <w:rPr>
          <w:sz w:val="20"/>
          <w:szCs w:val="20"/>
          <w:color w:val="auto"/>
        </w:rPr>
      </w:pPr>
      <w:r>
        <w:rPr>
          <w:rFonts w:ascii="Arial" w:cs="Arial" w:eastAsia="Arial" w:hAnsi="Arial"/>
          <w:sz w:val="20"/>
          <w:szCs w:val="20"/>
          <w:b w:val="1"/>
          <w:bCs w:val="1"/>
          <w:color w:val="auto"/>
          <w:highlight w:val="white"/>
        </w:rPr>
        <w:t xml:space="preserve">Date: February 25, </w:t>
      </w:r>
      <w:r>
        <w:rPr>
          <w:rFonts w:ascii="Arial" w:cs="Arial" w:eastAsia="Arial" w:hAnsi="Arial"/>
          <w:sz w:val="20"/>
          <w:szCs w:val="20"/>
          <w:b w:val="1"/>
          <w:bCs w:val="1"/>
          <w:color w:val="auto"/>
        </w:rPr>
        <w:t>2026</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b w:val="1"/>
          <w:bCs w:val="1"/>
          <w:color w:val="auto"/>
          <w:highlight w:val="white"/>
        </w:rPr>
        <w:t>/s/ Arnon</w:t>
      </w:r>
      <w:r>
        <w:rPr>
          <w:rFonts w:ascii="Arial" w:cs="Arial" w:eastAsia="Arial" w:hAnsi="Arial"/>
          <w:sz w:val="17"/>
          <w:szCs w:val="17"/>
          <w:b w:val="1"/>
          <w:bCs w:val="1"/>
          <w:color w:val="auto"/>
        </w:rPr>
        <w:t xml:space="preserve"> Rosenthal</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highlight w:val="white"/>
        </w:rPr>
        <w:t xml:space="preserve">Arnon Rosenthal, </w:t>
      </w:r>
      <w:r>
        <w:rPr>
          <w:rFonts w:ascii="Arial" w:cs="Arial" w:eastAsia="Arial" w:hAnsi="Arial"/>
          <w:sz w:val="20"/>
          <w:szCs w:val="20"/>
          <w:b w:val="1"/>
          <w:bCs w:val="1"/>
          <w:color w:val="auto"/>
        </w:rPr>
        <w:t>Ph.D.</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Co-founder and Chief Executive Officer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51" w:lineRule="exact"/>
        <w:rPr>
          <w:sz w:val="20"/>
          <w:szCs w:val="20"/>
          <w:color w:val="auto"/>
        </w:rPr>
      </w:pPr>
    </w:p>
    <w:p>
      <w:pPr>
        <w:ind w:firstLine="490"/>
        <w:spacing w:after="0" w:line="256" w:lineRule="auto"/>
        <w:rPr>
          <w:sz w:val="20"/>
          <w:szCs w:val="20"/>
          <w:color w:val="auto"/>
        </w:rPr>
      </w:pPr>
      <w:r>
        <w:rPr>
          <w:rFonts w:ascii="Arial" w:cs="Arial" w:eastAsia="Arial" w:hAnsi="Arial"/>
          <w:sz w:val="18"/>
          <w:szCs w:val="18"/>
          <w:b w:val="1"/>
          <w:bCs w:val="1"/>
          <w:color w:val="auto"/>
        </w:rPr>
        <w:t xml:space="preserve">KNOW ALL PERSONS BY THESE PRESENTS, that each person whose signature appears below constitutes and </w:t>
      </w:r>
      <w:r>
        <w:rPr>
          <w:rFonts w:ascii="Arial" w:cs="Arial" w:eastAsia="Arial" w:hAnsi="Arial"/>
          <w:sz w:val="18"/>
          <w:szCs w:val="18"/>
          <w:b w:val="1"/>
          <w:bCs w:val="1"/>
          <w:color w:val="auto"/>
          <w:highlight w:val="white"/>
        </w:rPr>
        <w:t>appoints Arnon Rosenthal, Ph.D., Neil Berkley, and Grace Wong-Sarad as his or her true and lawful attorneys-in-fact and agents, with full power of substitution and substitution, for him or her and in his or her name, place, and stead, in any and all capacities (including his capacity as a director and/or officer of Alector, Inc.) to sign any or all amendments to this Annual Report on Form 10-K, and to file the</w:t>
      </w:r>
      <w:r>
        <w:rPr>
          <w:sz w:val="1"/>
          <w:szCs w:val="1"/>
          <w:color w:val="auto"/>
        </w:rPr>
        <w:drawing>
          <wp:inline distT="0" distB="0" distL="0" distR="0">
            <wp:extent cx="59055" cy="1651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55" cy="165100"/>
                    </a:xfrm>
                    <a:prstGeom prst="rect">
                      <a:avLst/>
                    </a:prstGeom>
                    <a:noFill/>
                    <a:ln>
                      <a:noFill/>
                    </a:ln>
                  </pic:spPr>
                </pic:pic>
              </a:graphicData>
            </a:graphic>
          </wp:inline>
        </w:drawing>
      </w:r>
      <w:r>
        <w:rPr>
          <w:rFonts w:ascii="Arial" w:cs="Arial" w:eastAsia="Arial" w:hAnsi="Arial"/>
          <w:sz w:val="18"/>
          <w:szCs w:val="18"/>
          <w:b w:val="1"/>
          <w:bCs w:val="1"/>
          <w:color w:val="auto"/>
          <w:highlight w:val="white"/>
        </w:rPr>
        <w:t>same,</w:t>
      </w:r>
      <w:r>
        <w:rPr>
          <w:sz w:val="1"/>
          <w:szCs w:val="1"/>
          <w:color w:val="auto"/>
        </w:rPr>
        <w:drawing>
          <wp:inline distT="0" distB="0" distL="0" distR="0">
            <wp:extent cx="59055" cy="1651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055" cy="165100"/>
                    </a:xfrm>
                    <a:prstGeom prst="rect">
                      <a:avLst/>
                    </a:prstGeom>
                    <a:noFill/>
                    <a:ln>
                      <a:noFill/>
                    </a:ln>
                  </pic:spPr>
                </pic:pic>
              </a:graphicData>
            </a:graphic>
          </wp:inline>
        </w:drawing>
      </w:r>
      <w:r>
        <w:rPr>
          <w:rFonts w:ascii="Arial" w:cs="Arial" w:eastAsia="Arial" w:hAnsi="Arial"/>
          <w:sz w:val="18"/>
          <w:szCs w:val="18"/>
          <w:b w:val="1"/>
          <w:bCs w:val="1"/>
          <w:color w:val="auto"/>
          <w:highlight w:val="white"/>
        </w:rPr>
        <w:t xml:space="preserve">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w:t>
      </w:r>
      <w:r>
        <w:rPr>
          <w:rFonts w:ascii="Arial" w:cs="Arial" w:eastAsia="Arial" w:hAnsi="Arial"/>
          <w:sz w:val="18"/>
          <w:szCs w:val="18"/>
          <w:b w:val="1"/>
          <w:bCs w:val="1"/>
          <w:color w:val="auto"/>
        </w:rPr>
        <w:t>cause to be done by virtue hereof.</w:t>
      </w:r>
    </w:p>
    <w:p>
      <w:pPr>
        <w:spacing w:after="0" w:line="231" w:lineRule="exact"/>
        <w:rPr>
          <w:sz w:val="20"/>
          <w:szCs w:val="20"/>
          <w:color w:val="auto"/>
        </w:rPr>
      </w:pPr>
    </w:p>
    <w:p>
      <w:pPr>
        <w:ind w:right="60" w:firstLine="490"/>
        <w:spacing w:after="0" w:line="241" w:lineRule="auto"/>
        <w:rPr>
          <w:sz w:val="20"/>
          <w:szCs w:val="20"/>
          <w:color w:val="auto"/>
        </w:rPr>
      </w:pPr>
      <w:r>
        <w:rPr>
          <w:rFonts w:ascii="Arial" w:cs="Arial" w:eastAsia="Arial" w:hAnsi="Arial"/>
          <w:sz w:val="18"/>
          <w:szCs w:val="18"/>
          <w:b w:val="1"/>
          <w:bCs w:val="1"/>
          <w:color w:val="auto"/>
        </w:rPr>
        <w:t xml:space="preserve">Pursuant to the requirements of the Securities Exchange Act of 1934, as amended, this Report has been signed below </w:t>
      </w:r>
      <w:r>
        <w:rPr>
          <w:rFonts w:ascii="Arial" w:cs="Arial" w:eastAsia="Arial" w:hAnsi="Arial"/>
          <w:sz w:val="18"/>
          <w:szCs w:val="18"/>
          <w:b w:val="1"/>
          <w:bCs w:val="1"/>
          <w:color w:val="auto"/>
          <w:highlight w:val="white"/>
        </w:rPr>
        <w:t>by the following persons</w:t>
      </w:r>
      <w:r>
        <w:rPr>
          <w:sz w:val="1"/>
          <w:szCs w:val="1"/>
          <w:color w:val="auto"/>
        </w:rPr>
        <w:drawing>
          <wp:inline distT="0" distB="0" distL="0" distR="0">
            <wp:extent cx="57150" cy="1428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0" cy="142875"/>
                    </a:xfrm>
                    <a:prstGeom prst="rect">
                      <a:avLst/>
                    </a:prstGeom>
                    <a:noFill/>
                    <a:ln>
                      <a:noFill/>
                    </a:ln>
                  </pic:spPr>
                </pic:pic>
              </a:graphicData>
            </a:graphic>
          </wp:inline>
        </w:drawing>
      </w:r>
      <w:r>
        <w:rPr>
          <w:rFonts w:ascii="Arial" w:cs="Arial" w:eastAsia="Arial" w:hAnsi="Arial"/>
          <w:sz w:val="18"/>
          <w:szCs w:val="18"/>
          <w:b w:val="1"/>
          <w:bCs w:val="1"/>
          <w:color w:val="auto"/>
          <w:highlight w:val="white"/>
        </w:rPr>
        <w:t>on behalf of the Registrant in the capacities and on the dates indicated.</w:t>
      </w:r>
    </w:p>
    <w:p>
      <w:pPr>
        <w:spacing w:after="0" w:line="209" w:lineRule="exact"/>
        <w:rPr>
          <w:sz w:val="20"/>
          <w:szCs w:val="20"/>
          <w:color w:val="auto"/>
        </w:rPr>
      </w:pPr>
    </w:p>
    <w:p>
      <w:pPr>
        <w:ind w:left="1520"/>
        <w:spacing w:after="0"/>
        <w:tabs>
          <w:tab w:leader="none" w:pos="5700" w:val="left"/>
          <w:tab w:leader="none" w:pos="88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ectPr>
          <w:pgSz w:w="12240" w:h="15840" w:orient="portrait"/>
          <w:cols w:equalWidth="0" w:num="1">
            <w:col w:w="9920"/>
          </w:cols>
          <w:pgMar w:left="1440" w:top="1151" w:right="880" w:bottom="181"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/s/ Arnon Rosenthal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Arnon Rosenthal, Ph.D.</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/s/ </w:t>
      </w:r>
      <w:r>
        <w:rPr>
          <w:rFonts w:ascii="Arial" w:cs="Arial" w:eastAsia="Arial" w:hAnsi="Arial"/>
          <w:sz w:val="20"/>
          <w:szCs w:val="20"/>
          <w:b w:val="1"/>
          <w:bCs w:val="1"/>
          <w:color w:val="auto"/>
        </w:rPr>
        <w:t>Neil Berkley</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Neil Berkley</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white"/>
        </w:rPr>
        <w:t>/s/ Grace Wong-Sarad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Grace Wong-Sarad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/s/ </w:t>
      </w:r>
      <w:r>
        <w:rPr>
          <w:rFonts w:ascii="Arial" w:cs="Arial" w:eastAsia="Arial" w:hAnsi="Arial"/>
          <w:sz w:val="20"/>
          <w:szCs w:val="20"/>
          <w:b w:val="1"/>
          <w:bCs w:val="1"/>
          <w:color w:val="auto"/>
        </w:rPr>
        <w:t>Lou J. Lavigne, Jr.</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Louis J. Lavigne, </w:t>
      </w:r>
      <w:r>
        <w:rPr>
          <w:rFonts w:ascii="Arial" w:cs="Arial" w:eastAsia="Arial" w:hAnsi="Arial"/>
          <w:sz w:val="20"/>
          <w:szCs w:val="20"/>
          <w:b w:val="1"/>
          <w:bCs w:val="1"/>
          <w:color w:val="auto"/>
        </w:rPr>
        <w:t>Jr.</w:t>
      </w:r>
    </w:p>
    <w:p>
      <w:pPr>
        <w:spacing w:after="0" w:line="261" w:lineRule="exact"/>
        <w:rPr>
          <w:sz w:val="20"/>
          <w:szCs w:val="20"/>
          <w:color w:val="auto"/>
        </w:rPr>
      </w:pPr>
    </w:p>
    <w:p>
      <w:pPr>
        <w:ind w:right="1080"/>
        <w:spacing w:after="0" w:line="288" w:lineRule="auto"/>
        <w:rPr>
          <w:sz w:val="20"/>
          <w:szCs w:val="20"/>
          <w:color w:val="auto"/>
        </w:rPr>
      </w:pPr>
      <w:r>
        <w:rPr>
          <w:rFonts w:ascii="Arial" w:cs="Arial" w:eastAsia="Arial" w:hAnsi="Arial"/>
          <w:sz w:val="17"/>
          <w:szCs w:val="17"/>
          <w:b w:val="1"/>
          <w:bCs w:val="1"/>
          <w:color w:val="auto"/>
          <w:highlight w:val="white"/>
        </w:rPr>
        <w:t>/s/ Elizabeth Garofalo Elizabeth</w:t>
      </w:r>
      <w:r>
        <w:rPr>
          <w:sz w:val="1"/>
          <w:szCs w:val="1"/>
          <w:color w:val="auto"/>
        </w:rPr>
        <w:drawing>
          <wp:inline distT="0" distB="0" distL="0" distR="0">
            <wp:extent cx="59055" cy="17335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055" cy="173355"/>
                    </a:xfrm>
                    <a:prstGeom prst="rect">
                      <a:avLst/>
                    </a:prstGeom>
                    <a:noFill/>
                    <a:ln>
                      <a:noFill/>
                    </a:ln>
                  </pic:spPr>
                </pic:pic>
              </a:graphicData>
            </a:graphic>
          </wp:inline>
        </w:drawing>
      </w:r>
      <w:r>
        <w:rPr>
          <w:rFonts w:ascii="Arial" w:cs="Arial" w:eastAsia="Arial" w:hAnsi="Arial"/>
          <w:sz w:val="17"/>
          <w:szCs w:val="17"/>
          <w:b w:val="1"/>
          <w:bCs w:val="1"/>
          <w:color w:val="auto"/>
          <w:highlight w:val="white"/>
        </w:rPr>
        <w:t xml:space="preserve">Garofalo, </w:t>
      </w:r>
      <w:r>
        <w:rPr>
          <w:rFonts w:ascii="Arial" w:cs="Arial" w:eastAsia="Arial" w:hAnsi="Arial"/>
          <w:sz w:val="17"/>
          <w:szCs w:val="17"/>
          <w:b w:val="1"/>
          <w:bCs w:val="1"/>
          <w:color w:val="auto"/>
        </w:rPr>
        <w:t>M.D.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/s/ </w:t>
      </w:r>
      <w:r>
        <w:rPr>
          <w:rFonts w:ascii="Arial" w:cs="Arial" w:eastAsia="Arial" w:hAnsi="Arial"/>
          <w:sz w:val="20"/>
          <w:szCs w:val="20"/>
          <w:b w:val="1"/>
          <w:bCs w:val="1"/>
          <w:color w:val="auto"/>
        </w:rPr>
        <w:t>Paula Hammond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 xml:space="preserve">Paula Hammond, </w:t>
      </w:r>
      <w:r>
        <w:rPr>
          <w:rFonts w:ascii="Arial" w:cs="Arial" w:eastAsia="Arial" w:hAnsi="Arial"/>
          <w:sz w:val="18"/>
          <w:szCs w:val="18"/>
          <w:b w:val="1"/>
          <w:bCs w:val="1"/>
          <w:color w:val="auto"/>
        </w:rPr>
        <w:t>Ph.D.</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/s/ </w:t>
      </w:r>
      <w:r>
        <w:rPr>
          <w:rFonts w:ascii="Arial" w:cs="Arial" w:eastAsia="Arial" w:hAnsi="Arial"/>
          <w:sz w:val="20"/>
          <w:szCs w:val="20"/>
          <w:b w:val="1"/>
          <w:bCs w:val="1"/>
          <w:color w:val="auto"/>
        </w:rPr>
        <w:t>Mark Altmeyer</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 xml:space="preserve">Mark </w:t>
      </w:r>
      <w:r>
        <w:rPr>
          <w:rFonts w:ascii="Arial" w:cs="Arial" w:eastAsia="Arial" w:hAnsi="Arial"/>
          <w:sz w:val="20"/>
          <w:szCs w:val="20"/>
          <w:b w:val="1"/>
          <w:bCs w:val="1"/>
          <w:color w:val="auto"/>
        </w:rPr>
        <w:t>Altmeyer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20"/>
                <w:szCs w:val="20"/>
                <w:b w:val="1"/>
                <w:bCs w:val="1"/>
                <w:color w:val="auto"/>
                <w:highlight w:val="white"/>
                <w:w w:val="89"/>
              </w:rPr>
              <w:t>Co-founder, Chief Executive Officer, and Director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b w:val="1"/>
                <w:bCs w:val="1"/>
                <w:color w:val="auto"/>
                <w:highlight w:val="white"/>
              </w:rPr>
              <w:t>(Principal Executive Officer)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9"/>
        </w:trPr>
        <w:tc>
          <w:tcPr>
            <w:tcW w:w="4200" w:type="dxa"/>
            <w:vAlign w:val="bottom"/>
          </w:tcPr>
          <w:p>
            <w:pPr>
              <w:spacing w:after="0"/>
              <w:rPr>
                <w:sz w:val="20"/>
                <w:szCs w:val="20"/>
                <w:color w:val="auto"/>
              </w:rPr>
            </w:pPr>
            <w:r>
              <w:rPr>
                <w:rFonts w:ascii="Arial" w:cs="Arial" w:eastAsia="Arial" w:hAnsi="Arial"/>
                <w:sz w:val="20"/>
                <w:szCs w:val="20"/>
                <w:b w:val="1"/>
                <w:bCs w:val="1"/>
                <w:color w:val="auto"/>
                <w:highlight w:val="white"/>
              </w:rPr>
              <w:t>Chief Financial Officer and Chief Business</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b w:val="1"/>
                <w:bCs w:val="1"/>
                <w:color w:val="auto"/>
                <w:highlight w:val="white"/>
              </w:rPr>
              <w:t>Officer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221"/>
        </w:trPr>
        <w:tc>
          <w:tcPr>
            <w:tcW w:w="4200" w:type="dxa"/>
            <w:vAlign w:val="bottom"/>
          </w:tcPr>
          <w:p>
            <w:pPr>
              <w:spacing w:after="0" w:line="221" w:lineRule="exact"/>
              <w:rPr>
                <w:sz w:val="20"/>
                <w:szCs w:val="20"/>
                <w:color w:val="auto"/>
              </w:rPr>
            </w:pPr>
            <w:r>
              <w:rPr>
                <w:rFonts w:ascii="Arial" w:cs="Arial" w:eastAsia="Arial" w:hAnsi="Arial"/>
                <w:sz w:val="20"/>
                <w:szCs w:val="20"/>
                <w:b w:val="1"/>
                <w:bCs w:val="1"/>
                <w:color w:val="auto"/>
                <w:highlight w:val="white"/>
              </w:rPr>
              <w:t>(Principal Financial Officer)</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4"/>
        </w:trPr>
        <w:tc>
          <w:tcPr>
            <w:tcW w:w="4200" w:type="dxa"/>
            <w:vAlign w:val="bottom"/>
          </w:tcPr>
          <w:p>
            <w:pPr>
              <w:spacing w:after="0"/>
              <w:rPr>
                <w:sz w:val="20"/>
                <w:szCs w:val="20"/>
                <w:color w:val="auto"/>
              </w:rPr>
            </w:pPr>
            <w:r>
              <w:rPr>
                <w:rFonts w:ascii="Arial" w:cs="Arial" w:eastAsia="Arial" w:hAnsi="Arial"/>
                <w:sz w:val="20"/>
                <w:szCs w:val="20"/>
                <w:b w:val="1"/>
                <w:bCs w:val="1"/>
                <w:color w:val="auto"/>
              </w:rPr>
              <w:t xml:space="preserve">Vice President, </w:t>
            </w:r>
            <w:r>
              <w:rPr>
                <w:rFonts w:ascii="Arial" w:cs="Arial" w:eastAsia="Arial" w:hAnsi="Arial"/>
                <w:sz w:val="20"/>
                <w:szCs w:val="20"/>
                <w:b w:val="1"/>
                <w:bCs w:val="1"/>
                <w:color w:val="auto"/>
                <w:highlight w:val="white"/>
              </w:rPr>
              <w:t>Accounting</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b w:val="1"/>
                <w:bCs w:val="1"/>
                <w:color w:val="auto"/>
                <w:highlight w:val="white"/>
              </w:rPr>
              <w:t>(Principal Accounting Officer)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4200" w:type="dxa"/>
            <w:vAlign w:val="bottom"/>
            <w:vMerge w:val="restart"/>
          </w:tcPr>
          <w:p>
            <w:pPr>
              <w:spacing w:after="0"/>
              <w:rPr>
                <w:sz w:val="20"/>
                <w:szCs w:val="20"/>
                <w:color w:val="auto"/>
              </w:rPr>
            </w:pPr>
            <w:r>
              <w:rPr>
                <w:rFonts w:ascii="Arial" w:cs="Arial" w:eastAsia="Arial" w:hAnsi="Arial"/>
                <w:sz w:val="20"/>
                <w:szCs w:val="20"/>
                <w:b w:val="1"/>
                <w:bCs w:val="1"/>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115"/>
        </w:trPr>
        <w:tc>
          <w:tcPr>
            <w:tcW w:w="420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4"/>
        </w:trPr>
        <w:tc>
          <w:tcPr>
            <w:tcW w:w="42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854"/>
        </w:trPr>
        <w:tc>
          <w:tcPr>
            <w:tcW w:w="4200" w:type="dxa"/>
            <w:vAlign w:val="bottom"/>
            <w:vMerge w:val="restart"/>
          </w:tcPr>
          <w:p>
            <w:pPr>
              <w:spacing w:after="0"/>
              <w:rPr>
                <w:sz w:val="20"/>
                <w:szCs w:val="20"/>
                <w:color w:val="auto"/>
              </w:rPr>
            </w:pPr>
            <w:r>
              <w:rPr>
                <w:rFonts w:ascii="Arial" w:cs="Arial" w:eastAsia="Arial" w:hAnsi="Arial"/>
                <w:sz w:val="20"/>
                <w:szCs w:val="20"/>
                <w:b w:val="1"/>
                <w:bCs w:val="1"/>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r>
        <w:trPr>
          <w:trHeight w:val="115"/>
        </w:trPr>
        <w:tc>
          <w:tcPr>
            <w:tcW w:w="420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4"/>
        </w:trPr>
        <w:tc>
          <w:tcPr>
            <w:tcW w:w="42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b w:val="1"/>
                <w:bCs w:val="1"/>
                <w:color w:val="auto"/>
                <w:highlight w:val="white"/>
                <w:w w:val="86"/>
              </w:rPr>
              <w:t>February 25, 2026</w:t>
            </w:r>
          </w:p>
        </w:tc>
        <w:tc>
          <w:tcPr>
            <w:tcW w:w="0" w:type="dxa"/>
            <w:vAlign w:val="bottom"/>
          </w:tcPr>
          <w:p>
            <w:pPr>
              <w:spacing w:after="0"/>
              <w:rPr>
                <w:sz w:val="1"/>
                <w:szCs w:val="1"/>
                <w:color w:val="auto"/>
              </w:rPr>
            </w:pPr>
          </w:p>
        </w:tc>
      </w:tr>
    </w:tbl>
    <w:p>
      <w:pPr>
        <w:spacing w:after="0" w:line="512" w:lineRule="exact"/>
        <w:rPr>
          <w:sz w:val="20"/>
          <w:szCs w:val="20"/>
          <w:color w:val="auto"/>
        </w:rPr>
      </w:pPr>
    </w:p>
    <w:p>
      <w:pPr>
        <w:sectPr>
          <w:pgSz w:w="12240" w:h="15840" w:orient="portrait"/>
          <w:cols w:equalWidth="0" w:num="2">
            <w:col w:w="3120" w:space="720"/>
            <w:col w:w="6080"/>
          </w:cols>
          <w:pgMar w:left="1440" w:top="1151" w:right="880" w:bottom="181" w:gutter="0" w:footer="0" w:header="0"/>
          <w:type w:val="continuous"/>
        </w:sectPr>
      </w:pPr>
    </w:p>
    <w:p>
      <w:pPr>
        <w:spacing w:after="0" w:line="60" w:lineRule="exact"/>
        <w:rPr>
          <w:sz w:val="20"/>
          <w:szCs w:val="20"/>
          <w:color w:val="auto"/>
        </w:rPr>
      </w:pPr>
    </w:p>
    <w:p>
      <w:pPr>
        <w:ind w:right="260"/>
        <w:spacing w:after="0" w:line="276" w:lineRule="auto"/>
        <w:rPr>
          <w:sz w:val="20"/>
          <w:szCs w:val="20"/>
          <w:color w:val="auto"/>
        </w:rPr>
      </w:pPr>
      <w:r>
        <w:rPr>
          <w:rFonts w:ascii="Arial" w:cs="Arial" w:eastAsia="Arial" w:hAnsi="Arial"/>
          <w:sz w:val="20"/>
          <w:szCs w:val="20"/>
          <w:b w:val="1"/>
          <w:bCs w:val="1"/>
          <w:color w:val="auto"/>
          <w:highlight w:val="white"/>
        </w:rPr>
        <w:t xml:space="preserve">/s/ Richard Scheller </w:t>
      </w:r>
      <w:r>
        <w:rPr>
          <w:rFonts w:ascii="Arial" w:cs="Arial" w:eastAsia="Arial" w:hAnsi="Arial"/>
          <w:sz w:val="20"/>
          <w:szCs w:val="20"/>
          <w:b w:val="1"/>
          <w:bCs w:val="1"/>
          <w:color w:val="auto"/>
        </w:rPr>
        <w:t>Director</w:t>
      </w:r>
      <w:r>
        <w:rPr>
          <w:rFonts w:ascii="Arial" w:cs="Arial" w:eastAsia="Arial" w:hAnsi="Arial"/>
          <w:sz w:val="20"/>
          <w:szCs w:val="20"/>
          <w:b w:val="1"/>
          <w:bCs w:val="1"/>
          <w:color w:val="auto"/>
          <w:highlight w:val="white"/>
        </w:rPr>
        <w:t xml:space="preserve"> February 25, 2026 Richard Scheller, </w:t>
      </w:r>
      <w:r>
        <w:rPr>
          <w:rFonts w:ascii="Arial" w:cs="Arial" w:eastAsia="Arial" w:hAnsi="Arial"/>
          <w:sz w:val="20"/>
          <w:szCs w:val="20"/>
          <w:b w:val="1"/>
          <w:bCs w:val="1"/>
          <w:color w:val="auto"/>
        </w:rPr>
        <w:t>Ph.D.</w:t>
      </w:r>
    </w:p>
    <w:p>
      <w:pPr>
        <w:sectPr>
          <w:pgSz w:w="12240" w:h="15840" w:orient="portrait"/>
          <w:cols w:equalWidth="0" w:num="1">
            <w:col w:w="9920"/>
          </w:cols>
          <w:pgMar w:left="1440" w:top="1151" w:right="88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133</w:t>
      </w:r>
    </w:p>
    <w:p>
      <w:pPr>
        <w:sectPr>
          <w:pgSz w:w="12240" w:h="15840" w:orient="portrait"/>
          <w:cols w:equalWidth="0" w:num="1">
            <w:col w:w="9920"/>
          </w:cols>
          <w:pgMar w:left="1440" w:top="1151" w:right="880" w:bottom="181"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20"/>
                <w:szCs w:val="20"/>
                <w:b w:val="1"/>
                <w:bCs w:val="1"/>
                <w:color w:val="auto"/>
                <w:highlight w:val="white"/>
              </w:rPr>
              <w:t>/s/ Kristine Yaffe</w:t>
            </w:r>
          </w:p>
        </w:tc>
        <w:tc>
          <w:tcPr>
            <w:tcW w:w="3520" w:type="dxa"/>
            <w:vAlign w:val="bottom"/>
            <w:vMerge w:val="restart"/>
          </w:tcPr>
          <w:p>
            <w:pPr>
              <w:ind w:left="1020"/>
              <w:spacing w:after="0"/>
              <w:rPr>
                <w:sz w:val="20"/>
                <w:szCs w:val="20"/>
                <w:color w:val="auto"/>
              </w:rPr>
            </w:pPr>
            <w:r>
              <w:rPr>
                <w:rFonts w:ascii="Arial" w:cs="Arial" w:eastAsia="Arial" w:hAnsi="Arial"/>
                <w:sz w:val="20"/>
                <w:szCs w:val="20"/>
                <w:b w:val="1"/>
                <w:bCs w:val="1"/>
                <w:color w:val="auto"/>
              </w:rPr>
              <w:t>Director</w:t>
            </w:r>
          </w:p>
        </w:tc>
        <w:tc>
          <w:tcPr>
            <w:tcW w:w="3320" w:type="dxa"/>
            <w:vAlign w:val="bottom"/>
          </w:tcPr>
          <w:p>
            <w:pPr>
              <w:ind w:left="1840"/>
              <w:spacing w:after="0"/>
              <w:rPr>
                <w:sz w:val="20"/>
                <w:szCs w:val="20"/>
                <w:color w:val="auto"/>
              </w:rPr>
            </w:pPr>
            <w:r>
              <w:rPr>
                <w:rFonts w:ascii="Arial" w:cs="Arial" w:eastAsia="Arial" w:hAnsi="Arial"/>
                <w:sz w:val="20"/>
                <w:szCs w:val="20"/>
                <w:b w:val="1"/>
                <w:bCs w:val="1"/>
                <w:color w:val="auto"/>
                <w:w w:val="86"/>
              </w:rPr>
              <w:t>February 25, 2026</w:t>
            </w:r>
          </w:p>
        </w:tc>
        <w:tc>
          <w:tcPr>
            <w:tcW w:w="0" w:type="dxa"/>
            <w:vAlign w:val="bottom"/>
          </w:tcPr>
          <w:p>
            <w:pPr>
              <w:spacing w:after="0"/>
              <w:rPr>
                <w:sz w:val="1"/>
                <w:szCs w:val="1"/>
                <w:color w:val="auto"/>
              </w:rPr>
            </w:pPr>
          </w:p>
        </w:tc>
      </w:tr>
      <w:tr>
        <w:trPr>
          <w:trHeight w:val="120"/>
        </w:trPr>
        <w:tc>
          <w:tcPr>
            <w:tcW w:w="2820" w:type="dxa"/>
            <w:vAlign w:val="bottom"/>
            <w:vMerge w:val="restart"/>
          </w:tcPr>
          <w:p>
            <w:pPr>
              <w:spacing w:after="0"/>
              <w:rPr>
                <w:sz w:val="20"/>
                <w:szCs w:val="20"/>
                <w:color w:val="auto"/>
              </w:rPr>
            </w:pPr>
            <w:r>
              <w:rPr>
                <w:rFonts w:ascii="Arial" w:cs="Arial" w:eastAsia="Arial" w:hAnsi="Arial"/>
                <w:sz w:val="20"/>
                <w:szCs w:val="20"/>
                <w:b w:val="1"/>
                <w:bCs w:val="1"/>
                <w:color w:val="auto"/>
                <w:highlight w:val="white"/>
              </w:rPr>
              <w:t xml:space="preserve">Kristine Yaffe, </w:t>
            </w:r>
            <w:r>
              <w:rPr>
                <w:rFonts w:ascii="Arial" w:cs="Arial" w:eastAsia="Arial" w:hAnsi="Arial"/>
                <w:sz w:val="20"/>
                <w:szCs w:val="20"/>
                <w:b w:val="1"/>
                <w:bCs w:val="1"/>
                <w:color w:val="auto"/>
              </w:rPr>
              <w:t>M.D.</w:t>
            </w:r>
          </w:p>
        </w:tc>
        <w:tc>
          <w:tcPr>
            <w:tcW w:w="352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0"/>
                <w:szCs w:val="20"/>
                <w:b w:val="1"/>
                <w:bCs w:val="1"/>
                <w:color w:val="auto"/>
                <w:highlight w:val="white"/>
              </w:rPr>
              <w:t xml:space="preserve">/s/ </w:t>
            </w:r>
            <w:r>
              <w:rPr>
                <w:rFonts w:ascii="Arial" w:cs="Arial" w:eastAsia="Arial" w:hAnsi="Arial"/>
                <w:sz w:val="20"/>
                <w:szCs w:val="20"/>
                <w:b w:val="1"/>
                <w:bCs w:val="1"/>
                <w:color w:val="auto"/>
              </w:rPr>
              <w:t>Errol De Souza</w:t>
            </w:r>
          </w:p>
        </w:tc>
        <w:tc>
          <w:tcPr>
            <w:tcW w:w="3520" w:type="dxa"/>
            <w:vAlign w:val="bottom"/>
            <w:vMerge w:val="restart"/>
          </w:tcPr>
          <w:p>
            <w:pPr>
              <w:ind w:left="1020"/>
              <w:spacing w:after="0"/>
              <w:rPr>
                <w:sz w:val="20"/>
                <w:szCs w:val="20"/>
                <w:color w:val="auto"/>
              </w:rPr>
            </w:pPr>
            <w:r>
              <w:rPr>
                <w:rFonts w:ascii="Arial" w:cs="Arial" w:eastAsia="Arial" w:hAnsi="Arial"/>
                <w:sz w:val="20"/>
                <w:szCs w:val="20"/>
                <w:b w:val="1"/>
                <w:bCs w:val="1"/>
                <w:color w:val="auto"/>
              </w:rPr>
              <w:t>Director</w:t>
            </w:r>
          </w:p>
        </w:tc>
        <w:tc>
          <w:tcPr>
            <w:tcW w:w="3320" w:type="dxa"/>
            <w:vAlign w:val="bottom"/>
          </w:tcPr>
          <w:p>
            <w:pPr>
              <w:ind w:left="1840"/>
              <w:spacing w:after="0"/>
              <w:rPr>
                <w:sz w:val="20"/>
                <w:szCs w:val="20"/>
                <w:color w:val="auto"/>
              </w:rPr>
            </w:pPr>
            <w:r>
              <w:rPr>
                <w:rFonts w:ascii="Arial" w:cs="Arial" w:eastAsia="Arial" w:hAnsi="Arial"/>
                <w:sz w:val="20"/>
                <w:szCs w:val="20"/>
                <w:b w:val="1"/>
                <w:bCs w:val="1"/>
                <w:color w:val="auto"/>
                <w:w w:val="86"/>
              </w:rPr>
              <w:t>February 25, 2026</w:t>
            </w:r>
          </w:p>
        </w:tc>
        <w:tc>
          <w:tcPr>
            <w:tcW w:w="0" w:type="dxa"/>
            <w:vAlign w:val="bottom"/>
          </w:tcPr>
          <w:p>
            <w:pPr>
              <w:spacing w:after="0"/>
              <w:rPr>
                <w:sz w:val="1"/>
                <w:szCs w:val="1"/>
                <w:color w:val="auto"/>
              </w:rPr>
            </w:pPr>
          </w:p>
        </w:tc>
      </w:tr>
      <w:tr>
        <w:trPr>
          <w:trHeight w:val="120"/>
        </w:trPr>
        <w:tc>
          <w:tcPr>
            <w:tcW w:w="2820" w:type="dxa"/>
            <w:vAlign w:val="bottom"/>
            <w:vMerge w:val="restart"/>
          </w:tcPr>
          <w:p>
            <w:pPr>
              <w:spacing w:after="0"/>
              <w:rPr>
                <w:sz w:val="20"/>
                <w:szCs w:val="20"/>
                <w:color w:val="auto"/>
              </w:rPr>
            </w:pPr>
            <w:r>
              <w:rPr>
                <w:rFonts w:ascii="Arial" w:cs="Arial" w:eastAsia="Arial" w:hAnsi="Arial"/>
                <w:sz w:val="20"/>
                <w:szCs w:val="20"/>
                <w:b w:val="1"/>
                <w:bCs w:val="1"/>
                <w:color w:val="auto"/>
                <w:highlight w:val="white"/>
              </w:rPr>
              <w:t xml:space="preserve">Errol De Souza, </w:t>
            </w:r>
            <w:r>
              <w:rPr>
                <w:rFonts w:ascii="Arial" w:cs="Arial" w:eastAsia="Arial" w:hAnsi="Arial"/>
                <w:sz w:val="20"/>
                <w:szCs w:val="20"/>
                <w:b w:val="1"/>
                <w:bCs w:val="1"/>
                <w:color w:val="auto"/>
              </w:rPr>
              <w:t>Ph.D.</w:t>
            </w:r>
          </w:p>
        </w:tc>
        <w:tc>
          <w:tcPr>
            <w:tcW w:w="3520" w:type="dxa"/>
            <w:vAlign w:val="bottom"/>
            <w:vMerge w:val="continue"/>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660"/>
          </w:cols>
          <w:pgMar w:left="1440" w:top="1151" w:right="1140" w:bottom="181" w:gutter="0" w:footer="0" w:header="0"/>
        </w:sect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718820</wp:posOffset>
            </wp:positionV>
            <wp:extent cx="2894965" cy="933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4965"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134</w:t>
      </w:r>
    </w:p>
    <w:sectPr>
      <w:pgSz w:w="12240" w:h="15840" w:orient="portrait"/>
      <w:cols w:equalWidth="0" w:num="1">
        <w:col w:w="9660"/>
      </w:cols>
      <w:pgMar w:left="1440" w:top="1151" w:right="1140"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
      <w:numFmt w:val="bullet"/>
      <w:start w:val="1"/>
    </w:lvl>
  </w:abstractNum>
  <w:abstractNum w:abstractNumId="1">
    <w:nsid w:val="725A06FB"/>
    <w:multiLevelType w:val="hybridMultilevel"/>
    <w:lvl w:ilvl="0">
      <w:lvlJc w:val="left"/>
      <w:lvlText w:val=" "/>
      <w:numFmt w:val="bullet"/>
      <w:start w:val="1"/>
    </w:lvl>
  </w:abstractNum>
  <w:abstractNum w:abstractNumId="2">
    <w:nsid w:val="2CD89A32"/>
    <w:multiLevelType w:val="hybridMultilevel"/>
    <w:lvl w:ilvl="0">
      <w:lvlJc w:val="left"/>
      <w:lvlText w:val=" "/>
      <w:numFmt w:val="bullet"/>
      <w:start w:val="1"/>
    </w:lvl>
  </w:abstractNum>
  <w:abstractNum w:abstractNumId="3">
    <w:nsid w:val="57E4CCAF"/>
    <w:multiLevelType w:val="hybridMultilevel"/>
    <w:lvl w:ilvl="0">
      <w:lvlJc w:val="left"/>
      <w:lvlText w:val=" "/>
      <w:numFmt w:val="bullet"/>
      <w:start w:val="1"/>
    </w:lvl>
  </w:abstractNum>
  <w:abstractNum w:abstractNumId="4">
    <w:nsid w:val="7A6D8D3C"/>
    <w:multiLevelType w:val="hybridMultilevel"/>
    <w:lvl w:ilvl="0">
      <w:lvlJc w:val="left"/>
      <w:lvlText w:val=" "/>
      <w:numFmt w:val="bullet"/>
      <w:start w:val="1"/>
    </w:lvl>
  </w:abstractNum>
  <w:abstractNum w:abstractNumId="5">
    <w:nsid w:val="4B588F54"/>
    <w:multiLevelType w:val="hybridMultilevel"/>
    <w:lvl w:ilvl="0">
      <w:lvlJc w:val="left"/>
      <w:lvlText w:val=" "/>
      <w:numFmt w:val="bullet"/>
      <w:start w:val="1"/>
    </w:lvl>
  </w:abstractNum>
  <w:abstractNum w:abstractNumId="6">
    <w:nsid w:val="542289EC"/>
    <w:multiLevelType w:val="hybridMultilevel"/>
    <w:lvl w:ilvl="0">
      <w:lvlJc w:val="left"/>
      <w:lvlText w:val="%1"/>
      <w:numFmt w:val="upperLetter"/>
      <w:start w:val="54"/>
    </w:lvl>
  </w:abstractNum>
  <w:abstractNum w:abstractNumId="7">
    <w:nsid w:val="6DE91B18"/>
    <w:multiLevelType w:val="hybridMultilevel"/>
    <w:lvl w:ilvl="0">
      <w:lvlJc w:val="left"/>
      <w:lvlText w:val=" "/>
      <w:numFmt w:val="bullet"/>
      <w:start w:val="1"/>
    </w:lvl>
  </w:abstractNum>
  <w:abstractNum w:abstractNumId="8">
    <w:nsid w:val="38437FDB"/>
    <w:multiLevelType w:val="hybridMultilevel"/>
    <w:lvl w:ilvl="0">
      <w:lvlJc w:val="left"/>
      <w:lvlText w:val=" "/>
      <w:numFmt w:val="bullet"/>
      <w:start w:val="1"/>
    </w:lvl>
  </w:abstractNum>
  <w:abstractNum w:abstractNumId="9">
    <w:nsid w:val="7644A45C"/>
    <w:multiLevelType w:val="hybridMultilevel"/>
    <w:lvl w:ilvl="0">
      <w:lvlJc w:val="left"/>
      <w:lvlText w:val=" "/>
      <w:numFmt w:val="bullet"/>
      <w:start w:val="1"/>
    </w:lvl>
  </w:abstractNum>
  <w:abstractNum w:abstractNumId="10">
    <w:nsid w:val="32FFF902"/>
    <w:multiLevelType w:val="hybridMultilevel"/>
    <w:lvl w:ilvl="0">
      <w:lvlJc w:val="left"/>
      <w:lvlText w:val=" "/>
      <w:numFmt w:val="bullet"/>
      <w:start w:val="1"/>
    </w:lvl>
  </w:abstractNum>
  <w:abstractNum w:abstractNumId="11">
    <w:nsid w:val="684A481A"/>
    <w:multiLevelType w:val="hybridMultilevel"/>
    <w:lvl w:ilvl="0">
      <w:lvlJc w:val="left"/>
      <w:lvlText w:val=" "/>
      <w:numFmt w:val="bullet"/>
      <w:start w:val="1"/>
    </w:lvl>
    <w:lvl w:ilvl="1">
      <w:lvlJc w:val="left"/>
      <w:lvlText w:val=" "/>
      <w:numFmt w:val="bullet"/>
      <w:start w:val="1"/>
    </w:lvl>
  </w:abstractNum>
  <w:abstractNum w:abstractNumId="12">
    <w:nsid w:val="579478FE"/>
    <w:multiLevelType w:val="hybridMultilevel"/>
    <w:lvl w:ilvl="0">
      <w:lvlJc w:val="left"/>
      <w:lvlText w:val=" "/>
      <w:numFmt w:val="bullet"/>
      <w:start w:val="1"/>
    </w:lvl>
  </w:abstractNum>
  <w:abstractNum w:abstractNumId="13">
    <w:nsid w:val="749ABB43"/>
    <w:multiLevelType w:val="hybridMultilevel"/>
    <w:lvl w:ilvl="0">
      <w:lvlJc w:val="left"/>
      <w:lvlText w:val=" "/>
      <w:numFmt w:val="bullet"/>
      <w:start w:val="1"/>
    </w:lvl>
  </w:abstractNum>
  <w:abstractNum w:abstractNumId="14">
    <w:nsid w:val="3DC240FB"/>
    <w:multiLevelType w:val="hybridMultilevel"/>
    <w:lvl w:ilvl="0">
      <w:lvlJc w:val="left"/>
      <w:lvlText w:val=" "/>
      <w:numFmt w:val="bullet"/>
      <w:start w:val="1"/>
    </w:lvl>
  </w:abstractNum>
  <w:abstractNum w:abstractNumId="15">
    <w:nsid w:val="1BA026FA"/>
    <w:multiLevelType w:val="hybridMultilevel"/>
    <w:lvl w:ilvl="0">
      <w:lvlJc w:val="left"/>
      <w:lvlText w:val=" "/>
      <w:numFmt w:val="bullet"/>
      <w:start w:val="1"/>
    </w:lvl>
  </w:abstractNum>
  <w:abstractNum w:abstractNumId="16">
    <w:nsid w:val="79A1DEAA"/>
    <w:multiLevelType w:val="hybridMultilevel"/>
    <w:lvl w:ilvl="0">
      <w:lvlJc w:val="left"/>
      <w:lvlText w:val=" "/>
      <w:numFmt w:val="bullet"/>
      <w:start w:val="1"/>
    </w:lvl>
  </w:abstractNum>
  <w:abstractNum w:abstractNumId="17">
    <w:nsid w:val="75C6C33A"/>
    <w:multiLevelType w:val="hybridMultilevel"/>
    <w:lvl w:ilvl="0">
      <w:lvlJc w:val="left"/>
      <w:lvlText w:val=" "/>
      <w:numFmt w:val="bullet"/>
      <w:start w:val="1"/>
    </w:lvl>
  </w:abstractNum>
  <w:abstractNum w:abstractNumId="18">
    <w:nsid w:val="12E685FB"/>
    <w:multiLevelType w:val="hybridMultilevel"/>
    <w:lvl w:ilvl="0">
      <w:lvlJc w:val="left"/>
      <w:lvlText w:val=" "/>
      <w:numFmt w:val="bullet"/>
      <w:start w:val="1"/>
    </w:lvl>
  </w:abstractNum>
  <w:abstractNum w:abstractNumId="19">
    <w:nsid w:val="70C6A529"/>
    <w:multiLevelType w:val="hybridMultilevel"/>
    <w:lvl w:ilvl="0">
      <w:lvlJc w:val="left"/>
      <w:lvlText w:val=" "/>
      <w:numFmt w:val="bullet"/>
      <w:start w:val="1"/>
    </w:lvl>
  </w:abstractNum>
  <w:abstractNum w:abstractNumId="20">
    <w:nsid w:val="520EEDD1"/>
    <w:multiLevelType w:val="hybridMultilevel"/>
    <w:lvl w:ilvl="0">
      <w:lvlJc w:val="left"/>
      <w:lvlText w:val=" "/>
      <w:numFmt w:val="bullet"/>
      <w:start w:val="1"/>
    </w:lvl>
  </w:abstractNum>
  <w:abstractNum w:abstractNumId="21">
    <w:nsid w:val="374A3FE6"/>
    <w:multiLevelType w:val="hybridMultilevel"/>
    <w:lvl w:ilvl="0">
      <w:lvlJc w:val="left"/>
      <w:lvlText w:val=" "/>
      <w:numFmt w:val="bullet"/>
      <w:start w:val="1"/>
    </w:lvl>
  </w:abstractNum>
  <w:abstractNum w:abstractNumId="22">
    <w:nsid w:val="4F4EF005"/>
    <w:multiLevelType w:val="hybridMultilevel"/>
    <w:lvl w:ilvl="0">
      <w:lvlJc w:val="left"/>
      <w:lvlText w:val=" "/>
      <w:numFmt w:val="bullet"/>
      <w:start w:val="1"/>
    </w:lvl>
  </w:abstractNum>
  <w:abstractNum w:abstractNumId="23">
    <w:nsid w:val="23F9C13C"/>
    <w:multiLevelType w:val="hybridMultilevel"/>
    <w:lvl w:ilvl="0">
      <w:lvlJc w:val="left"/>
      <w:lvlText w:val=" "/>
      <w:numFmt w:val="bullet"/>
      <w:start w:val="1"/>
    </w:lvl>
    <w:lvl w:ilvl="1">
      <w:lvlJc w:val="left"/>
      <w:lvlText w:val=" "/>
      <w:numFmt w:val="bullet"/>
      <w:start w:val="1"/>
    </w:lvl>
  </w:abstractNum>
  <w:abstractNum w:abstractNumId="24">
    <w:nsid w:val="649BB77C"/>
    <w:multiLevelType w:val="hybridMultilevel"/>
    <w:lvl w:ilvl="0">
      <w:lvlJc w:val="left"/>
      <w:lvlText w:val=" "/>
      <w:numFmt w:val="bullet"/>
      <w:start w:val="1"/>
    </w:lvl>
  </w:abstractNum>
  <w:abstractNum w:abstractNumId="25">
    <w:nsid w:val="275AC794"/>
    <w:multiLevelType w:val="hybridMultilevel"/>
    <w:lvl w:ilvl="0">
      <w:lvlJc w:val="left"/>
      <w:lvlText w:val=" "/>
      <w:numFmt w:val="bullet"/>
      <w:start w:val="1"/>
    </w:lvl>
  </w:abstractNum>
  <w:abstractNum w:abstractNumId="26">
    <w:nsid w:val="39386575"/>
    <w:multiLevelType w:val="hybridMultilevel"/>
    <w:lvl w:ilvl="0">
      <w:lvlJc w:val="left"/>
      <w:lvlText w:val=" "/>
      <w:numFmt w:val="bullet"/>
      <w:start w:val="1"/>
    </w:lvl>
  </w:abstractNum>
  <w:abstractNum w:abstractNumId="27">
    <w:nsid w:val="1CF10FD8"/>
    <w:multiLevelType w:val="hybridMultilevel"/>
    <w:lvl w:ilvl="0">
      <w:lvlJc w:val="left"/>
      <w:lvlText w:val=" "/>
      <w:numFmt w:val="bullet"/>
      <w:start w:val="1"/>
    </w:lvl>
  </w:abstractNum>
  <w:abstractNum w:abstractNumId="28">
    <w:nsid w:val="180115BE"/>
    <w:multiLevelType w:val="hybridMultilevel"/>
    <w:lvl w:ilvl="0">
      <w:lvlJc w:val="left"/>
      <w:lvlText w:val=" "/>
      <w:numFmt w:val="bullet"/>
      <w:start w:val="1"/>
    </w:lvl>
  </w:abstractNum>
  <w:abstractNum w:abstractNumId="29">
    <w:nsid w:val="235BA861"/>
    <w:multiLevelType w:val="hybridMultilevel"/>
    <w:lvl w:ilvl="0">
      <w:lvlJc w:val="left"/>
      <w:lvlText w:val=" "/>
      <w:numFmt w:val="bullet"/>
      <w:start w:val="1"/>
    </w:lvl>
  </w:abstractNum>
  <w:abstractNum w:abstractNumId="30">
    <w:nsid w:val="47398C89"/>
    <w:multiLevelType w:val="hybridMultilevel"/>
    <w:lvl w:ilvl="0">
      <w:lvlJc w:val="left"/>
      <w:lvlText w:val=" "/>
      <w:numFmt w:val="bullet"/>
      <w:start w:val="1"/>
    </w:lvl>
  </w:abstractNum>
  <w:abstractNum w:abstractNumId="31">
    <w:nsid w:val="354FE9F9"/>
    <w:multiLevelType w:val="hybridMultilevel"/>
    <w:lvl w:ilvl="0">
      <w:lvlJc w:val="left"/>
      <w:lvlText w:val=" "/>
      <w:numFmt w:val="bullet"/>
      <w:start w:val="1"/>
    </w:lvl>
  </w:abstractNum>
  <w:abstractNum w:abstractNumId="32">
    <w:nsid w:val="15B5AF5C"/>
    <w:multiLevelType w:val="hybridMultilevel"/>
    <w:lvl w:ilvl="0">
      <w:lvlJc w:val="left"/>
      <w:lvlText w:val=" "/>
      <w:numFmt w:val="bullet"/>
      <w:start w:val="1"/>
    </w:lvl>
  </w:abstractNum>
  <w:abstractNum w:abstractNumId="33">
    <w:nsid w:val="741226BB"/>
    <w:multiLevelType w:val="hybridMultilevel"/>
    <w:lvl w:ilvl="0">
      <w:lvlJc w:val="left"/>
      <w:lvlText w:val=" "/>
      <w:numFmt w:val="bullet"/>
      <w:start w:val="1"/>
    </w:lvl>
  </w:abstractNum>
  <w:abstractNum w:abstractNumId="34">
    <w:nsid w:val="D34B6A8"/>
    <w:multiLevelType w:val="hybridMultilevel"/>
    <w:lvl w:ilvl="0">
      <w:lvlJc w:val="left"/>
      <w:lvlText w:val=" "/>
      <w:numFmt w:val="bullet"/>
      <w:start w:val="1"/>
    </w:lvl>
  </w:abstractNum>
  <w:abstractNum w:abstractNumId="35">
    <w:nsid w:val="10233C99"/>
    <w:multiLevelType w:val="hybridMultilevel"/>
    <w:lvl w:ilvl="0">
      <w:lvlJc w:val="left"/>
      <w:lvlText w:val=" "/>
      <w:numFmt w:val="bullet"/>
      <w:start w:val="1"/>
    </w:lvl>
  </w:abstractNum>
  <w:abstractNum w:abstractNumId="36">
    <w:nsid w:val="3F6AB60F"/>
    <w:multiLevelType w:val="hybridMultilevel"/>
    <w:lvl w:ilvl="0">
      <w:lvlJc w:val="left"/>
      <w:lvlText w:val=" "/>
      <w:numFmt w:val="bullet"/>
      <w:start w:val="1"/>
    </w:lvl>
  </w:abstractNum>
  <w:abstractNum w:abstractNumId="37">
    <w:nsid w:val="61574095"/>
    <w:multiLevelType w:val="hybridMultilevel"/>
    <w:lvl w:ilvl="0">
      <w:lvlJc w:val="left"/>
      <w:lvlText w:val=" "/>
      <w:numFmt w:val="bullet"/>
      <w:start w:val="1"/>
    </w:lvl>
  </w:abstractNum>
  <w:abstractNum w:abstractNumId="38">
    <w:nsid w:val="7E0C57B1"/>
    <w:multiLevelType w:val="hybridMultilevel"/>
    <w:lvl w:ilvl="0">
      <w:lvlJc w:val="left"/>
      <w:lvlText w:val=" "/>
      <w:numFmt w:val="bullet"/>
      <w:start w:val="1"/>
    </w:lvl>
  </w:abstractNum>
  <w:abstractNum w:abstractNumId="39">
    <w:nsid w:val="77AE35EB"/>
    <w:multiLevelType w:val="hybridMultilevel"/>
    <w:lvl w:ilvl="0">
      <w:lvlJc w:val="left"/>
      <w:lvlText w:val=" "/>
      <w:numFmt w:val="bullet"/>
      <w:start w:val="1"/>
    </w:lvl>
  </w:abstractNum>
  <w:abstractNum w:abstractNumId="40">
    <w:nsid w:val="579BE4F1"/>
    <w:multiLevelType w:val="hybridMultilevel"/>
    <w:lvl w:ilvl="0">
      <w:lvlJc w:val="left"/>
      <w:lvlText w:val=" "/>
      <w:numFmt w:val="bullet"/>
      <w:start w:val="1"/>
    </w:lvl>
  </w:abstractNum>
  <w:abstractNum w:abstractNumId="41">
    <w:nsid w:val="310C50B3"/>
    <w:multiLevelType w:val="hybridMultilevel"/>
    <w:lvl w:ilvl="0">
      <w:lvlJc w:val="left"/>
      <w:lvlText w:val=" "/>
      <w:numFmt w:val="bullet"/>
      <w:start w:val="1"/>
    </w:lvl>
  </w:abstractNum>
  <w:abstractNum w:abstractNumId="42">
    <w:nsid w:val="5FF87E05"/>
    <w:multiLevelType w:val="hybridMultilevel"/>
    <w:lvl w:ilvl="0">
      <w:lvlJc w:val="left"/>
      <w:lvlText w:val=" "/>
      <w:numFmt w:val="bullet"/>
      <w:start w:val="1"/>
    </w:lvl>
  </w:abstractNum>
  <w:abstractNum w:abstractNumId="43">
    <w:nsid w:val="2F305DEF"/>
    <w:multiLevelType w:val="hybridMultilevel"/>
    <w:lvl w:ilvl="0">
      <w:lvlJc w:val="left"/>
      <w:lvlText w:val=" "/>
      <w:numFmt w:val="bullet"/>
      <w:start w:val="1"/>
    </w:lvl>
  </w:abstractNum>
  <w:abstractNum w:abstractNumId="44">
    <w:nsid w:val="25A70BF7"/>
    <w:multiLevelType w:val="hybridMultilevel"/>
    <w:lvl w:ilvl="0">
      <w:lvlJc w:val="left"/>
      <w:lvlText w:val=" "/>
      <w:numFmt w:val="bullet"/>
      <w:start w:val="1"/>
    </w:lvl>
  </w:abstractNum>
  <w:abstractNum w:abstractNumId="45">
    <w:nsid w:val="1DBABF00"/>
    <w:multiLevelType w:val="hybridMultilevel"/>
    <w:lvl w:ilvl="0">
      <w:lvlJc w:val="left"/>
      <w:lvlText w:val=" "/>
      <w:numFmt w:val="bullet"/>
      <w:start w:val="1"/>
    </w:lvl>
  </w:abstractNum>
  <w:abstractNum w:abstractNumId="46">
    <w:nsid w:val="4AD084E9"/>
    <w:multiLevelType w:val="hybridMultilevel"/>
    <w:lvl w:ilvl="0">
      <w:lvlJc w:val="left"/>
      <w:lvlText w:val=" "/>
      <w:numFmt w:val="bullet"/>
      <w:start w:val="1"/>
    </w:lvl>
  </w:abstractNum>
  <w:abstractNum w:abstractNumId="47">
    <w:nsid w:val="1F48EAA1"/>
    <w:multiLevelType w:val="hybridMultilevel"/>
    <w:lvl w:ilvl="0">
      <w:lvlJc w:val="left"/>
      <w:lvlText w:val=" "/>
      <w:numFmt w:val="bullet"/>
      <w:start w:val="1"/>
    </w:lvl>
  </w:abstractNum>
  <w:abstractNum w:abstractNumId="48">
    <w:nsid w:val="1381823A"/>
    <w:multiLevelType w:val="hybridMultilevel"/>
    <w:lvl w:ilvl="0">
      <w:lvlJc w:val="left"/>
      <w:lvlText w:val=" "/>
      <w:numFmt w:val="bullet"/>
      <w:start w:val="1"/>
    </w:lvl>
  </w:abstractNum>
  <w:abstractNum w:abstractNumId="49">
    <w:nsid w:val="5DB70AE5"/>
    <w:multiLevelType w:val="hybridMultilevel"/>
    <w:lvl w:ilvl="0">
      <w:lvlJc w:val="left"/>
      <w:lvlText w:val=" "/>
      <w:numFmt w:val="bullet"/>
      <w:start w:val="1"/>
    </w:lvl>
  </w:abstractNum>
  <w:abstractNum w:abstractNumId="50">
    <w:nsid w:val="100F8FCA"/>
    <w:multiLevelType w:val="hybridMultilevel"/>
    <w:lvl w:ilvl="0">
      <w:lvlJc w:val="left"/>
      <w:lvlText w:val=" "/>
      <w:numFmt w:val="bullet"/>
      <w:start w:val="1"/>
    </w:lvl>
  </w:abstractNum>
  <w:abstractNum w:abstractNumId="51">
    <w:nsid w:val="6590700B"/>
    <w:multiLevelType w:val="hybridMultilevel"/>
    <w:lvl w:ilvl="0">
      <w:lvlJc w:val="left"/>
      <w:lvlText w:val=" "/>
      <w:numFmt w:val="bullet"/>
      <w:start w:val="1"/>
    </w:lvl>
  </w:abstractNum>
  <w:abstractNum w:abstractNumId="52">
    <w:nsid w:val="15014ACB"/>
    <w:multiLevelType w:val="hybridMultilevel"/>
    <w:lvl w:ilvl="0">
      <w:lvlJc w:val="left"/>
      <w:lvlText w:val=" "/>
      <w:numFmt w:val="bullet"/>
      <w:start w:val="1"/>
    </w:lvl>
  </w:abstractNum>
  <w:abstractNum w:abstractNumId="53">
    <w:nsid w:val="5F5E7FD0"/>
    <w:multiLevelType w:val="hybridMultilevel"/>
    <w:lvl w:ilvl="0">
      <w:lvlJc w:val="left"/>
      <w:lvlText w:val=" "/>
      <w:numFmt w:val="bullet"/>
      <w:start w:val="1"/>
    </w:lvl>
  </w:abstractNum>
  <w:abstractNum w:abstractNumId="54">
    <w:nsid w:val="98A3148"/>
    <w:multiLevelType w:val="hybridMultilevel"/>
    <w:lvl w:ilvl="0">
      <w:lvlJc w:val="left"/>
      <w:lvlText w:val=" "/>
      <w:numFmt w:val="bullet"/>
      <w:start w:val="1"/>
    </w:lvl>
  </w:abstractNum>
  <w:abstractNum w:abstractNumId="55">
    <w:nsid w:val="799D0247"/>
    <w:multiLevelType w:val="hybridMultilevel"/>
    <w:lvl w:ilvl="0">
      <w:lvlJc w:val="left"/>
      <w:lvlText w:val=" "/>
      <w:numFmt w:val="bullet"/>
      <w:start w:val="1"/>
    </w:lvl>
  </w:abstractNum>
  <w:abstractNum w:abstractNumId="56">
    <w:nsid w:val="6B94764"/>
    <w:multiLevelType w:val="hybridMultilevel"/>
    <w:lvl w:ilvl="0">
      <w:lvlJc w:val="left"/>
      <w:lvlText w:val=" "/>
      <w:numFmt w:val="bullet"/>
      <w:start w:val="1"/>
    </w:lvl>
  </w:abstractNum>
  <w:abstractNum w:abstractNumId="57">
    <w:nsid w:val="42C296BD"/>
    <w:multiLevelType w:val="hybridMultilevel"/>
    <w:lvl w:ilvl="0">
      <w:lvlJc w:val="left"/>
      <w:lvlText w:val="(%1)"/>
      <w:numFmt w:val="lowerRoman"/>
      <w:start w:val="3"/>
    </w:lvl>
  </w:abstractNum>
  <w:abstractNum w:abstractNumId="58">
    <w:nsid w:val="168E121F"/>
    <w:multiLevelType w:val="hybridMultilevel"/>
    <w:lvl w:ilvl="0">
      <w:lvlJc w:val="left"/>
      <w:lvlText w:val="%1"/>
      <w:numFmt w:val="decimal"/>
      <w:start w:val="503"/>
    </w:lvl>
    <w:lvl w:ilvl="1">
      <w:lvlJc w:val="left"/>
      <w:lvlText w:val="(%2)"/>
      <w:numFmt w:val="decimal"/>
      <w:start w:val="41"/>
    </w:lvl>
  </w:abstractNum>
  <w:abstractNum w:abstractNumId="59">
    <w:nsid w:val="1EBA5D23"/>
    <w:multiLevelType w:val="hybridMultilevel"/>
    <w:lvl w:ilvl="0">
      <w:lvlJc w:val="left"/>
      <w:lvlText w:val="\emdash "/>
      <w:numFmt w:val="bullet"/>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decimal"/>
      <w:start w:val="3"/>
    </w:lvl>
  </w:abstractNum>
  <w:abstractNum w:abstractNumId="63">
    <w:nsid w:val="7BD3EE7B"/>
    <w:multiLevelType w:val="hybridMultilevel"/>
    <w:lvl w:ilvl="0">
      <w:lvlJc w:val="left"/>
      <w:lvlText w:val="%1."/>
      <w:numFmt w:val="decimal"/>
      <w:start w:val="4"/>
    </w:lvl>
  </w:abstractNum>
  <w:abstractNum w:abstractNumId="64">
    <w:nsid w:val="51D9C564"/>
    <w:multiLevelType w:val="hybridMultilevel"/>
    <w:lvl w:ilvl="0">
      <w:lvlJc w:val="left"/>
      <w:lvlText w:val="%1."/>
      <w:numFmt w:val="decimal"/>
      <w:start w:val="5"/>
    </w:lvl>
  </w:abstractNum>
  <w:abstractNum w:abstractNumId="65">
    <w:nsid w:val="613EFDC5"/>
    <w:multiLevelType w:val="hybridMultilevel"/>
    <w:lvl w:ilvl="0">
      <w:lvlJc w:val="left"/>
      <w:lvlText w:val="%1."/>
      <w:numFmt w:val="decimal"/>
      <w:start w:val="6"/>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decimal"/>
      <w:start w:val="298"/>
    </w:lvl>
  </w:abstractNum>
  <w:abstractNum w:abstractNumId="68">
    <w:nsid w:val="42963E5A"/>
    <w:multiLevelType w:val="hybridMultilevel"/>
    <w:lvl w:ilvl="0">
      <w:lvlJc w:val="left"/>
      <w:lvlText w:val="%1"/>
      <w:numFmt w:val="decimal"/>
      <w:start w:val="495"/>
    </w:lvl>
  </w:abstractNum>
  <w:abstractNum w:abstractNumId="69">
    <w:nsid w:val="A0382C5"/>
    <w:multiLevelType w:val="hybridMultilevel"/>
    <w:lvl w:ilvl="0">
      <w:lvlJc w:val="left"/>
      <w:lvlText w:val="%1."/>
      <w:numFmt w:val="decimal"/>
      <w:start w:val="7"/>
    </w:lvl>
  </w:abstractNum>
  <w:abstractNum w:abstractNumId="70">
    <w:nsid w:val="8F2B15E"/>
    <w:multiLevelType w:val="hybridMultilevel"/>
    <w:lvl w:ilvl="0">
      <w:lvlJc w:val="left"/>
      <w:lvlText w:val="%1."/>
      <w:numFmt w:val="decimal"/>
      <w:start w:val="8"/>
    </w:lvl>
  </w:abstractNum>
  <w:abstractNum w:abstractNumId="71">
    <w:nsid w:val="1A32234B"/>
    <w:multiLevelType w:val="hybridMultilevel"/>
    <w:lvl w:ilvl="0">
      <w:lvlJc w:val="left"/>
      <w:lvlText w:val="%1."/>
      <w:numFmt w:val="decimal"/>
      <w:start w:val="9"/>
    </w:lvl>
  </w:abstractNum>
  <w:abstractNum w:abstractNumId="72">
    <w:nsid w:val="3B0FD379"/>
    <w:multiLevelType w:val="hybridMultilevel"/>
    <w:lvl w:ilvl="0">
      <w:lvlJc w:val="left"/>
      <w:lvlText w:val="(%1)"/>
      <w:numFmt w:val="upperLetter"/>
      <w:start w:val="1"/>
    </w:lvl>
  </w:abstractNum>
  <w:abstractNum w:abstractNumId="73">
    <w:nsid w:val="68EB2F63"/>
    <w:multiLevelType w:val="hybridMultilevel"/>
    <w:lvl w:ilvl="0">
      <w:lvlJc w:val="left"/>
      <w:lvlText w:val="%1."/>
      <w:numFmt w:val="decimal"/>
      <w:start w:val="10"/>
    </w:lvl>
  </w:abstractNum>
  <w:abstractNum w:abstractNumId="74">
    <w:nsid w:val="4962813B"/>
    <w:multiLevelType w:val="hybridMultilevel"/>
    <w:lvl w:ilvl="0">
      <w:lvlJc w:val="left"/>
      <w:lvlText w:val="%1."/>
      <w:numFmt w:val="decimal"/>
      <w:start w:val="11"/>
    </w:lvl>
  </w:abstractNum>
  <w:abstractNum w:abstractNumId="75">
    <w:nsid w:val="60B6DF70"/>
    <w:multiLevelType w:val="hybridMultilevel"/>
    <w:lvl w:ilvl="0">
      <w:lvlJc w:val="left"/>
      <w:lvlText w:val="%1."/>
      <w:numFmt w:val="decimal"/>
      <w:start w:val="12"/>
    </w:lvl>
  </w:abstractNum>
  <w:abstractNum w:abstractNumId="76">
    <w:nsid w:val="6A5EE64"/>
    <w:multiLevelType w:val="hybridMultilevel"/>
    <w:lvl w:ilvl="0">
      <w:lvlJc w:val="left"/>
      <w:lvlText w:val="&amp;"/>
      <w:numFmt w:val="bullet"/>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2"/>
    </w:lvl>
  </w:abstractNum>
  <w:abstractNum w:abstractNumId="81">
    <w:nsid w:val="100F59DC"/>
    <w:multiLevelType w:val="hybridMultilevel"/>
    <w:lvl w:ilvl="0">
      <w:lvlJc w:val="left"/>
      <w:lvlText w:val="(%1)"/>
      <w:numFmt w:val="decimal"/>
      <w:start w:val="3"/>
    </w:lvl>
  </w:abstractNum>
  <w:abstractNum w:abstractNumId="82">
    <w:nsid w:val="7FB7E0AA"/>
    <w:multiLevelType w:val="hybridMultilevel"/>
    <w:lvl w:ilvl="0">
      <w:lvlJc w:val="left"/>
      <w:lvlText w:val="%1"/>
      <w:numFmt w:val="decimal"/>
      <w:start w:val="19"/>
    </w:lvl>
  </w:abstractNum>
  <w:abstractNum w:abstractNumId="83">
    <w:nsid w:val="6EB5BD4"/>
    <w:multiLevelType w:val="hybridMultilevel"/>
    <w:lvl w:ilvl="0">
      <w:lvlJc w:val="left"/>
      <w:lvlText w:val="+"/>
      <w:numFmt w:val="bullet"/>
      <w:start w:val="1"/>
    </w:lvl>
    <w:lvl w:ilvl="1">
      <w:lvlJc w:val="left"/>
      <w:lvlText w:val="%2"/>
      <w:numFmt w:val="decimal"/>
      <w:start w:val="104"/>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2026-04-28T15:31:23Z</dcterms:created>
  <dcterms:modified xsi:type="dcterms:W3CDTF">2026-04-28T15:31:23Z</dcterms:modified>
</cp:coreProperties>
</file>