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Alector,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001-38792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82-2933343</w:t>
            </w:r>
          </w:p>
        </w:tc>
      </w:tr>
      <w:tr>
        <w:trPr>
          <w:trHeight w:val="148"/>
        </w:trPr>
        <w:tc>
          <w:tcPr>
            <w:tcW w:w="3520" w:type="dxa"/>
            <w:vAlign w:val="bottom"/>
          </w:tcPr>
          <w:p>
            <w:pPr>
              <w:jc w:val="center"/>
              <w:ind w:right="97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9"/>
              </w:rPr>
              <w:t>131 Oyster Point Blvd.</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9"/>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9"/>
              </w:rPr>
              <w:t>Suite 600</w:t>
            </w:r>
          </w:p>
        </w:tc>
        <w:tc>
          <w:tcPr>
            <w:tcW w:w="32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14"/>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20" w:type="dxa"/>
            <w:vAlign w:val="bottom"/>
          </w:tcPr>
          <w:p>
            <w:pPr>
              <w:jc w:val="center"/>
              <w:ind w:righ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231-5660</w:t>
      </w:r>
    </w:p>
    <w:p>
      <w:pPr>
        <w:spacing w:after="0" w:line="1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ALEC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tab/>
        <w:t>Entry into a Material Definitive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2024, Alector, Inc. (the “Company”) entered into an underwriting agreement (the “Underwriting Agreement”) with Cantor Fitzgerald &amp; Co. (the “Underwriter”), relating to the issuance and sale (the “Offering”) of 10,869,566 shares of the Company’s common stock, par value $0.0001 per share, at a price per share of $6.57 to be paid by the Underwriter (the “Underwritten Shares”). The Company also granted the Underwriter an option exercisable for 30 days from the date of the Underwriting Agreement to purchase up to an additional 1,630,434 shares of common stock (together with the Underwritten Shares, the “Shares”). All of the Shares in the Offering are being sold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proceeds from the Offering are expected to be approximately $75 million before deducting underwriting discounts and commissions and estimated offering expenses payable by the Company and assuming no exercise of the Underwriter’s option to purchase additional shares. The Offering is expected to close on January 19, 2024, subject to the satisfaction of customary closing conditions.</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Offering is being made pursuant to the Company’s effective registration statement on Form S-3 (File No. 333-270126) (the “Registration Statement”), which was declared effective by the Securities and Exchange Commission (the “Commission”) on May 1, 2023, and a related prospectus and prospectus supplement, each as filed with the Commission.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summary of the Underwriting Agreement does not purport to be complete and is qualified in its entirety by reference to the Underwriting Agreement, a copy of which is filed as Exhibit 1.1 to this Current Report on Form 8-K and is incorporated herein by reference. The legal opinion of Wilson Sonsini Goodrich &amp; Rosati, Professional Corporation relating to the shares of common stock being offered pursuant to the Underwriting Agreement is filed as Exhibit 5.1 to this Current Report on Form 8-K.</w:t>
      </w: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pricing of the Offering is attached to this Current Report on Form 8-K as Exhibit 99.1.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the statements made in this report are forward looking, such as those, among others, relating to the Company’s expectations regarding the timing and completion of the Offering and expected gross proceeds from the Offering. Actual results or developments may differ materially from those projected or implied in these forward-looking statements. Factors that may cause such a difference include risks and uncertainties related to completion of the Offering on the anticipated terms or at all, market conditions, and the satisfaction of customary closing conditions related to the Offering. More information about the risks and uncertainties faced by the Company is contained under the caption “Risk Factors” in the Company’s filings with the Commission, including the Company’s Annual Reports on Form 10-K, Quarterly Reports on Form 10-Q, and other documents the Company files with the Commission from time to time. The Company disclaims any intention or obligation to update or revise any forward-looking statements, whether as a result of new information, future events, or otherwise.</w:t>
      </w:r>
    </w:p>
    <w:p>
      <w:pPr>
        <w:spacing w:after="0" w:line="33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7980" w:type="dxa"/>
            <w:vAlign w:val="bottom"/>
            <w:gridSpan w:val="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4"/>
                <w:szCs w:val="24"/>
                <w:color w:val="auto"/>
              </w:rPr>
            </w:pPr>
          </w:p>
        </w:tc>
        <w:tc>
          <w:tcPr>
            <w:tcW w:w="7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Underwriting Agreement, dated January 17, 2024, by and between Alector, Inc. and Cantor Fitzgerald &amp; Co.</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8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Wilson Sonsini Goodrich &amp; Rosati, Professional Corporation (included with the opinion filed as Exhibit 5.1)</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January 17, 2024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ALECTOR,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19,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Arnon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Arnon Rosenthal,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10,869,566 Shares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ALECTOR,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COMMON STOCK, PAR VALUE $ 0.0001 PER SHARE</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January 17, 2024</w:t>
      </w:r>
    </w:p>
    <w:p>
      <w:pPr>
        <w:spacing w:after="0" w:line="200" w:lineRule="exact"/>
        <w:rPr>
          <w:sz w:val="20"/>
          <w:szCs w:val="20"/>
          <w:color w:val="auto"/>
        </w:rPr>
      </w:pPr>
    </w:p>
    <w:p>
      <w:pPr>
        <w:spacing w:after="0" w:line="3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20"/>
          </w:cols>
          <w:pgMar w:left="1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196" w:lineRule="auto"/>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6th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Alector,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Cantor Fitzgerald &amp; Co.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10,869,566 shares of its common stock, par value $0.0001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The Company also proposes to issue and sell to the Underwriter not more than an additional 1,630,434 shares of its common stock, par value $0.0001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you, as Underwriter, shall have determined to exercise, your right to purchase such shares of common stock pursuant to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on Form S-3 (File No. 333-270126), including a preliminary prospectus, relating to the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Shares, to be issued from time to time by the Company. Such registration statement, as amended at the time it became effective, including the information (if any) deemed to be part of the registration statement pursuant to Rule 430A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dated February 28, 2023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If the Company has filed an abbreviated registration statement to register additional shares of Common Stock pursuant to Rule 462(b) under the Securities Act (the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shall be deemed to include such Rule 462 Registration Statement.</w:t>
      </w:r>
    </w:p>
    <w:p>
      <w:pPr>
        <w:sectPr>
          <w:pgSz w:w="11900" w:h="16838" w:orient="portrait"/>
          <w:cols w:equalWidth="0" w:num="1">
            <w:col w:w="11020"/>
          </w:cols>
          <w:pgMar w:left="440" w:top="270" w:right="439" w:bottom="1440" w:gutter="0" w:footer="0" w:header="0"/>
        </w:sectPr>
      </w:pPr>
    </w:p>
    <w:bookmarkStart w:id="5" w:name="page6"/>
    <w:bookmarkEnd w:id="5"/>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preliminary prospectus together with the documents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that are deemed to be incorporated by reference therein.</w:t>
      </w:r>
    </w:p>
    <w:p>
      <w:pPr>
        <w:spacing w:after="0" w:line="187"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the Underwriter that:</w:t>
      </w:r>
    </w:p>
    <w:p>
      <w:pPr>
        <w:spacing w:after="0" w:line="119"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63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Registration Statement has become effective; no stop order suspending the effectiveness of the Registration Statement is in effect; and no proceedings for such purpose or pursuant to Section 8A under the Securities Act are pending before or, to the Knowledge (as defined below) of the Company, threatened by the Commission. The sale of the Shares hereunder meets the requirements of General Instruction I.B.1 of Form S-3.</w:t>
      </w:r>
    </w:p>
    <w:p>
      <w:pPr>
        <w:spacing w:after="0" w:line="71" w:lineRule="exact"/>
        <w:rPr>
          <w:rFonts w:ascii="Times New Roman" w:cs="Times New Roman" w:eastAsia="Times New Roman" w:hAnsi="Times New Roman"/>
          <w:sz w:val="18"/>
          <w:szCs w:val="18"/>
          <w:color w:val="auto"/>
        </w:rPr>
      </w:pPr>
    </w:p>
    <w:p>
      <w:pPr>
        <w:jc w:val="both"/>
        <w:ind w:left="980" w:firstLine="408"/>
        <w:spacing w:after="0" w:line="252" w:lineRule="auto"/>
        <w:tabs>
          <w:tab w:leader="none" w:pos="164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 Compliance</w:t>
      </w:r>
      <w:r>
        <w:rPr>
          <w:rFonts w:ascii="Times New Roman" w:cs="Times New Roman" w:eastAsia="Times New Roman" w:hAnsi="Times New Roman"/>
          <w:sz w:val="18"/>
          <w:szCs w:val="18"/>
          <w:color w:val="auto"/>
        </w:rPr>
        <w:t>.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as of the date of such amendment or supplement,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will not contain, as of the date of such amendment or supplement or as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Closing Date,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the Underwriter furnished to the Company in writing by the Underwriter expressly for use therein. Each document filed pursuant to the Exchange Act, and incorporated by reference in the Time of Sale Prospectus or the Prospectus complied when so filed in all material respects with the Exchange Act and the applicable rules and regulations of the Commission thereunder.</w:t>
      </w:r>
    </w:p>
    <w:p>
      <w:pPr>
        <w:spacing w:after="0" w:line="79" w:lineRule="exact"/>
        <w:rPr>
          <w:sz w:val="20"/>
          <w:szCs w:val="20"/>
          <w:color w:val="auto"/>
        </w:rPr>
      </w:pPr>
    </w:p>
    <w:p>
      <w:pPr>
        <w:jc w:val="both"/>
        <w:ind w:firstLine="408"/>
        <w:spacing w:after="0" w:line="266" w:lineRule="auto"/>
        <w:tabs>
          <w:tab w:leader="none" w:pos="6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of preliminary prospectus</w:t>
      </w:r>
      <w:r>
        <w:rPr>
          <w:rFonts w:ascii="Times New Roman" w:cs="Times New Roman" w:eastAsia="Times New Roman" w:hAnsi="Times New Roman"/>
          <w:sz w:val="18"/>
          <w:szCs w:val="18"/>
          <w:color w:val="auto"/>
        </w:rPr>
        <w:t>.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5" w:lineRule="exact"/>
        <w:rPr>
          <w:rFonts w:ascii="Times New Roman" w:cs="Times New Roman" w:eastAsia="Times New Roman" w:hAnsi="Times New Roman"/>
          <w:sz w:val="18"/>
          <w:szCs w:val="18"/>
          <w:color w:val="auto"/>
        </w:rPr>
      </w:pPr>
    </w:p>
    <w:p>
      <w:pPr>
        <w:jc w:val="both"/>
        <w:ind w:right="20" w:firstLine="40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As of the time of each sale of the Shares in connection with the offering when the Prospectus is not yet available to prospective purchasers, none of the Time of Sale Prospectus, any free writing prospectus, when considered together with the Time of Sale Prospectus, and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5" w:lineRule="exact"/>
        <w:rPr>
          <w:rFonts w:ascii="Times New Roman" w:cs="Times New Roman" w:eastAsia="Times New Roman" w:hAnsi="Times New Roman"/>
          <w:sz w:val="18"/>
          <w:szCs w:val="18"/>
          <w:color w:val="auto"/>
        </w:rPr>
      </w:pPr>
    </w:p>
    <w:p>
      <w:pPr>
        <w:jc w:val="both"/>
        <w:ind w:firstLine="408"/>
        <w:spacing w:after="0" w:line="255" w:lineRule="auto"/>
        <w:tabs>
          <w:tab w:leader="none" w:pos="6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 Furnished to The Underwriter</w:t>
      </w:r>
      <w:r>
        <w:rPr>
          <w:rFonts w:ascii="Times New Roman" w:cs="Times New Roman" w:eastAsia="Times New Roman" w:hAnsi="Times New Roman"/>
          <w:sz w:val="18"/>
          <w:szCs w:val="18"/>
          <w:color w:val="auto"/>
        </w:rPr>
        <w:t>. The Company has delivered to the Underwriter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the Underwriter has reasonably requested. The Registration Statement, the Prospectus and any free writing prospectuses, if any, identified in Schedule II hereto, (to the extent any such free writing prospectus was required to be filed with the Commission) delivered to the Underwriter for use in connection with the public offering of the Shares contemplated herein have been and will be identical to the versions of such documents transmitted to the Commission for filing via EDGAR, except to the extent permitted by Regulation S-T.</w:t>
      </w:r>
    </w:p>
    <w:p>
      <w:pPr>
        <w:spacing w:after="0" w:line="80" w:lineRule="exact"/>
        <w:rPr>
          <w:rFonts w:ascii="Times New Roman" w:cs="Times New Roman" w:eastAsia="Times New Roman" w:hAnsi="Times New Roman"/>
          <w:sz w:val="18"/>
          <w:szCs w:val="18"/>
          <w:color w:val="auto"/>
        </w:rPr>
      </w:pPr>
    </w:p>
    <w:p>
      <w:pPr>
        <w:jc w:val="both"/>
        <w:ind w:right="20" w:firstLine="408"/>
        <w:spacing w:after="0" w:line="261" w:lineRule="auto"/>
        <w:tabs>
          <w:tab w:leader="none" w:pos="6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w:t>
      </w:r>
    </w:p>
    <w:p>
      <w:pPr>
        <w:spacing w:after="0" w:line="1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40"/>
          </w:cols>
          <w:pgMar w:left="1420" w:top="270" w:right="4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Rule 433(d) under the Securities Act or that was prepared by or on behalf of or used or referred to by the Company complies or, if filed after the effective date of this Agreement, will comply as of the date of such filing, in all material respects with the requirements of the Securities Act and the applicable rules and regulations of the Commission thereunder. Except for the free writing prospectuses, if any, identified in Schedule II hereto, and electronic road shows, if any, furnished to and approved by the Underwriter, the Company has not prepared, used or referred to, and will not, prepare, use or refer to, any free writing prospectus.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is not an “emerging growth company,” as defined in Section 2(a) of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99" w:lineRule="exact"/>
        <w:rPr>
          <w:sz w:val="20"/>
          <w:szCs w:val="20"/>
          <w:color w:val="auto"/>
        </w:rPr>
      </w:pPr>
    </w:p>
    <w:p>
      <w:pPr>
        <w:jc w:val="both"/>
        <w:ind w:right="20" w:firstLine="408"/>
        <w:spacing w:after="0" w:line="258" w:lineRule="auto"/>
        <w:tabs>
          <w:tab w:leader="none" w:pos="6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 By the Company</w:t>
      </w:r>
      <w:r>
        <w:rPr>
          <w:rFonts w:ascii="Times New Roman" w:cs="Times New Roman" w:eastAsia="Times New Roman" w:hAnsi="Times New Roman"/>
          <w:sz w:val="18"/>
          <w:szCs w:val="18"/>
          <w:color w:val="auto"/>
        </w:rPr>
        <w:t>. The Company (i) has not alone engaged in any Testing-the-Waters Communication with any person and (ii) has not authorized anyone to engage in Testing-the-Waters Communications. The Company has not distributed any Testing-the-Waters Communication that is a written communication within the meaning of Rule 405 under the Securities Act.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75" w:lineRule="exact"/>
        <w:rPr>
          <w:rFonts w:ascii="Times New Roman" w:cs="Times New Roman" w:eastAsia="Times New Roman" w:hAnsi="Times New Roman"/>
          <w:sz w:val="18"/>
          <w:szCs w:val="18"/>
          <w:color w:val="auto"/>
        </w:rPr>
      </w:pPr>
    </w:p>
    <w:p>
      <w:pPr>
        <w:ind w:left="620" w:hanging="21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jc w:val="both"/>
        <w:ind w:right="20" w:firstLine="408"/>
        <w:spacing w:after="0" w:line="258" w:lineRule="auto"/>
        <w:tabs>
          <w:tab w:leader="none" w:pos="6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Common Stock</w:t>
      </w:r>
      <w:r>
        <w:rPr>
          <w:rFonts w:ascii="Times New Roman" w:cs="Times New Roman" w:eastAsia="Times New Roman" w:hAnsi="Times New Roman"/>
          <w:sz w:val="18"/>
          <w:szCs w:val="18"/>
          <w:color w:val="auto"/>
        </w:rPr>
        <w:t>. The authorized capital stock of the Company conforms as to legal matters in all material respects to the description thereof contained in, or incorporated by reference into, each of the Registration Statement, the Time of Sale Prospectus and the Prospectus. The Shares have been duly authorized and, when paid for, issued and delivered in accordance with the terms of this Agreement, will be validly issued, fully paid and non-assessable, and the issuance of the Shares will not be subject to any preemptive or similar rights.</w:t>
      </w:r>
    </w:p>
    <w:p>
      <w:pPr>
        <w:spacing w:after="0" w:line="75" w:lineRule="exact"/>
        <w:rPr>
          <w:rFonts w:ascii="Times New Roman" w:cs="Times New Roman" w:eastAsia="Times New Roman" w:hAnsi="Times New Roman"/>
          <w:sz w:val="18"/>
          <w:szCs w:val="18"/>
          <w:color w:val="auto"/>
        </w:rPr>
      </w:pPr>
    </w:p>
    <w:p>
      <w:pPr>
        <w:jc w:val="both"/>
        <w:ind w:right="20" w:firstLine="40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statements set forth in the Time of Sale Prospectus and the Prospectus under the caption “Description of Capital Stock”, insofar as they purport to constitute a summary of the terms of the capital stock of the Company, under the caption “Material U.S. Federal Income Tax Consequences to Non-U.S. Holders”, and under the caption “Underwriting”, are accurate, complete and fair in all material respects.</w:t>
      </w:r>
    </w:p>
    <w:p>
      <w:pPr>
        <w:spacing w:after="0" w:line="71" w:lineRule="exact"/>
        <w:rPr>
          <w:rFonts w:ascii="Times New Roman" w:cs="Times New Roman" w:eastAsia="Times New Roman" w:hAnsi="Times New Roman"/>
          <w:sz w:val="18"/>
          <w:szCs w:val="18"/>
          <w:color w:val="auto"/>
        </w:rPr>
      </w:pPr>
    </w:p>
    <w:p>
      <w:pPr>
        <w:jc w:val="both"/>
        <w:ind w:firstLine="408"/>
        <w:spacing w:after="0" w:line="258" w:lineRule="auto"/>
        <w:tabs>
          <w:tab w:leader="none" w:pos="6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otherwise have been validly waived or complied with in connection with the issuance and sale of the Shares contemplated hereby.</w:t>
      </w:r>
    </w:p>
    <w:p>
      <w:pPr>
        <w:spacing w:after="0" w:line="1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40"/>
          </w:cols>
          <w:pgMar w:left="1420" w:top="270" w:right="439" w:bottom="1440" w:gutter="0" w:footer="0" w:header="0"/>
        </w:sectPr>
      </w:pPr>
    </w:p>
    <w:bookmarkStart w:id="8" w:name="page9"/>
    <w:bookmarkEnd w:id="8"/>
    <w:p>
      <w:pPr>
        <w:jc w:val="both"/>
        <w:ind w:left="-20" w:firstLine="408"/>
        <w:spacing w:after="0" w:line="26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Adverse Change</w:t>
      </w:r>
      <w:r>
        <w:rPr>
          <w:rFonts w:ascii="Times New Roman" w:cs="Times New Roman" w:eastAsia="Times New Roman" w:hAnsi="Times New Roman"/>
          <w:sz w:val="18"/>
          <w:szCs w:val="18"/>
          <w:color w:val="auto"/>
        </w:rPr>
        <w:t>. There has not occurred any material adverse change, or any development involving a prospective material adverse change, in the condition, financial or otherwise, or in the earnings, business or operations of the Company and its Subsidiaries (as defined below), taken as a whole,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from that set forth in the Time of Sale Prospectus.</w:t>
      </w:r>
    </w:p>
    <w:p>
      <w:pPr>
        <w:spacing w:after="0" w:line="67" w:lineRule="exact"/>
        <w:rPr>
          <w:rFonts w:ascii="Times New Roman" w:cs="Times New Roman" w:eastAsia="Times New Roman" w:hAnsi="Times New Roman"/>
          <w:sz w:val="18"/>
          <w:szCs w:val="18"/>
          <w:color w:val="auto"/>
        </w:rPr>
      </w:pPr>
    </w:p>
    <w:p>
      <w:pPr>
        <w:jc w:val="both"/>
        <w:ind w:left="-20" w:right="20" w:firstLine="408"/>
        <w:spacing w:after="0" w:line="261" w:lineRule="auto"/>
        <w:tabs>
          <w:tab w:leader="none" w:pos="6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Ernst &amp; Young LLP, which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and the Exchange Act.</w:t>
      </w:r>
    </w:p>
    <w:p>
      <w:pPr>
        <w:spacing w:after="0" w:line="71" w:lineRule="exact"/>
        <w:rPr>
          <w:rFonts w:ascii="Times New Roman" w:cs="Times New Roman" w:eastAsia="Times New Roman" w:hAnsi="Times New Roman"/>
          <w:sz w:val="18"/>
          <w:szCs w:val="18"/>
          <w:color w:val="auto"/>
        </w:rPr>
      </w:pPr>
    </w:p>
    <w:p>
      <w:pPr>
        <w:jc w:val="both"/>
        <w:ind w:left="-20" w:right="20" w:firstLine="408"/>
        <w:spacing w:after="0" w:line="254" w:lineRule="auto"/>
        <w:tabs>
          <w:tab w:leader="none" w:pos="6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the Financial Statements</w:t>
      </w:r>
      <w:r>
        <w:rPr>
          <w:rFonts w:ascii="Times New Roman" w:cs="Times New Roman" w:eastAsia="Times New Roman" w:hAnsi="Times New Roman"/>
          <w:sz w:val="18"/>
          <w:szCs w:val="18"/>
          <w:color w:val="auto"/>
        </w:rPr>
        <w:t>. The financial statements (including the related notes thereto) of the Company and its consolidated Subsidiaries included or incorporated by reference in each of the Registration Statement, the Time of Sale Prospectus and the Prospectus comply in all material respects with the applicable requirements of the Securities Act and present fairly in all material respects the consolidated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the other financial information included in the Registration Statement, the Time of Sale Prospectus and the Prospectus has been derived from the accounting records of the Company and its Subsidiaries and presents fairly in all material respects the information shown thereby.</w:t>
      </w:r>
    </w:p>
    <w:p>
      <w:pPr>
        <w:spacing w:after="0" w:line="83" w:lineRule="exact"/>
        <w:rPr>
          <w:rFonts w:ascii="Times New Roman" w:cs="Times New Roman" w:eastAsia="Times New Roman" w:hAnsi="Times New Roman"/>
          <w:sz w:val="18"/>
          <w:szCs w:val="18"/>
          <w:color w:val="auto"/>
        </w:rPr>
      </w:pPr>
    </w:p>
    <w:p>
      <w:pPr>
        <w:jc w:val="both"/>
        <w:ind w:left="-20" w:firstLine="408"/>
        <w:spacing w:after="0" w:line="26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jc w:val="both"/>
        <w:ind w:left="-20" w:firstLine="408"/>
        <w:spacing w:after="0" w:line="258" w:lineRule="auto"/>
        <w:tabs>
          <w:tab w:leader="none" w:pos="6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 and its Subsidiaries</w:t>
      </w:r>
      <w:r>
        <w:rPr>
          <w:rFonts w:ascii="Times New Roman" w:cs="Times New Roman" w:eastAsia="Times New Roman" w:hAnsi="Times New Roman"/>
          <w:sz w:val="18"/>
          <w:szCs w:val="18"/>
          <w:color w:val="auto"/>
        </w:rPr>
        <w:t>. 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w:t>
      </w:r>
    </w:p>
    <w:p>
      <w:pPr>
        <w:spacing w:after="0" w:line="1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0"/>
          </w:cols>
          <w:pgMar w:left="1440" w:top="270" w:right="4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a material adverse effect on the Company and its Subsidiaries, taken as a whole. Each subsidiary of the Company (each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has been duly organized, is validly existing and in good standing under the laws of the State of Delaware, has the corporate or other organizational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by the Company or a Subsidiary of the Company, free and clear of all liens, encumbrances, equities or claims, except as disclosed in the Registration Statement and the Prospectus.</w:t>
      </w:r>
    </w:p>
    <w:p>
      <w:pPr>
        <w:spacing w:after="0" w:line="80" w:lineRule="exact"/>
        <w:rPr>
          <w:sz w:val="20"/>
          <w:szCs w:val="20"/>
          <w:color w:val="auto"/>
        </w:rPr>
      </w:pPr>
    </w:p>
    <w:p>
      <w:pPr>
        <w:ind w:right="20" w:firstLine="408"/>
        <w:spacing w:after="0" w:line="282" w:lineRule="auto"/>
        <w:tabs>
          <w:tab w:leader="none" w:pos="63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Matters</w:t>
      </w:r>
      <w:r>
        <w:rPr>
          <w:rFonts w:ascii="Times New Roman" w:cs="Times New Roman" w:eastAsia="Times New Roman" w:hAnsi="Times New Roman"/>
          <w:sz w:val="18"/>
          <w:szCs w:val="18"/>
          <w:color w:val="auto"/>
        </w:rPr>
        <w:t>. The shares of Common Stock outstanding prior to the issuance of the Shares have been duly authorized and are validly issued, fully paid and non-assessable.</w:t>
      </w:r>
    </w:p>
    <w:p>
      <w:pPr>
        <w:spacing w:after="0" w:line="53" w:lineRule="exact"/>
        <w:rPr>
          <w:rFonts w:ascii="Times New Roman" w:cs="Times New Roman" w:eastAsia="Times New Roman" w:hAnsi="Times New Roman"/>
          <w:sz w:val="18"/>
          <w:szCs w:val="18"/>
          <w:color w:val="auto"/>
        </w:rPr>
      </w:pPr>
    </w:p>
    <w:p>
      <w:pPr>
        <w:jc w:val="both"/>
        <w:ind w:right="20" w:firstLine="408"/>
        <w:spacing w:after="0" w:line="261" w:lineRule="auto"/>
        <w:tabs>
          <w:tab w:leader="none" w:pos="6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The execution and delivery by the Company of, and the performance by the Company of its obligations under, this Agreement will not contravene any provision of</w:t>
      </w:r>
    </w:p>
    <w:p>
      <w:pPr>
        <w:jc w:val="both"/>
        <w:ind w:firstLine="7"/>
        <w:spacing w:after="0" w:line="251" w:lineRule="auto"/>
        <w:tabs>
          <w:tab w:leader="none" w:pos="2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cases of clauses (i), (iii), and (iv), as would not reasonably be likely to have a material adverse effect on the Company and its Subsidiaries, taken as a whole or adversely affect the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in connection with the offer and sale of the Shares.</w:t>
      </w:r>
    </w:p>
    <w:p>
      <w:pPr>
        <w:spacing w:after="0" w:line="85" w:lineRule="exact"/>
        <w:rPr>
          <w:rFonts w:ascii="Times New Roman" w:cs="Times New Roman" w:eastAsia="Times New Roman" w:hAnsi="Times New Roman"/>
          <w:sz w:val="18"/>
          <w:szCs w:val="18"/>
          <w:color w:val="auto"/>
        </w:rPr>
      </w:pPr>
    </w:p>
    <w:p>
      <w:pPr>
        <w:jc w:val="both"/>
        <w:ind w:firstLine="408"/>
        <w:spacing w:after="0" w:line="258" w:lineRule="auto"/>
        <w:tabs>
          <w:tab w:leader="none" w:pos="6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There are no legal or governmental proceedings pending or, to the knowledge of the Company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reasonably be expected to have a material adverse effect on the Company and its Subsidiaries, taken as a whole, or on the power or ability of the Company to perform its</w:t>
      </w:r>
    </w:p>
    <w:p>
      <w:pPr>
        <w:spacing w:after="0" w:line="1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40"/>
          </w:cols>
          <w:pgMar w:left="1420" w:top="270" w:right="4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75" w:lineRule="exact"/>
        <w:rPr>
          <w:sz w:val="20"/>
          <w:szCs w:val="20"/>
          <w:color w:val="auto"/>
        </w:rPr>
      </w:pPr>
    </w:p>
    <w:p>
      <w:pPr>
        <w:jc w:val="both"/>
        <w:ind w:right="20" w:firstLine="408"/>
        <w:spacing w:after="0" w:line="256" w:lineRule="auto"/>
        <w:tabs>
          <w:tab w:leader="none" w:pos="6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and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except as described in the Registration Statement, the Time of Sale Prospectus and Prospectus.</w:t>
      </w:r>
    </w:p>
    <w:p>
      <w:pPr>
        <w:spacing w:after="0" w:line="79" w:lineRule="exact"/>
        <w:rPr>
          <w:rFonts w:ascii="Times New Roman" w:cs="Times New Roman" w:eastAsia="Times New Roman" w:hAnsi="Times New Roman"/>
          <w:sz w:val="18"/>
          <w:szCs w:val="18"/>
          <w:color w:val="auto"/>
        </w:rPr>
      </w:pPr>
    </w:p>
    <w:p>
      <w:pPr>
        <w:jc w:val="both"/>
        <w:ind w:right="20" w:firstLine="408"/>
        <w:spacing w:after="0" w:line="258" w:lineRule="auto"/>
        <w:tabs>
          <w:tab w:leader="none" w:pos="6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The Company and its Subsidiaries have operated at all times and are currently in compliance with all applicable statutes, rules, regulations and policies of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applicable foreign regulatory authorities, including the European Medicines Agency and the UK Medicines &amp; Healthcare products Regulatory Agency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except where failure to be in compliance would not reasonably be expected to have a material adverse effect on the Company and its Subsidiaries, taken as a whole, including, without limitation the following, as applicable:</w:t>
      </w:r>
    </w:p>
    <w:p>
      <w:pPr>
        <w:spacing w:after="0" w:line="75" w:lineRule="exact"/>
        <w:rPr>
          <w:rFonts w:ascii="Times New Roman" w:cs="Times New Roman" w:eastAsia="Times New Roman" w:hAnsi="Times New Roman"/>
          <w:sz w:val="18"/>
          <w:szCs w:val="18"/>
          <w:color w:val="auto"/>
        </w:rPr>
      </w:pPr>
    </w:p>
    <w:p>
      <w:pPr>
        <w:ind w:left="1040" w:hanging="209"/>
        <w:spacing w:after="0"/>
        <w:tabs>
          <w:tab w:leader="none" w:pos="1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17" w:lineRule="exact"/>
        <w:rPr>
          <w:rFonts w:ascii="Times New Roman" w:cs="Times New Roman" w:eastAsia="Times New Roman" w:hAnsi="Times New Roman"/>
          <w:sz w:val="18"/>
          <w:szCs w:val="18"/>
          <w:color w:val="auto"/>
        </w:rPr>
      </w:pPr>
    </w:p>
    <w:p>
      <w:pPr>
        <w:jc w:val="both"/>
        <w:ind w:left="440" w:firstLine="391"/>
        <w:spacing w:after="0" w:line="255" w:lineRule="auto"/>
        <w:tabs>
          <w:tab w:leader="none" w:pos="108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exclusion laws, the statutes, regulations and directives of applicable government funded or sponsored healthcare programs, and the regulations promulgated pursuant to such statutes;</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40"/>
          </w:cols>
          <w:pgMar w:left="1420" w:top="270" w:right="439" w:bottom="1440" w:gutter="0" w:footer="0" w:header="0"/>
        </w:sectPr>
      </w:pPr>
    </w:p>
    <w:bookmarkStart w:id="11" w:name="page12"/>
    <w:bookmarkEnd w:id="11"/>
    <w:p>
      <w:pPr>
        <w:jc w:val="both"/>
        <w:ind w:left="433" w:right="20" w:firstLine="391"/>
        <w:spacing w:after="0" w:line="261" w:lineRule="auto"/>
        <w:tabs>
          <w:tab w:leader="none" w:pos="1149"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w:t>
      </w:r>
    </w:p>
    <w:p>
      <w:pPr>
        <w:spacing w:after="0" w:line="71" w:lineRule="exact"/>
        <w:rPr>
          <w:rFonts w:ascii="Times New Roman" w:cs="Times New Roman" w:eastAsia="Times New Roman" w:hAnsi="Times New Roman"/>
          <w:sz w:val="18"/>
          <w:szCs w:val="18"/>
          <w:color w:val="auto"/>
        </w:rPr>
      </w:pPr>
    </w:p>
    <w:p>
      <w:pPr>
        <w:ind w:left="433" w:right="20" w:firstLine="391"/>
        <w:spacing w:after="0" w:line="282" w:lineRule="auto"/>
        <w:tabs>
          <w:tab w:leader="none" w:pos="112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the regulations promulgated thereunder;</w:t>
      </w:r>
    </w:p>
    <w:p>
      <w:pPr>
        <w:spacing w:after="0" w:line="53" w:lineRule="exact"/>
        <w:rPr>
          <w:rFonts w:ascii="Times New Roman" w:cs="Times New Roman" w:eastAsia="Times New Roman" w:hAnsi="Times New Roman"/>
          <w:sz w:val="18"/>
          <w:szCs w:val="18"/>
          <w:color w:val="auto"/>
        </w:rPr>
      </w:pPr>
    </w:p>
    <w:p>
      <w:pPr>
        <w:ind w:left="1073" w:hanging="249"/>
        <w:spacing w:after="0"/>
        <w:tabs>
          <w:tab w:leader="none" w:pos="1073"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Controlled Substances Act (21 U.S.C. Section 801 et seq.);</w:t>
      </w:r>
    </w:p>
    <w:p>
      <w:pPr>
        <w:spacing w:after="0" w:line="117" w:lineRule="exact"/>
        <w:rPr>
          <w:rFonts w:ascii="Times New Roman" w:cs="Times New Roman" w:eastAsia="Times New Roman" w:hAnsi="Times New Roman"/>
          <w:sz w:val="18"/>
          <w:szCs w:val="18"/>
          <w:color w:val="auto"/>
        </w:rPr>
      </w:pPr>
    </w:p>
    <w:p>
      <w:pPr>
        <w:ind w:left="433" w:right="20" w:firstLine="391"/>
        <w:spacing w:after="0" w:line="282" w:lineRule="auto"/>
        <w:tabs>
          <w:tab w:leader="none" w:pos="112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53" w:lineRule="exact"/>
        <w:rPr>
          <w:rFonts w:ascii="Times New Roman" w:cs="Times New Roman" w:eastAsia="Times New Roman" w:hAnsi="Times New Roman"/>
          <w:sz w:val="18"/>
          <w:szCs w:val="18"/>
          <w:color w:val="auto"/>
        </w:rPr>
      </w:pPr>
    </w:p>
    <w:p>
      <w:pPr>
        <w:jc w:val="both"/>
        <w:ind w:left="433" w:right="20" w:firstLine="391"/>
        <w:spacing w:after="0" w:line="261" w:lineRule="auto"/>
        <w:tabs>
          <w:tab w:leader="none" w:pos="1191"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local, state, federal, 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(clauses (i) through (vii),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7" w:right="20" w:firstLine="408"/>
        <w:spacing w:after="0" w:line="268" w:lineRule="auto"/>
        <w:tabs>
          <w:tab w:leader="none" w:pos="68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Tests and Trials</w:t>
      </w:r>
      <w:r>
        <w:rPr>
          <w:rFonts w:ascii="Times New Roman" w:cs="Times New Roman" w:eastAsia="Times New Roman" w:hAnsi="Times New Roman"/>
          <w:sz w:val="17"/>
          <w:szCs w:val="17"/>
          <w:color w:val="auto"/>
        </w:rPr>
        <w:t>. (i) Except as would not reasonably be expected to result in a Material Adverse Change the Company and its Subsidiaries, the studies, tests and preclinical and clinical trials conducted by or, to the Knowledge of the Company, any studies tests and preclinical and clinical trials conducted on behalf of or sponsored by the Company or its Subsidiaries or in which the Company or its Subsidiaries have participated, were, and if still pending are, being conducted in accordance with standard medical and experimental protocols, procedures and controls pursuant to accepted professional scientific research standards and procedures, and all applicable Health Care Laws, the rules and regulations of the Regulatory Authorities and current Good Clinical Practices and Good Laboratory Practices;</w:t>
      </w:r>
    </w:p>
    <w:p>
      <w:pPr>
        <w:spacing w:after="0" w:line="4" w:lineRule="exact"/>
        <w:rPr>
          <w:rFonts w:ascii="Times New Roman" w:cs="Times New Roman" w:eastAsia="Times New Roman" w:hAnsi="Times New Roman"/>
          <w:sz w:val="17"/>
          <w:szCs w:val="17"/>
          <w:color w:val="auto"/>
        </w:rPr>
      </w:pPr>
    </w:p>
    <w:p>
      <w:pPr>
        <w:jc w:val="both"/>
        <w:ind w:left="-7" w:firstLine="7"/>
        <w:spacing w:after="0" w:line="252"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descriptions of the results of such studies and trials contained in the Registration Statement, the Time of Sale Prospectus and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the Company reasonably believes are inconsistent with or call into question the results described or referred to in the Registration Statement, the Time of Sale Prospectus and the Prospectus; (iv) the Company has provided the Underwriter with all material substantive written notices, correspondence and summaries of all other material communications provided to the Company or its Subsidiaries from the Regulatory Authorities; and (v) neither the Company nor any of its Subsidiaries have received any</w:t>
      </w:r>
    </w:p>
    <w:p>
      <w:pPr>
        <w:spacing w:after="0" w:line="121"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33"/>
          </w:cols>
          <w:pgMar w:left="1427" w:top="270" w:right="439" w:bottom="1440" w:gutter="0" w:footer="0" w:header="0"/>
        </w:sectPr>
      </w:pPr>
    </w:p>
    <w:bookmarkStart w:id="12" w:name="page13"/>
    <w:bookmarkEnd w:id="1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written notices, correspondence or other communications from any Regulatory Authority or any other governmental entity requiring or threatening the termination,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w:t>
      </w:r>
    </w:p>
    <w:p>
      <w:pPr>
        <w:spacing w:after="0" w:line="72" w:lineRule="exact"/>
        <w:rPr>
          <w:sz w:val="20"/>
          <w:szCs w:val="20"/>
          <w:color w:val="auto"/>
        </w:rPr>
      </w:pPr>
    </w:p>
    <w:p>
      <w:pPr>
        <w:jc w:val="both"/>
        <w:ind w:firstLine="408"/>
        <w:spacing w:after="0" w:line="252" w:lineRule="auto"/>
        <w:tabs>
          <w:tab w:leader="none" w:pos="6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Reports and Records</w:t>
      </w:r>
      <w:r>
        <w:rPr>
          <w:rFonts w:ascii="Times New Roman" w:cs="Times New Roman" w:eastAsia="Times New Roman" w:hAnsi="Times New Roman"/>
          <w:sz w:val="18"/>
          <w:szCs w:val="18"/>
          <w:color w:val="auto"/>
        </w:rPr>
        <w:t>. (i) the Company and its Subsidiaries have filed, obtained,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in all material respects, timely, complete, accurate and not misleading on the date filed (or were corrected or supplemented by a subsequent submission); (ii) neither the Company nor its Subsidiaries have received written notice of any claim, action, suit, proceeding, hearing, enforcement, investigation, arbitration or other action from any court or arbitrator or Regulatory Authority, other governmental entity or third party alleging that any Company, Subsidiary,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neither the Company nor its Subsidiaries are a party to any corporate integrity agreements, monitoring agreements, consent decrees, settlement orders, or similar agreements with or imposed by any Regulatory Authority or other governmental entity; and (iv)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86" w:lineRule="exact"/>
        <w:rPr>
          <w:rFonts w:ascii="Times New Roman" w:cs="Times New Roman" w:eastAsia="Times New Roman" w:hAnsi="Times New Roman"/>
          <w:sz w:val="18"/>
          <w:szCs w:val="18"/>
          <w:color w:val="auto"/>
        </w:rPr>
      </w:pPr>
    </w:p>
    <w:p>
      <w:pPr>
        <w:jc w:val="both"/>
        <w:ind w:right="20" w:firstLine="408"/>
        <w:spacing w:after="0" w:line="254" w:lineRule="auto"/>
        <w:tabs>
          <w:tab w:leader="none" w:pos="6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The Company and each of its Subsidiaries have filed all federal, state, local and foreign tax returns required to be filed through the date of this Agreement or have obtained extensions thereof (except where the failure to file would not, individually or in the aggregate, reasonably be expected to have a material adverse effect) and have paid all taxes required to be paid thereon (except for cases in which the failure to file or pay would not, individually or in the aggregate, reasonably be expected to have a material adverse effect, or, except as currently being contested in good faith and for which reserves required by U.S. GAAP have been created in the financial statements of the Company), and no unpaid tax deficiency has been determined adversely to the Company or any of its Subsidiaries which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40"/>
          </w:cols>
          <w:pgMar w:left="1420" w:top="270" w:right="439" w:bottom="1440" w:gutter="0" w:footer="0" w:header="0"/>
        </w:sectPr>
      </w:pPr>
    </w:p>
    <w:bookmarkStart w:id="13" w:name="page14"/>
    <w:bookmarkEnd w:id="13"/>
    <w:p>
      <w:pPr>
        <w:jc w:val="both"/>
        <w:ind w:left="-20" w:firstLine="408"/>
        <w:spacing w:after="0" w:line="261" w:lineRule="auto"/>
        <w:tabs>
          <w:tab w:leader="none" w:pos="6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Not an “Investment Company</w:t>
      </w:r>
      <w:r>
        <w:rPr>
          <w:rFonts w:ascii="Times New Roman" w:cs="Times New Roman" w:eastAsia="Times New Roman" w:hAnsi="Times New Roman"/>
          <w:sz w:val="18"/>
          <w:szCs w:val="18"/>
          <w:color w:val="auto"/>
        </w:rPr>
        <w:t>”. The Company is not, and after giving effect to the offering and sale of the Shares and the application of the proceeds thereof as described in the each of the Registration Statement, the Time of Sale Prospectus and the Prospectus will not be, required to register as an “investment company” as such term is defined in the Investment Company Act of 1940, as amended.</w:t>
      </w:r>
    </w:p>
    <w:p>
      <w:pPr>
        <w:spacing w:after="0" w:line="72" w:lineRule="exact"/>
        <w:rPr>
          <w:sz w:val="20"/>
          <w:szCs w:val="20"/>
          <w:color w:val="auto"/>
        </w:rPr>
      </w:pPr>
    </w:p>
    <w:p>
      <w:pPr>
        <w:jc w:val="both"/>
        <w:ind w:left="-20" w:firstLine="408"/>
        <w:spacing w:after="0" w:line="255" w:lineRule="auto"/>
        <w:tabs>
          <w:tab w:leader="none" w:pos="7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Subsidiaries, taken as a whole, except as described in the Registration Statement and Prospectus.</w:t>
      </w:r>
    </w:p>
    <w:p>
      <w:pPr>
        <w:spacing w:after="0" w:line="80" w:lineRule="exact"/>
        <w:rPr>
          <w:rFonts w:ascii="Times New Roman" w:cs="Times New Roman" w:eastAsia="Times New Roman" w:hAnsi="Times New Roman"/>
          <w:sz w:val="18"/>
          <w:szCs w:val="18"/>
          <w:color w:val="auto"/>
        </w:rPr>
      </w:pPr>
    </w:p>
    <w:p>
      <w:pPr>
        <w:jc w:val="both"/>
        <w:ind w:left="-20" w:firstLine="408"/>
        <w:spacing w:after="0" w:line="253" w:lineRule="auto"/>
        <w:tabs>
          <w:tab w:leader="none" w:pos="7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(i) None of the Company or its Subsidiaries or controlled affiliates, or any director, officer, or employee of the Company nor, to the Company’s Knowledge, any agent or representative of the Company or of any of its Subsidiaries or affiliates, has taken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improperly influence official action, or to any person in violation of any applicable anti-corruption laws; (ii) the Company and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20"/>
          </w:cols>
          <w:pgMar w:left="1440" w:top="270" w:right="439" w:bottom="1440" w:gutter="0" w:footer="0" w:header="0"/>
        </w:sectPr>
      </w:pPr>
    </w:p>
    <w:bookmarkStart w:id="14" w:name="page15"/>
    <w:bookmarkEnd w:id="14"/>
    <w:p>
      <w:pPr>
        <w:jc w:val="both"/>
        <w:ind w:left="-20" w:right="20" w:firstLine="408"/>
        <w:spacing w:after="0" w:line="254" w:lineRule="auto"/>
        <w:tabs>
          <w:tab w:leader="none" w:pos="7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83" w:lineRule="exact"/>
        <w:rPr>
          <w:rFonts w:ascii="Times New Roman" w:cs="Times New Roman" w:eastAsia="Times New Roman" w:hAnsi="Times New Roman"/>
          <w:sz w:val="18"/>
          <w:szCs w:val="18"/>
          <w:color w:val="auto"/>
        </w:rPr>
      </w:pPr>
    </w:p>
    <w:p>
      <w:pPr>
        <w:jc w:val="both"/>
        <w:ind w:left="-20" w:right="20" w:firstLine="408"/>
        <w:spacing w:after="0" w:line="266" w:lineRule="auto"/>
        <w:tabs>
          <w:tab w:leader="none" w:pos="7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 (i) None of the Company, any of its Subsidiaries, or any director, officer, or employee thereof, or, to the Company’s Knowledge, any agent, controlled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jc w:val="both"/>
        <w:ind w:left="980" w:right="20" w:firstLine="360"/>
        <w:spacing w:after="0" w:line="266" w:lineRule="auto"/>
        <w:tabs>
          <w:tab w:leader="none" w:pos="163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or target of any sanctions administered or enforced by the United States Government, including, without limitation, the U.S. Department of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jc w:val="both"/>
        <w:ind w:left="980" w:firstLine="360"/>
        <w:spacing w:after="0" w:line="266" w:lineRule="auto"/>
        <w:tabs>
          <w:tab w:leader="none" w:pos="163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the so-called Donetsk People’s Republic, the so-called Luhansk People’s Republic, the Crimea Region of Ukraine, Cuba, Iran, North Korea and Syria).</w:t>
      </w:r>
    </w:p>
    <w:p>
      <w:pPr>
        <w:spacing w:after="0" w:line="67" w:lineRule="exact"/>
        <w:rPr>
          <w:rFonts w:ascii="Times New Roman" w:cs="Times New Roman" w:eastAsia="Times New Roman" w:hAnsi="Times New Roman"/>
          <w:sz w:val="18"/>
          <w:szCs w:val="18"/>
          <w:color w:val="auto"/>
        </w:rPr>
      </w:pPr>
    </w:p>
    <w:p>
      <w:pPr>
        <w:ind w:left="420" w:right="20" w:firstLine="391"/>
        <w:spacing w:after="0" w:line="282" w:lineRule="auto"/>
        <w:tabs>
          <w:tab w:leader="none" w:pos="10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jc w:val="both"/>
        <w:ind w:left="980" w:right="20" w:firstLine="360"/>
        <w:spacing w:after="0" w:line="266" w:lineRule="auto"/>
        <w:tabs>
          <w:tab w:leader="none" w:pos="163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of or business (1) with any Person or in any country or territory that, at the time of such funding or facilitation, is a designated target of Sanctions, (2) in or involving a country or territory which at the time of such funding is the subject of comprehensive country-wide or territory-wide Sanctions, other than Cuba or Iran; or</w:t>
      </w:r>
    </w:p>
    <w:p>
      <w:pPr>
        <w:spacing w:after="0" w:line="67" w:lineRule="exact"/>
        <w:rPr>
          <w:rFonts w:ascii="Times New Roman" w:cs="Times New Roman" w:eastAsia="Times New Roman" w:hAnsi="Times New Roman"/>
          <w:sz w:val="18"/>
          <w:szCs w:val="18"/>
          <w:color w:val="auto"/>
        </w:rPr>
      </w:pPr>
    </w:p>
    <w:p>
      <w:pPr>
        <w:ind w:left="980" w:right="20" w:firstLine="360"/>
        <w:spacing w:after="0" w:line="282" w:lineRule="auto"/>
        <w:tabs>
          <w:tab w:leader="none" w:pos="163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20"/>
          </w:cols>
          <w:pgMar w:left="1440" w:top="270" w:right="439" w:bottom="1440" w:gutter="0" w:footer="0" w:header="0"/>
        </w:sectPr>
      </w:pPr>
    </w:p>
    <w:bookmarkStart w:id="15" w:name="page16"/>
    <w:bookmarkEnd w:id="15"/>
    <w:p>
      <w:pPr>
        <w:jc w:val="both"/>
        <w:ind w:left="420" w:firstLine="391"/>
        <w:spacing w:after="0" w:line="266" w:lineRule="auto"/>
        <w:tabs>
          <w:tab w:leader="none" w:pos="112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represents and covenants that, regardless of Sanctions, it will not, directly or indirectly, use the proceeds of the transaction, or lend, contribute or otherwise make available such proceeds to any Subsidiary, joint venture partner or other Person, to fund any activities of or business in or involving Cuba or Iran.</w:t>
      </w:r>
    </w:p>
    <w:p>
      <w:pPr>
        <w:spacing w:after="0" w:line="67" w:lineRule="exact"/>
        <w:rPr>
          <w:rFonts w:ascii="Times New Roman" w:cs="Times New Roman" w:eastAsia="Times New Roman" w:hAnsi="Times New Roman"/>
          <w:sz w:val="18"/>
          <w:szCs w:val="18"/>
          <w:color w:val="auto"/>
        </w:rPr>
      </w:pPr>
    </w:p>
    <w:p>
      <w:pPr>
        <w:jc w:val="both"/>
        <w:ind w:left="420" w:firstLine="391"/>
        <w:spacing w:after="0" w:line="266" w:lineRule="auto"/>
        <w:tabs>
          <w:tab w:leader="none" w:pos="11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5 years, the Company and its Subsidiaries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jc w:val="both"/>
        <w:ind w:left="-20" w:right="20" w:firstLine="408"/>
        <w:spacing w:after="0" w:line="253" w:lineRule="auto"/>
        <w:tabs>
          <w:tab w:leader="none" w:pos="7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Time of Sale Prospectus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83" w:lineRule="exact"/>
        <w:rPr>
          <w:rFonts w:ascii="Times New Roman" w:cs="Times New Roman" w:eastAsia="Times New Roman" w:hAnsi="Times New Roman"/>
          <w:sz w:val="18"/>
          <w:szCs w:val="18"/>
          <w:color w:val="auto"/>
        </w:rPr>
      </w:pPr>
    </w:p>
    <w:p>
      <w:pPr>
        <w:jc w:val="both"/>
        <w:ind w:left="-20" w:firstLine="408"/>
        <w:spacing w:after="0" w:line="255" w:lineRule="auto"/>
        <w:tabs>
          <w:tab w:leader="none" w:pos="6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and such disclosure controls and procedures were effective as of the end of the Company’s most recently completed fiscal quarter.</w:t>
      </w:r>
    </w:p>
    <w:p>
      <w:pPr>
        <w:spacing w:after="0" w:line="80" w:lineRule="exact"/>
        <w:rPr>
          <w:rFonts w:ascii="Times New Roman" w:cs="Times New Roman" w:eastAsia="Times New Roman" w:hAnsi="Times New Roman"/>
          <w:sz w:val="18"/>
          <w:szCs w:val="18"/>
          <w:color w:val="auto"/>
        </w:rPr>
      </w:pPr>
    </w:p>
    <w:p>
      <w:pPr>
        <w:jc w:val="both"/>
        <w:ind w:left="-20" w:firstLine="408"/>
        <w:spacing w:after="0" w:line="261" w:lineRule="auto"/>
        <w:tabs>
          <w:tab w:leader="none" w:pos="7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20"/>
          </w:cols>
          <w:pgMar w:left="1440" w:top="270" w:right="439" w:bottom="1440" w:gutter="0" w:footer="0" w:header="0"/>
        </w:sectPr>
      </w:pPr>
    </w:p>
    <w:bookmarkStart w:id="16" w:name="page17"/>
    <w:bookmarkEnd w:id="16"/>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81" w:lineRule="exact"/>
        <w:rPr>
          <w:sz w:val="20"/>
          <w:szCs w:val="20"/>
          <w:color w:val="auto"/>
        </w:rPr>
      </w:pPr>
    </w:p>
    <w:p>
      <w:pPr>
        <w:jc w:val="both"/>
        <w:ind w:firstLine="408"/>
        <w:spacing w:after="0" w:line="252" w:lineRule="auto"/>
        <w:tabs>
          <w:tab w:leader="none" w:pos="7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would not reasonably be expected to have a material adverse effect, the Company and its Subsidiaries own or possess or have the right to use, or can acquire on commercially reasonable terms, adequate rights to use all material patents, patent rights, licenses, inventions, copyrights, know-how (including trade secrets and other unpatented and/or unpatentable proprietary or confidential information, systems or procedures), trademarks, service marks and trade names, domain names and other source indicators, and other intellectual property and similar rights, including registrations and applications for registration thereof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to the conduct of the business as described in the Registration Statement, the Time of Sale Prospectus and the Prospectus, now operated or currently contemplated to be conducted by them. Each material application or registration owned by or exclusively licensed to the Company or its Subsidiaries is being diligently prosecuted, and all other material Intellectual Property Rights owned by or exclusively licensed to the Company or its Subsidiaries is being diligently maintained. Except as described in the Registration Statement, the Time of Sale Prospectus or the Prospectus, to the Company’s Knowledge, neither the Company nor any of its Subsidiaries has infringed, misappropriated, or otherwise violated the Intellectual Property Rights of any third party in any material respect, and neither the manufacture of, nor the use or sale of, any of the Company’s or any of its Subsidiaries’ products or contemplated products would infringe or otherwise violate the Intellectual Property Rights of any third party in any material respect. Except as disclosed in the Registration Statement, the Time of Sale Prospectus or the Prospectus, and except as would not, individually or in the aggregate, have a material adverse effect on the Company or any of its Subsidiaries, (i) to the Company’s Knowledge, there are no rights of third parties to any of the Intellectual Property Rights owned or purported to be owned by the Company or its Subsidiaries except for rights explicitly granted to third parties through licenses granted by the Company, (ii) to the Company’s Knowledge, there is no material infringement, misappropriation, breach, default or other violation, or the occurrence of any event that with notice or the passage of time would constitute any of the foregoing, by any third party of any of the Intellectual Property Rights of the Company or any of its Subsidiaries, (iii) none of the Intellectual Property Rights</w:t>
      </w:r>
    </w:p>
    <w:p>
      <w:pPr>
        <w:spacing w:after="0" w:line="1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40"/>
          </w:cols>
          <w:pgMar w:left="1420" w:top="270" w:right="4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used or held for use by the Company or any of its Subsidiaries has been obtained or is being used or held for use by the Company or any of its Subsidiaries in material violation of any contractual obligation binding on the Company or any of its Subsidiaries or, to the Company’s Knowledge, in violation of any rights of any third party, (iv) the Company and its Subsidiaries have taken reasonable steps in accordance with normal industry practice to maintain the confidentiality of all Intellectual Property Rights the value of which to the Company or any Subsidiary is contingent upon maintaining the confidentiality thereof, (v) to the Company’s Knowledge, all Intellectual Property Rights owned by or exclusively licensed to the Company or any of its Subsidiaries are valid and enforceable, and (vi) there is no pending or, to the Company’s Knowledge, threatened action, suit, proceeding or claim by any third party (A) challenging the Company’s or any of its Subsidiaries’ rights in or to, or alleging the violation of any of the terms of, any of the Company’s or its Subsidiaries’ Intellectual Property Rights, (B) challenging the validity, enforceability or scope of any Intellectual Property Rights owned by or exclusively licensed to the Company or any of its Subsidiaries, or (C) alleging that the Company or any of its Subsidiaries has infringed, misappropriated or otherwise violated or conflicted with any Intellectual Property Rights of any third party, and in the case of each of clauses (A), (B) and</w:t>
      </w:r>
    </w:p>
    <w:p>
      <w:pPr>
        <w:spacing w:after="0" w:line="4" w:lineRule="exact"/>
        <w:rPr>
          <w:sz w:val="20"/>
          <w:szCs w:val="20"/>
          <w:color w:val="auto"/>
        </w:rPr>
      </w:pPr>
    </w:p>
    <w:p>
      <w:pPr>
        <w:ind w:left="300" w:hanging="293"/>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Company is unaware of any fact which would form a reasonable basis for any such action, suit, proceeding or claim.</w:t>
      </w:r>
    </w:p>
    <w:p>
      <w:pPr>
        <w:spacing w:after="0" w:line="98" w:lineRule="exact"/>
        <w:rPr>
          <w:rFonts w:ascii="Times New Roman" w:cs="Times New Roman" w:eastAsia="Times New Roman" w:hAnsi="Times New Roman"/>
          <w:sz w:val="18"/>
          <w:szCs w:val="18"/>
          <w:color w:val="auto"/>
        </w:rPr>
      </w:pPr>
    </w:p>
    <w:p>
      <w:pPr>
        <w:jc w:val="both"/>
        <w:ind w:firstLine="408"/>
        <w:spacing w:after="0" w:line="254" w:lineRule="auto"/>
        <w:tabs>
          <w:tab w:leader="none" w:pos="66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Shares that have been or may be sold under this Agreement have been approved for listing on Nasdaq, subject to official notice of issuance; the Company has taken all necessary actions to ensure that, upon and at all times after Nasdaq shall have approved the Shares for listing, it will be in compliance with all applicable corporate governance requirements set forth in Nasdaq’s listing rules that are then in effect.</w:t>
      </w:r>
    </w:p>
    <w:p>
      <w:pPr>
        <w:spacing w:after="0" w:line="80" w:lineRule="exact"/>
        <w:rPr>
          <w:rFonts w:ascii="Times New Roman" w:cs="Times New Roman" w:eastAsia="Times New Roman" w:hAnsi="Times New Roman"/>
          <w:sz w:val="18"/>
          <w:szCs w:val="18"/>
          <w:color w:val="auto"/>
        </w:rPr>
      </w:pPr>
    </w:p>
    <w:p>
      <w:pPr>
        <w:ind w:right="20" w:firstLine="408"/>
        <w:spacing w:after="0" w:line="282" w:lineRule="auto"/>
        <w:tabs>
          <w:tab w:leader="none" w:pos="67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Underwriter, there is no broker, finder or other party that is entitled to receive from the Company any brokerage or finder’s fee or other fee or commission as a result of any transactions contemplated by this Agreement.</w:t>
      </w:r>
    </w:p>
    <w:p>
      <w:pPr>
        <w:spacing w:after="0" w:line="53" w:lineRule="exact"/>
        <w:rPr>
          <w:rFonts w:ascii="Times New Roman" w:cs="Times New Roman" w:eastAsia="Times New Roman" w:hAnsi="Times New Roman"/>
          <w:sz w:val="18"/>
          <w:szCs w:val="18"/>
          <w:color w:val="auto"/>
        </w:rPr>
      </w:pPr>
    </w:p>
    <w:p>
      <w:pPr>
        <w:jc w:val="both"/>
        <w:ind w:right="20" w:firstLine="408"/>
        <w:spacing w:after="0" w:line="261" w:lineRule="auto"/>
        <w:tabs>
          <w:tab w:leader="none" w:pos="7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Indebtedness</w:t>
      </w:r>
      <w:r>
        <w:rPr>
          <w:rFonts w:ascii="Times New Roman" w:cs="Times New Roman" w:eastAsia="Times New Roman" w:hAnsi="Times New Roman"/>
          <w:sz w:val="18"/>
          <w:szCs w:val="18"/>
          <w:color w:val="auto"/>
        </w:rPr>
        <w:t>. Except as described in the Registration Statement, the Time of Sale Prospectus or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40"/>
          </w:cols>
          <w:pgMar w:left="1420" w:top="270" w:right="439" w:bottom="1440" w:gutter="0" w:footer="0" w:header="0"/>
        </w:sectPr>
      </w:pPr>
    </w:p>
    <w:bookmarkStart w:id="18" w:name="page19"/>
    <w:bookmarkEnd w:id="18"/>
    <w:p>
      <w:pPr>
        <w:ind w:left="-20" w:right="20" w:firstLine="408"/>
        <w:spacing w:after="0" w:line="282" w:lineRule="auto"/>
        <w:tabs>
          <w:tab w:leader="none" w:pos="6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Reliance</w:t>
      </w:r>
      <w:r>
        <w:rPr>
          <w:rFonts w:ascii="Times New Roman" w:cs="Times New Roman" w:eastAsia="Times New Roman" w:hAnsi="Times New Roman"/>
          <w:sz w:val="18"/>
          <w:szCs w:val="18"/>
          <w:color w:val="auto"/>
        </w:rPr>
        <w:t>. The Company has not relied upon the Underwriter or legal counsel for the Underwriter for any legal, tax or accounting advice in connection with the offering and sale of the Shares.</w:t>
      </w:r>
    </w:p>
    <w:p>
      <w:pPr>
        <w:spacing w:after="0" w:line="53" w:lineRule="exact"/>
        <w:rPr>
          <w:rFonts w:ascii="Times New Roman" w:cs="Times New Roman" w:eastAsia="Times New Roman" w:hAnsi="Times New Roman"/>
          <w:sz w:val="18"/>
          <w:szCs w:val="18"/>
          <w:color w:val="auto"/>
        </w:rPr>
      </w:pPr>
    </w:p>
    <w:p>
      <w:pPr>
        <w:jc w:val="both"/>
        <w:ind w:left="-20" w:right="20" w:firstLine="408"/>
        <w:spacing w:after="0" w:line="266" w:lineRule="auto"/>
        <w:tabs>
          <w:tab w:leader="none" w:pos="8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Exemption</w:t>
      </w:r>
      <w:r>
        <w:rPr>
          <w:rFonts w:ascii="Times New Roman" w:cs="Times New Roman" w:eastAsia="Times New Roman" w:hAnsi="Times New Roman"/>
          <w:sz w:val="18"/>
          <w:szCs w:val="18"/>
          <w:color w:val="auto"/>
        </w:rPr>
        <w:t>. As of the date hereof, the Company qualifies as an “experienced issuer” (within the meaning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5110(j)(6)) for purposes of the exemption from filing under FINRA Rule 5110(h)(1)(C).</w:t>
      </w:r>
    </w:p>
    <w:p>
      <w:pPr>
        <w:spacing w:after="0" w:line="67" w:lineRule="exact"/>
        <w:rPr>
          <w:rFonts w:ascii="Times New Roman" w:cs="Times New Roman" w:eastAsia="Times New Roman" w:hAnsi="Times New Roman"/>
          <w:sz w:val="18"/>
          <w:szCs w:val="18"/>
          <w:color w:val="auto"/>
        </w:rPr>
      </w:pPr>
    </w:p>
    <w:p>
      <w:pPr>
        <w:jc w:val="both"/>
        <w:ind w:left="-20" w:right="20" w:firstLine="408"/>
        <w:spacing w:after="0" w:line="266" w:lineRule="auto"/>
        <w:tabs>
          <w:tab w:leader="none" w:pos="7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67" w:lineRule="exact"/>
        <w:rPr>
          <w:rFonts w:ascii="Times New Roman" w:cs="Times New Roman" w:eastAsia="Times New Roman" w:hAnsi="Times New Roman"/>
          <w:sz w:val="18"/>
          <w:szCs w:val="18"/>
          <w:color w:val="auto"/>
        </w:rPr>
      </w:pPr>
    </w:p>
    <w:p>
      <w:pPr>
        <w:jc w:val="both"/>
        <w:ind w:left="-20" w:firstLine="408"/>
        <w:spacing w:after="0" w:line="253"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 Except as would not reasonably be expected to have a material adverse effect on the Company and its Subsidiaries, taken as a whole, the Company and each of its Subsidiaries have complied and are presently in compliance with all applicable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disclosure or other processing by the Company or any of its Subsidiaries of personal, personally identifiable, household, sensitive, confidential or regulated data or information (“</w:t>
      </w:r>
      <w:r>
        <w:rPr>
          <w:rFonts w:ascii="Times New Roman" w:cs="Times New Roman" w:eastAsia="Times New Roman" w:hAnsi="Times New Roman"/>
          <w:sz w:val="18"/>
          <w:szCs w:val="18"/>
          <w:b w:val="1"/>
          <w:bCs w:val="1"/>
          <w:color w:val="auto"/>
        </w:rPr>
        <w:t>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(ii) the Company and its Subsidiaries have not received any written notification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complaint alleging, any material non-compliance by the Company, any of its Subsidiaries or third parties acting on the Company’s or its Subsidiaries’ behalf with any Data Security Obligation; and (iii) there is no action, suit or proceeding by or before any court or governmental agency, authority or body pending or, to the Company’s Knowledge, threatened, alleging non-compliance by the Company, any of its Subsidiaries or third parties acting on the Company’s or its Subsidiaries’ behalf with any Data Security Obligation.</w:t>
      </w:r>
    </w:p>
    <w:p>
      <w:pPr>
        <w:spacing w:after="0" w:line="83" w:lineRule="exact"/>
        <w:rPr>
          <w:rFonts w:ascii="Times New Roman" w:cs="Times New Roman" w:eastAsia="Times New Roman" w:hAnsi="Times New Roman"/>
          <w:sz w:val="18"/>
          <w:szCs w:val="18"/>
          <w:color w:val="auto"/>
        </w:rPr>
      </w:pPr>
    </w:p>
    <w:p>
      <w:pPr>
        <w:jc w:val="both"/>
        <w:ind w:left="-20" w:right="20" w:firstLine="408"/>
        <w:spacing w:after="0" w:line="258" w:lineRule="auto"/>
        <w:tabs>
          <w:tab w:leader="none" w:pos="7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Except as would not reasonably be expected to have a material adverse effect on the Company and its Subsidiaries, taken as a whole, (i) the Company and each of its Subsidiaries’ have implemented appropriate technical and organizational measures designed to protect the information technology systems and Personal Data used in connection with the Company’s and its Subsidiaries’ businesses, including having established, maintained, implemented and complied with reasonable information technology, information security, cybersecurity and data protection controls, policies and procedures that are designed to protect against and prevent breach,</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020"/>
          </w:cols>
          <w:pgMar w:left="1440" w:top="270" w:right="439" w:bottom="1440" w:gutter="0" w:footer="0" w:header="0"/>
        </w:sectPr>
      </w:pPr>
    </w:p>
    <w:bookmarkStart w:id="19" w:name="page20"/>
    <w:bookmarkEnd w:id="1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destruction, loss, unauthorized distribution, use, access, disablement, misappropriation or modification, or other compromise or misuse of any information technology system or Personal Data in the possession or control of the Company or its Subsidiaries and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and (ii) to the Company’s Knowledge, there has been no such Breach and the Company and its Subsidiaries have not been notified in writing of any such Breach.</w:t>
      </w:r>
    </w:p>
    <w:p>
      <w:pPr>
        <w:spacing w:after="0" w:line="72" w:lineRule="exact"/>
        <w:rPr>
          <w:sz w:val="20"/>
          <w:szCs w:val="20"/>
          <w:color w:val="auto"/>
        </w:rPr>
      </w:pPr>
    </w:p>
    <w:p>
      <w:pPr>
        <w:jc w:val="both"/>
        <w:ind w:firstLine="408"/>
        <w:spacing w:after="0" w:line="253" w:lineRule="auto"/>
        <w:tabs>
          <w:tab w:leader="none" w:pos="7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 and Import Laws</w:t>
      </w:r>
      <w:r>
        <w:rPr>
          <w:rFonts w:ascii="Times New Roman" w:cs="Times New Roman" w:eastAsia="Times New Roman" w:hAnsi="Times New Roman"/>
          <w:sz w:val="18"/>
          <w:szCs w:val="18"/>
          <w:color w:val="auto"/>
        </w:rPr>
        <w:t>. Each of the Company and the Subsidiaries, and, to the Company’s Knowledge, each of their affiliates and any director, officer, agent or employee of, or other person associated with or acting on behalf of, the Company has acted at all times in compliance, in all material respects, with applicable Export and Import Laws (as defined below) and there are no material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cs="Times New Roman" w:eastAsia="Times New Roman" w:hAnsi="Times New Roman"/>
          <w:sz w:val="18"/>
          <w:szCs w:val="18"/>
          <w:b w:val="1"/>
          <w:bCs w:val="1"/>
          <w:color w:val="auto"/>
        </w:rPr>
        <w:t>Export and Import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the Arms Export Control Act, the International Traffic in Arms Regulations, the Export Administration Act of 1979,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86" w:lineRule="exact"/>
        <w:rPr>
          <w:rFonts w:ascii="Times New Roman" w:cs="Times New Roman" w:eastAsia="Times New Roman" w:hAnsi="Times New Roman"/>
          <w:sz w:val="18"/>
          <w:szCs w:val="18"/>
          <w:color w:val="auto"/>
        </w:rPr>
      </w:pPr>
    </w:p>
    <w:p>
      <w:pPr>
        <w:jc w:val="both"/>
        <w:ind w:firstLine="408"/>
        <w:spacing w:after="0" w:line="254"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 and Personal Property</w:t>
      </w:r>
      <w:r>
        <w:rPr>
          <w:rFonts w:ascii="Times New Roman" w:cs="Times New Roman" w:eastAsia="Times New Roman" w:hAnsi="Times New Roman"/>
          <w:sz w:val="18"/>
          <w:szCs w:val="18"/>
          <w:color w:val="auto"/>
        </w:rPr>
        <w:t>. Neither the Company nor its Subsidiaries own any real property. The Company and its Subsidiaries have good and marketable title to all personal property (other than intellectual property, which is addressed exclusively in Section 1(hh))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to the Knowledge of the Company,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40"/>
          </w:cols>
          <w:pgMar w:left="1420" w:top="270" w:right="439" w:bottom="1440" w:gutter="0" w:footer="0" w:header="0"/>
        </w:sectPr>
      </w:pPr>
    </w:p>
    <w:bookmarkStart w:id="20" w:name="page21"/>
    <w:bookmarkEnd w:id="20"/>
    <w:p>
      <w:pPr>
        <w:jc w:val="both"/>
        <w:ind w:firstLine="408"/>
        <w:spacing w:after="0" w:line="252" w:lineRule="auto"/>
        <w:tabs>
          <w:tab w:leader="none" w:pos="7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ERISA</w:t>
      </w:r>
      <w:r>
        <w:rPr>
          <w:rFonts w:ascii="Times New Roman" w:cs="Times New Roman" w:eastAsia="Times New Roman" w:hAnsi="Times New Roman"/>
          <w:sz w:val="18"/>
          <w:szCs w:val="18"/>
          <w:color w:val="auto"/>
        </w:rPr>
        <w:t>. (i)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for which the Company or any member of its “Controlled Group” (for the purpose of this </w:t>
      </w:r>
      <w:r>
        <w:rPr>
          <w:rFonts w:ascii="Times New Roman" w:cs="Times New Roman" w:eastAsia="Times New Roman" w:hAnsi="Times New Roman"/>
          <w:sz w:val="18"/>
          <w:szCs w:val="18"/>
          <w:u w:val="single" w:color="auto"/>
          <w:color w:val="auto"/>
        </w:rPr>
        <w:t>Section 1(ss)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 Group</w:t>
      </w:r>
      <w:r>
        <w:rPr>
          <w:rFonts w:ascii="Times New Roman" w:cs="Times New Roman" w:eastAsia="Times New Roman" w:hAnsi="Times New Roman"/>
          <w:sz w:val="18"/>
          <w:szCs w:val="18"/>
          <w:color w:val="auto"/>
        </w:rPr>
        <w:t>” is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material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w:t>
      </w:r>
    </w:p>
    <w:p>
      <w:pPr>
        <w:spacing w:after="0" w:line="2" w:lineRule="exact"/>
        <w:rPr>
          <w:rFonts w:ascii="Times New Roman" w:cs="Times New Roman" w:eastAsia="Times New Roman" w:hAnsi="Times New Roman"/>
          <w:sz w:val="18"/>
          <w:szCs w:val="18"/>
          <w:color w:val="auto"/>
        </w:rPr>
      </w:pPr>
    </w:p>
    <w:p>
      <w:pPr>
        <w:jc w:val="both"/>
        <w:ind w:firstLine="7"/>
        <w:spacing w:after="0" w:line="250" w:lineRule="auto"/>
        <w:tabs>
          <w:tab w:leader="none" w:pos="2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through (ix) hereof, as would not, individually or in the aggregate, reasonably be expected to have a material adverse effect.</w:t>
      </w:r>
    </w:p>
    <w:p>
      <w:pPr>
        <w:spacing w:after="0" w:line="98" w:lineRule="exact"/>
        <w:rPr>
          <w:rFonts w:ascii="Times New Roman" w:cs="Times New Roman" w:eastAsia="Times New Roman" w:hAnsi="Times New Roman"/>
          <w:sz w:val="18"/>
          <w:szCs w:val="18"/>
          <w:color w:val="auto"/>
        </w:rPr>
      </w:pPr>
    </w:p>
    <w:p>
      <w:pPr>
        <w:jc w:val="both"/>
        <w:ind w:right="20" w:firstLine="408"/>
        <w:spacing w:after="0" w:line="261" w:lineRule="auto"/>
        <w:tabs>
          <w:tab w:leader="none" w:pos="66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There is and has been no failure on the part of the Company or any of its Subsidiaries or, to the Company’s Knowledge, any of their officers or directors,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then applicable to the Company or any of its Subsidiaries, including Section 402 related to loans and Sections 302 and 906 related to certifications.</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40"/>
          </w:cols>
          <w:pgMar w:left="1420" w:top="270" w:right="439" w:bottom="1440" w:gutter="0" w:footer="0" w:header="0"/>
        </w:sectPr>
      </w:pPr>
    </w:p>
    <w:bookmarkStart w:id="21" w:name="page22"/>
    <w:bookmarkEnd w:id="21"/>
    <w:p>
      <w:pPr>
        <w:jc w:val="both"/>
        <w:ind w:firstLine="408"/>
        <w:spacing w:after="0" w:line="261" w:lineRule="auto"/>
        <w:tabs>
          <w:tab w:leader="none" w:pos="7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Statistical and Market Data</w:t>
      </w:r>
      <w:r>
        <w:rPr>
          <w:rFonts w:ascii="Times New Roman" w:cs="Times New Roman" w:eastAsia="Times New Roman" w:hAnsi="Times New Roman"/>
          <w:sz w:val="18"/>
          <w:szCs w:val="18"/>
          <w:color w:val="auto"/>
        </w:rPr>
        <w:t>. The statistical, industry-related and market-related data included in the Registration Statement, the Time of Sale Prospectus and the Prospectus are based on or derived from sources that the Company believes, after reasonable inquiry, to be reliable and accurate in all material respects, such data is consistent with the sources from which they are derived, and, to the extent required, the Company has obtained the written consent to the use of such data from such sources.</w:t>
      </w:r>
    </w:p>
    <w:p>
      <w:pPr>
        <w:spacing w:after="0" w:line="71" w:lineRule="exact"/>
        <w:rPr>
          <w:rFonts w:ascii="Times New Roman" w:cs="Times New Roman" w:eastAsia="Times New Roman" w:hAnsi="Times New Roman"/>
          <w:sz w:val="18"/>
          <w:szCs w:val="18"/>
          <w:color w:val="auto"/>
        </w:rPr>
      </w:pPr>
    </w:p>
    <w:p>
      <w:pPr>
        <w:jc w:val="both"/>
        <w:ind w:firstLine="408"/>
        <w:spacing w:after="0" w:line="253" w:lineRule="auto"/>
        <w:tabs>
          <w:tab w:leader="none" w:pos="7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Acquisitions or Dispositions</w:t>
      </w:r>
      <w:r>
        <w:rPr>
          <w:rFonts w:ascii="Times New Roman" w:cs="Times New Roman" w:eastAsia="Times New Roman" w:hAnsi="Times New Roman"/>
          <w:sz w:val="18"/>
          <w:szCs w:val="18"/>
          <w:color w:val="auto"/>
        </w:rPr>
        <w:t>. 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services from the Company or its Subsidiaries pursuant to equity compensation plans or agreements described in the Time of Sale Prospectus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and its Subsidiaries, taken as a whole.</w:t>
      </w:r>
    </w:p>
    <w:p>
      <w:pPr>
        <w:spacing w:after="0" w:line="83" w:lineRule="exact"/>
        <w:rPr>
          <w:rFonts w:ascii="Times New Roman" w:cs="Times New Roman" w:eastAsia="Times New Roman" w:hAnsi="Times New Roman"/>
          <w:sz w:val="18"/>
          <w:szCs w:val="18"/>
          <w:color w:val="auto"/>
        </w:rPr>
      </w:pPr>
    </w:p>
    <w:p>
      <w:pPr>
        <w:jc w:val="both"/>
        <w:ind w:right="20" w:firstLine="408"/>
        <w:spacing w:after="0" w:line="261" w:lineRule="auto"/>
        <w:tabs>
          <w:tab w:leader="none" w:pos="8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Subsidiaries, taken as a whole.</w:t>
      </w:r>
    </w:p>
    <w:p>
      <w:pPr>
        <w:spacing w:after="0" w:line="180" w:lineRule="exact"/>
        <w:rPr>
          <w:sz w:val="20"/>
          <w:szCs w:val="20"/>
          <w:color w:val="auto"/>
        </w:rPr>
      </w:pPr>
    </w:p>
    <w:p>
      <w:pPr>
        <w:jc w:val="both"/>
        <w:ind w:firstLine="401"/>
        <w:spacing w:after="0" w:line="266"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Underwriter or to counsel for the Underwriter pursuant to or in connection with this Agreement shall be deemed to be a representation and warranty by the Company to the Underwriter as to the matters set forth therein.</w:t>
      </w:r>
    </w:p>
    <w:p>
      <w:pPr>
        <w:spacing w:after="0" w:line="176" w:lineRule="exact"/>
        <w:rPr>
          <w:sz w:val="20"/>
          <w:szCs w:val="20"/>
          <w:color w:val="auto"/>
        </w:rPr>
      </w:pPr>
    </w:p>
    <w:p>
      <w:pPr>
        <w:jc w:val="both"/>
        <w:ind w:right="20" w:firstLine="401"/>
        <w:spacing w:after="0" w:line="266" w:lineRule="auto"/>
        <w:rPr>
          <w:sz w:val="20"/>
          <w:szCs w:val="20"/>
          <w:color w:val="auto"/>
        </w:rPr>
      </w:pPr>
      <w:r>
        <w:rPr>
          <w:rFonts w:ascii="Times New Roman" w:cs="Times New Roman" w:eastAsia="Times New Roman" w:hAnsi="Times New Roman"/>
          <w:sz w:val="18"/>
          <w:szCs w:val="18"/>
          <w:color w:val="auto"/>
        </w:rPr>
        <w:t xml:space="preserve">The Company acknowledges that the Underwriter and, for purposes of the opinions to be delivered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counsel to the Company and counsel to the Underwriter, will rely upon the accuracy and truthfulness of the foregoing representations and hereby consents to such reliance.</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40"/>
          </w:cols>
          <w:pgMar w:left="1420" w:top="270" w:right="439" w:bottom="1440" w:gutter="0" w:footer="0" w:header="0"/>
        </w:sectPr>
      </w:pPr>
    </w:p>
    <w:bookmarkStart w:id="22" w:name="page23"/>
    <w:bookmarkEnd w:id="22"/>
    <w:p>
      <w:pPr>
        <w:jc w:val="both"/>
        <w:ind w:right="20" w:firstLine="987"/>
        <w:spacing w:after="0" w:line="267" w:lineRule="auto"/>
        <w:tabs>
          <w:tab w:leader="none" w:pos="11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Agreements to Sell and Purchase. </w:t>
      </w:r>
      <w:r>
        <w:rPr>
          <w:rFonts w:ascii="Times New Roman" w:cs="Times New Roman" w:eastAsia="Times New Roman" w:hAnsi="Times New Roman"/>
          <w:sz w:val="18"/>
          <w:szCs w:val="18"/>
          <w:color w:val="auto"/>
        </w:rPr>
        <w:t>The Company hereby agrees to sell to the Underwriter, and the Underwriter, upon the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herein contained, but subject to the conditions hereinafter stated, agrees to purchase from the Company the number of Firm Shares set forth in Schedule I hereto opposite its name at $6.57 a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 the Additional Shares, and the Underwriter shall have the right to purchase up to 1,630,434 Additional Shares at the Purchase Price, provided, however, that the amount paid by the Underwriter for any Additional Shares shall be reduced by an amount per share equal to any dividends declared by the Company and payable on the Firm Shares but not payable on such Additional Shares. You may exercise this right on behalf of the Underwriter in whole or from time to time in part by giving written notice not later than 30 days after the date of this Agreement. Any exercise notice shall specify the number of Additional Shares to be purchased by the Underwriter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the Underwriter agrees,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 hereto opposite the name of the Underwriter bears to the total number of Firm Shares.</w:t>
      </w:r>
    </w:p>
    <w:p>
      <w:pPr>
        <w:spacing w:after="0" w:line="188" w:lineRule="exact"/>
        <w:rPr>
          <w:sz w:val="20"/>
          <w:szCs w:val="20"/>
          <w:color w:val="auto"/>
        </w:rPr>
      </w:pPr>
    </w:p>
    <w:p>
      <w:pPr>
        <w:jc w:val="both"/>
        <w:ind w:firstLine="987"/>
        <w:spacing w:after="0" w:line="267" w:lineRule="auto"/>
        <w:tabs>
          <w:tab w:leader="none" w:pos="11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Terms of Public Offering. </w:t>
      </w:r>
      <w:r>
        <w:rPr>
          <w:rFonts w:ascii="Times New Roman" w:cs="Times New Roman" w:eastAsia="Times New Roman" w:hAnsi="Times New Roman"/>
          <w:sz w:val="18"/>
          <w:szCs w:val="18"/>
          <w:color w:val="auto"/>
        </w:rPr>
        <w:t>The Company is advised by you that you propose to make a public offering of the Shares as soon after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becomes effective as in your judgment is advisable. The Company is further advised by you that the Shares are to be offered to the public on the terms set forth in the Registration Statement, Time of Sale Prospectus and the Prospectus.</w:t>
      </w:r>
    </w:p>
    <w:p>
      <w:pPr>
        <w:spacing w:after="0" w:line="173" w:lineRule="exact"/>
        <w:rPr>
          <w:rFonts w:ascii="Times New Roman" w:cs="Times New Roman" w:eastAsia="Times New Roman" w:hAnsi="Times New Roman"/>
          <w:sz w:val="18"/>
          <w:szCs w:val="18"/>
          <w:color w:val="auto"/>
        </w:rPr>
      </w:pPr>
    </w:p>
    <w:p>
      <w:pPr>
        <w:jc w:val="both"/>
        <w:ind w:firstLine="987"/>
        <w:spacing w:after="0" w:line="261" w:lineRule="auto"/>
        <w:tabs>
          <w:tab w:leader="none" w:pos="11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Firm Shares shall be made to the Company in Federal or other funds immediately available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City against delivery of such Firm Shares for the account of the Underwriter at 10:00 a.m., New York City time, on January 19, 2024, or at such other time on the same or such other date, not later than January 26, 2024, as shall be designated in writing by you.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account of the Underwriter at 10:00 a.m., New York City time, on the date specified in the corresponding notice described in Section 2 or at such other time on the same or on such other date, in any event not later than March 1, 2024, as shall be designated in writing by you.</w:t>
      </w:r>
    </w:p>
    <w:p>
      <w:pPr>
        <w:spacing w:after="0" w:line="180"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account of the Underwriter, with any transfer taxes payable in connection with the transfer of the Shares to the Underwriter duly paid, against payment of the Purchase Price therefor.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8" w:right="439" w:bottom="1440" w:gutter="0" w:footer="0" w:header="0"/>
        </w:sectPr>
      </w:pPr>
    </w:p>
    <w:bookmarkStart w:id="23" w:name="page24"/>
    <w:bookmarkEnd w:id="23"/>
    <w:p>
      <w:pPr>
        <w:ind w:left="1160" w:hanging="173"/>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the Underwriter’s Obligations</w:t>
      </w:r>
      <w:r>
        <w:rPr>
          <w:rFonts w:ascii="Times New Roman" w:cs="Times New Roman" w:eastAsia="Times New Roman" w:hAnsi="Times New Roman"/>
          <w:sz w:val="18"/>
          <w:szCs w:val="18"/>
          <w:color w:val="auto"/>
        </w:rPr>
        <w:t>. The obligations of the Underwriter are subject to the following conditions:</w:t>
      </w:r>
    </w:p>
    <w:p>
      <w:pPr>
        <w:spacing w:after="0" w:line="119"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01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53" w:lineRule="exact"/>
        <w:rPr>
          <w:rFonts w:ascii="Times New Roman" w:cs="Times New Roman" w:eastAsia="Times New Roman" w:hAnsi="Times New Roman"/>
          <w:sz w:val="18"/>
          <w:szCs w:val="18"/>
          <w:color w:val="auto"/>
        </w:rPr>
      </w:pPr>
    </w:p>
    <w:p>
      <w:pPr>
        <w:jc w:val="both"/>
        <w:ind w:left="1420" w:firstLine="391"/>
        <w:spacing w:after="0" w:line="261" w:lineRule="auto"/>
        <w:tabs>
          <w:tab w:leader="none" w:pos="211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71" w:lineRule="exact"/>
        <w:rPr>
          <w:rFonts w:ascii="Times New Roman" w:cs="Times New Roman" w:eastAsia="Times New Roman" w:hAnsi="Times New Roman"/>
          <w:sz w:val="18"/>
          <w:szCs w:val="18"/>
          <w:color w:val="auto"/>
        </w:rPr>
      </w:pPr>
    </w:p>
    <w:p>
      <w:pPr>
        <w:jc w:val="both"/>
        <w:ind w:left="1420" w:right="20" w:firstLine="391"/>
        <w:spacing w:after="0" w:line="261" w:lineRule="auto"/>
        <w:tabs>
          <w:tab w:leader="none" w:pos="211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71"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6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jc w:val="both"/>
        <w:ind w:left="980" w:firstLine="408"/>
        <w:spacing w:after="0" w:line="261" w:lineRule="auto"/>
        <w:tabs>
          <w:tab w:leader="none" w:pos="16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a certificate, dated the date hereof, of the principal financial officer of the Company in form and substance reasonably satisfactory to the Underwriter. On the Closing Date, the Underwriter shall have received from the principal financial officer of the Company a certificate, dated as of the Closing Date, to the effect that he or she reaffirms the statements made in the certificate furnished pursuant to Section 5(c) hereof.</w:t>
      </w:r>
    </w:p>
    <w:p>
      <w:pPr>
        <w:spacing w:after="0" w:line="71" w:lineRule="exact"/>
        <w:rPr>
          <w:rFonts w:ascii="Times New Roman" w:cs="Times New Roman" w:eastAsia="Times New Roman" w:hAnsi="Times New Roman"/>
          <w:sz w:val="18"/>
          <w:szCs w:val="18"/>
          <w:color w:val="auto"/>
        </w:rPr>
      </w:pPr>
    </w:p>
    <w:p>
      <w:pPr>
        <w:jc w:val="both"/>
        <w:ind w:left="980" w:firstLine="408"/>
        <w:spacing w:after="0" w:line="266" w:lineRule="auto"/>
        <w:tabs>
          <w:tab w:leader="none" w:pos="1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the Closing Date (i) an opinion and (ii) a negative assurance letter of Wilson Sonsini Goodrich &amp; Rosati, Professional Corporation (“</w:t>
      </w:r>
      <w:r>
        <w:rPr>
          <w:rFonts w:ascii="Times New Roman" w:cs="Times New Roman" w:eastAsia="Times New Roman" w:hAnsi="Times New Roman"/>
          <w:sz w:val="18"/>
          <w:szCs w:val="18"/>
          <w:b w:val="1"/>
          <w:bCs w:val="1"/>
          <w:color w:val="auto"/>
        </w:rPr>
        <w:t>WSGR</w:t>
      </w:r>
      <w:r>
        <w:rPr>
          <w:rFonts w:ascii="Times New Roman" w:cs="Times New Roman" w:eastAsia="Times New Roman" w:hAnsi="Times New Roman"/>
          <w:sz w:val="18"/>
          <w:szCs w:val="18"/>
          <w:color w:val="auto"/>
        </w:rPr>
        <w:t>”), outside counsel for the Company, dated the Closing Date, in form and substance reasonably satisfactory to the Underwriter.</w:t>
      </w:r>
    </w:p>
    <w:p>
      <w:pPr>
        <w:spacing w:after="0" w:line="6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the Closing Date an opinion of Morrison &amp; Foerster LLP, outside intellectual property counsel for the Company, dated the Closing Date, in form and substance reasonably satisfactory to the Underwriter.</w:t>
      </w:r>
    </w:p>
    <w:p>
      <w:pPr>
        <w:spacing w:after="0" w:line="53" w:lineRule="exact"/>
        <w:rPr>
          <w:rFonts w:ascii="Times New Roman" w:cs="Times New Roman" w:eastAsia="Times New Roman" w:hAnsi="Times New Roman"/>
          <w:sz w:val="18"/>
          <w:szCs w:val="18"/>
          <w:color w:val="auto"/>
        </w:rPr>
      </w:pPr>
    </w:p>
    <w:p>
      <w:pPr>
        <w:jc w:val="both"/>
        <w:ind w:left="980" w:firstLine="408"/>
        <w:spacing w:after="0" w:line="282" w:lineRule="auto"/>
        <w:tabs>
          <w:tab w:leader="none" w:pos="16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the Closing Date (i) an opinion and (ii) a negative assurance letter of Davis Polk &amp; Wardwell LLP (“</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counsel for the Underwriter, dated the Closing Date, in form and substance satisfactory to the Underwriter.</w:t>
      </w:r>
    </w:p>
    <w:p>
      <w:pPr>
        <w:spacing w:after="0" w:line="162" w:lineRule="exact"/>
        <w:rPr>
          <w:sz w:val="20"/>
          <w:szCs w:val="20"/>
          <w:color w:val="auto"/>
        </w:rPr>
      </w:pPr>
    </w:p>
    <w:p>
      <w:pPr>
        <w:jc w:val="both"/>
        <w:ind w:right="20" w:firstLine="991"/>
        <w:spacing w:after="0" w:line="289" w:lineRule="auto"/>
        <w:rPr>
          <w:sz w:val="20"/>
          <w:szCs w:val="20"/>
          <w:color w:val="auto"/>
        </w:rPr>
      </w:pPr>
      <w:r>
        <w:rPr>
          <w:rFonts w:ascii="Times New Roman" w:cs="Times New Roman" w:eastAsia="Times New Roman" w:hAnsi="Times New Roman"/>
          <w:sz w:val="17"/>
          <w:szCs w:val="17"/>
          <w:color w:val="auto"/>
        </w:rPr>
        <w:t>With respect to Section 5(d) above, WSGR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With respect to Section 5(f) above, Davis Polk may state that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8" w:right="439" w:bottom="1440" w:gutter="0" w:footer="0" w:header="0"/>
        </w:sectPr>
      </w:pPr>
    </w:p>
    <w:bookmarkStart w:id="24" w:name="page25"/>
    <w:bookmarkEnd w:id="2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their opinions and beliefs are based upon their participation in the preparation of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The opinion and negative assurance letter of WSGR described in Section 5(d) and the opinion of Morrison &amp; Foerster LLP described in Section 5(e) above shall be rendered to the Underwriter at the request of the Company and shall so state therein.</w:t>
      </w:r>
    </w:p>
    <w:p>
      <w:pPr>
        <w:spacing w:after="0" w:line="54" w:lineRule="exact"/>
        <w:rPr>
          <w:sz w:val="20"/>
          <w:szCs w:val="20"/>
          <w:color w:val="auto"/>
        </w:rPr>
      </w:pPr>
    </w:p>
    <w:p>
      <w:pPr>
        <w:jc w:val="both"/>
        <w:ind w:left="980" w:firstLine="408"/>
        <w:spacing w:after="0" w:line="258" w:lineRule="auto"/>
        <w:tabs>
          <w:tab w:leader="none" w:pos="16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 shall have received, on each of the date hereof and the Closing Date, a letter dated the date hereof or the Closing Date, as the case may be, in form and substance satisfactory to the Underwriter,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jc w:val="both"/>
        <w:ind w:left="980" w:firstLine="408"/>
        <w:spacing w:after="0" w:line="266" w:lineRule="auto"/>
        <w:tabs>
          <w:tab w:leader="none" w:pos="1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you and certain shareholders,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6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Underwriter to purchase Additional Shares hereunder are subject to the delivery to you on the applicable Option Closing Date of the following:</w:t>
      </w:r>
    </w:p>
    <w:p>
      <w:pPr>
        <w:spacing w:after="0" w:line="53"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0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53" w:lineRule="exact"/>
        <w:rPr>
          <w:rFonts w:ascii="Times New Roman" w:cs="Times New Roman" w:eastAsia="Times New Roman" w:hAnsi="Times New Roman"/>
          <w:sz w:val="18"/>
          <w:szCs w:val="18"/>
          <w:color w:val="auto"/>
        </w:rPr>
      </w:pPr>
    </w:p>
    <w:p>
      <w:pPr>
        <w:jc w:val="both"/>
        <w:ind w:left="1420" w:firstLine="391"/>
        <w:spacing w:after="0" w:line="266" w:lineRule="auto"/>
        <w:tabs>
          <w:tab w:leader="none" w:pos="20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WSGR, outside counsel for the Company, dated the Option Closing Date, relating to the Additional Shares to be purchased on such Option Closing Date and otherwise to the same effect as the opinion and negative assurance letter required by Section 5(d) hereof;</w:t>
      </w:r>
    </w:p>
    <w:p>
      <w:pPr>
        <w:spacing w:after="0" w:line="67"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12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Morrison &amp; Foerster LLP, outside intellectual property counsel for the Company, dated the Option Closing Date, to the same effect as the opinion required by Section 5(e) hereof;</w:t>
      </w:r>
    </w:p>
    <w:p>
      <w:pPr>
        <w:spacing w:after="0" w:line="53" w:lineRule="exact"/>
        <w:rPr>
          <w:rFonts w:ascii="Times New Roman" w:cs="Times New Roman" w:eastAsia="Times New Roman" w:hAnsi="Times New Roman"/>
          <w:sz w:val="18"/>
          <w:szCs w:val="18"/>
          <w:color w:val="auto"/>
        </w:rPr>
      </w:pPr>
    </w:p>
    <w:p>
      <w:pPr>
        <w:jc w:val="both"/>
        <w:ind w:left="1420" w:right="20" w:firstLine="391"/>
        <w:spacing w:after="0" w:line="266" w:lineRule="auto"/>
        <w:tabs>
          <w:tab w:leader="none" w:pos="2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Davis Polk, counsel for the Underwriter, dated the Option Closing Date, relating to the Additional Shares to be purchased on such Option Closing Date and otherwise to the same effect as the opinion and negative assurance letter required by Section 5(f)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5" w:name="page26"/>
    <w:bookmarkEnd w:id="25"/>
    <w:p>
      <w:pPr>
        <w:jc w:val="both"/>
        <w:ind w:left="984" w:right="20" w:firstLine="391"/>
        <w:spacing w:after="0" w:line="261" w:lineRule="auto"/>
        <w:tabs>
          <w:tab w:leader="none" w:pos="1639"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letter dated the Option Closing Date, in form and substance satisfactory to the Underwriter, from Ernst &amp; Young LLP, independent public accountants, substantially in the same form and substance as the letter furnished to the Underwriter pursuant to Section 5(g)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 and</w:t>
      </w:r>
    </w:p>
    <w:p>
      <w:pPr>
        <w:spacing w:after="0" w:line="71" w:lineRule="exact"/>
        <w:rPr>
          <w:rFonts w:ascii="Times New Roman" w:cs="Times New Roman" w:eastAsia="Times New Roman" w:hAnsi="Times New Roman"/>
          <w:sz w:val="18"/>
          <w:szCs w:val="18"/>
          <w:color w:val="auto"/>
        </w:rPr>
      </w:pPr>
    </w:p>
    <w:p>
      <w:pPr>
        <w:jc w:val="both"/>
        <w:ind w:left="984" w:firstLine="391"/>
        <w:spacing w:after="0" w:line="266" w:lineRule="auto"/>
        <w:tabs>
          <w:tab w:leader="none" w:pos="1716"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you may reasonably request with respect to the good standing of the Company, the due authorization and issuance of the Additional Shares to be sold on such Option Closing Date and other matters related to the issuance of such Additional Shares.</w:t>
      </w:r>
    </w:p>
    <w:p>
      <w:pPr>
        <w:spacing w:after="0" w:line="17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the Underwriter as follows:</w:t>
      </w:r>
    </w:p>
    <w:p>
      <w:pPr>
        <w:spacing w:after="0" w:line="119" w:lineRule="exact"/>
        <w:rPr>
          <w:rFonts w:ascii="Times New Roman" w:cs="Times New Roman" w:eastAsia="Times New Roman" w:hAnsi="Times New Roman"/>
          <w:sz w:val="18"/>
          <w:szCs w:val="18"/>
          <w:color w:val="auto"/>
        </w:rPr>
      </w:pPr>
    </w:p>
    <w:p>
      <w:pPr>
        <w:jc w:val="both"/>
        <w:ind w:left="544" w:right="20" w:firstLine="408"/>
        <w:spacing w:after="0" w:line="258" w:lineRule="auto"/>
        <w:tabs>
          <w:tab w:leader="none" w:pos="122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you in New York City, without charge, prior to 10:00 a.m. New York City time on the second business day succeeding the date of this Agreement and during the period when a prospectus relating to the Shares is required by the Securities Act to be delivered (whether physically or through compliance with Rule 172 under the Securities Act or any similar rule) in connection with sales of the Shares, as many copies of the Time of Sale Prospectus, the Prospectus, any documents incorporated by reference therein and any supplements and amendments thereto or to the Registration Statement as you may reasonably request.</w:t>
      </w:r>
    </w:p>
    <w:p>
      <w:pPr>
        <w:spacing w:after="0" w:line="75" w:lineRule="exact"/>
        <w:rPr>
          <w:rFonts w:ascii="Times New Roman" w:cs="Times New Roman" w:eastAsia="Times New Roman" w:hAnsi="Times New Roman"/>
          <w:sz w:val="18"/>
          <w:szCs w:val="18"/>
          <w:color w:val="auto"/>
        </w:rPr>
      </w:pPr>
    </w:p>
    <w:p>
      <w:pPr>
        <w:jc w:val="both"/>
        <w:ind w:left="544" w:right="20" w:firstLine="408"/>
        <w:spacing w:after="0" w:line="261" w:lineRule="auto"/>
        <w:tabs>
          <w:tab w:leader="none" w:pos="120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left="544" w:right="20" w:firstLine="408"/>
        <w:spacing w:after="0" w:line="282" w:lineRule="auto"/>
        <w:tabs>
          <w:tab w:leader="none" w:pos="11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53" w:lineRule="exact"/>
        <w:rPr>
          <w:rFonts w:ascii="Times New Roman" w:cs="Times New Roman" w:eastAsia="Times New Roman" w:hAnsi="Times New Roman"/>
          <w:sz w:val="18"/>
          <w:szCs w:val="18"/>
          <w:color w:val="auto"/>
        </w:rPr>
      </w:pPr>
    </w:p>
    <w:p>
      <w:pPr>
        <w:jc w:val="both"/>
        <w:ind w:left="544" w:right="20" w:firstLine="408"/>
        <w:spacing w:after="0" w:line="266" w:lineRule="auto"/>
        <w:tabs>
          <w:tab w:leader="none" w:pos="12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the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0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4"/>
          </w:cols>
          <w:pgMar w:left="876" w:top="270" w:right="439" w:bottom="1440" w:gutter="0" w:footer="0" w:header="0"/>
        </w:sectPr>
      </w:pPr>
    </w:p>
    <w:bookmarkStart w:id="26" w:name="page27"/>
    <w:bookmarkEnd w:id="26"/>
    <w:p>
      <w:pPr>
        <w:jc w:val="both"/>
        <w:ind w:left="-20" w:firstLine="408"/>
        <w:spacing w:after="0" w:line="253" w:lineRule="auto"/>
        <w:tabs>
          <w:tab w:leader="none" w:pos="6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reasonable opinion of counsel for the Underwriter, it is necessary to amend or supplement the Time of Sale Prospectus to comply with applicable law, forthwith to prepare, file with the Commission and furnish, at its own expense, to the Underwriter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jc w:val="both"/>
        <w:ind w:left="-20" w:firstLine="408"/>
        <w:spacing w:after="0" w:line="253" w:lineRule="auto"/>
        <w:tabs>
          <w:tab w:leader="none" w:pos="6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reasonable opinion of counsel for the Underwriter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 it is necessary to amend or supplement the Prospectus to comply with applicable law, forthwith to prepare, file with the Commission and furnish, at its own expense, to the Underwriter and to the dealers (whose names and addresses you will furnish to the Company) to which Shares may have been sold by you on behalf of the Underwriter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jc w:val="both"/>
        <w:ind w:left="-20" w:firstLine="408"/>
        <w:spacing w:after="0" w:line="261" w:lineRule="auto"/>
        <w:tabs>
          <w:tab w:leader="none" w:pos="6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Shares for offer and sale under the securities or Blue Sky laws of such jurisdictions as you shall reasonably request; provided, however, that nothing contained herein shall require the Company to qualify to do business in any jurisdiction, execute a general consent to service of process in any jurisdiction or to subject itself to taxation in any jurisdiction in which it is not otherwise subject.</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20"/>
          </w:cols>
          <w:pgMar w:left="1440" w:top="270" w:right="439" w:bottom="1440" w:gutter="0" w:footer="0" w:header="0"/>
        </w:sectPr>
      </w:pPr>
    </w:p>
    <w:bookmarkStart w:id="27" w:name="page28"/>
    <w:bookmarkEnd w:id="27"/>
    <w:p>
      <w:pPr>
        <w:jc w:val="both"/>
        <w:ind w:left="-7" w:right="20" w:firstLine="408"/>
        <w:spacing w:after="0" w:line="266" w:lineRule="auto"/>
        <w:tabs>
          <w:tab w:leader="none" w:pos="6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67" w:lineRule="exact"/>
        <w:rPr>
          <w:rFonts w:ascii="Times New Roman" w:cs="Times New Roman" w:eastAsia="Times New Roman" w:hAnsi="Times New Roman"/>
          <w:sz w:val="18"/>
          <w:szCs w:val="18"/>
          <w:color w:val="auto"/>
        </w:rPr>
      </w:pPr>
    </w:p>
    <w:p>
      <w:pPr>
        <w:jc w:val="both"/>
        <w:ind w:left="-7" w:right="20" w:firstLine="408"/>
        <w:spacing w:after="0" w:line="253" w:lineRule="auto"/>
        <w:tabs>
          <w:tab w:leader="none" w:pos="6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 and dealers, in the quantities hereinabove specified, (ii) all costs and expenses related to the transfer and delivery of the Shares to the Underwriter, including any transfer or other taxes payable thereon,</w:t>
      </w:r>
    </w:p>
    <w:p>
      <w:pPr>
        <w:jc w:val="both"/>
        <w:ind w:left="-7" w:firstLine="7"/>
        <w:spacing w:after="0" w:line="251" w:lineRule="auto"/>
        <w:tabs>
          <w:tab w:leader="none" w:pos="3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 in connection with such qualification and in connection with the Blue Sky or Legal Investment memorandum, provided, that the amount of such fees and disbursements of counsel to be paid by the Company shall not exceed $2,500 in the aggregate, (iv) all filing fees and the reasonable fees and disbursements of counsel to the Underwriter incurred in connection with the review and qualification of the offering of the Shares by the Financial Industry Regulatory Authority, provided, that the amount of such fees and disbursements of counsel to be paid by the Company shall not exceed $10,000 in the aggregate, (v) all costs and expenses incident to listing the Shares on the Nasdaq Global Select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6, Section 8 entitled “Indemnity and Contribution” and the last paragraph of Section 10 below, the Underwriter will pay all of their costs and expenses, including fees and disbursements of their counsel, stock transfer taxes payable on resale of any of the Shares by them and any advertising expenses connected with any offers they may make.</w:t>
      </w:r>
    </w:p>
    <w:p>
      <w:pPr>
        <w:spacing w:after="0" w:line="121"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33"/>
          </w:cols>
          <w:pgMar w:left="1427" w:top="270" w:right="439" w:bottom="1440" w:gutter="0" w:footer="0" w:header="0"/>
        </w:sectPr>
      </w:pPr>
    </w:p>
    <w:bookmarkStart w:id="28" w:name="page29"/>
    <w:bookmarkEnd w:id="28"/>
    <w:p>
      <w:pPr>
        <w:jc w:val="both"/>
        <w:ind w:left="-20" w:right="20" w:firstLine="408"/>
        <w:spacing w:after="0" w:line="256" w:lineRule="auto"/>
        <w:tabs>
          <w:tab w:leader="none" w:pos="6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 and will promptly amend or supplement, at its own expense, such Testing-the-Waters Communication to eliminate or correct such untrue statement or omission.</w:t>
      </w:r>
    </w:p>
    <w:p>
      <w:pPr>
        <w:spacing w:after="0" w:line="79"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w:t>
      </w:r>
    </w:p>
    <w:p>
      <w:pPr>
        <w:spacing w:after="0" w:line="117" w:lineRule="exact"/>
        <w:rPr>
          <w:sz w:val="20"/>
          <w:szCs w:val="20"/>
          <w:color w:val="auto"/>
        </w:rPr>
      </w:pPr>
    </w:p>
    <w:p>
      <w:pPr>
        <w:jc w:val="both"/>
        <w:ind w:left="420" w:firstLine="391"/>
        <w:spacing w:after="0" w:line="254" w:lineRule="auto"/>
        <w:tabs>
          <w:tab w:leader="none" w:pos="10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without the prior written consent of Cantor Fitzgerald &amp; Co., during the period ending on and including the 90th day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(A)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(B) enter into any swap or other arrangement that transfers to another, in whole or in part, any of the economic consequences of ownership of the Common Stock, whether any such transaction described in clause (A) or (B) above is to be settled by delivery of Common Stock or such other securities, in cash or otherwise or (C) file any registration statement with the Commission relating to the offering of any shares of Common Stock or any securities convertible into or exercisable or exchangeable for Common Stock.</w:t>
      </w:r>
    </w:p>
    <w:p>
      <w:pPr>
        <w:spacing w:after="0" w:line="80" w:lineRule="exact"/>
        <w:rPr>
          <w:rFonts w:ascii="Times New Roman" w:cs="Times New Roman" w:eastAsia="Times New Roman" w:hAnsi="Times New Roman"/>
          <w:sz w:val="18"/>
          <w:szCs w:val="18"/>
          <w:color w:val="auto"/>
        </w:rPr>
      </w:pPr>
    </w:p>
    <w:p>
      <w:pPr>
        <w:jc w:val="both"/>
        <w:ind w:left="420" w:firstLine="391"/>
        <w:spacing w:after="0" w:line="253" w:lineRule="auto"/>
        <w:tabs>
          <w:tab w:leader="none" w:pos="10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contained in the preceding paragraph shall not apply to (A) the Shares to be sold hereunder, (B) the issuance by the Company of shares of Common Stock upon the exercise (including any net exercise) of an option or warrant or the conversion of a security outstanding on the date hereof and described in the Time of Sale Prospectus, (C) the issuance by the Company of options, restricted stock units or restricted stock awards (including the Common Stock issued upon the settlement or exercise thereof) to employees, officers, directors, advisors, or consultants of the Company pursuant to employee benefit plans (including equity incentive plans) described in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issuance of any such options, restricted stock units or restricted stock awards, the Company shall cause each recipient of such securities who is a director or executive officer of the Company to execute and deliver a lock-up agreement substantially in the form of Exhibit A hereto, (D) the filing by the Company of registration statements on Form S-8 with respect to employee benefit plans (including any employee benefit plans assumed pursuant to clause (F)), (E) the establishment of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such plan does not provide for the transfer of Common Stock during the Restricted Period and (2) to the extent a public announcement or filing under the Exchange Act, if any, is required</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020"/>
          </w:cols>
          <w:pgMar w:left="1440" w:top="270" w:right="439" w:bottom="1440" w:gutter="0" w:footer="0" w:header="0"/>
        </w:sectPr>
      </w:pPr>
    </w:p>
    <w:bookmarkStart w:id="29" w:name="page30"/>
    <w:bookmarkEnd w:id="29"/>
    <w:p>
      <w:pPr>
        <w:jc w:val="both"/>
        <w:ind w:left="1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or voluntarily made by the Company regarding the establishment of such plan, such announcement or filing shall include a statement to the effect that no transfer of Common Stock may be made under such plan during the Restricted Period, (F) the issuance by the Company of shares of Common Stock or securities convertible into, exchangeable for, or that represent the right to receive Common Stock in connection with (1) the acquisition by the Company or any of its Subsidiaries of the securities, business, technology, property or other assets of another person or entity or pursuant to an employee benefit plan assumed by the Company in connection with such acquisition, (2) the Company’s joint ventures, equipment leasing arrangements, licensing transactions, collaborations, debt financings and other strategic transactions or (G) a “sell-to-cover” transaction in connection with the vesting and settlement of restricted stock units pursuant to employee benefit plans (including equity incentive plans) described in the Time of Sale Prospectus and the Prospectus, to satisfy applicable tax withholding obligations; provided that the aggregate number of shares of Common Stock that the Company may sell or issue or agree to sell or issue pursuant to clause (F) shall not exceed 5% of the total number of shares of Common Stock outstanding immediately following the completion of the transaction contemplated by this Agreement (including the Additional Shares, if and to the extent any Additional Shares are issued) and the Company shall cause each recipient of such securities to execute and deliver to Cantor Fitzgerald &amp; Co., on or prior to the issuance of such securities, a lock-up agreement substantially in the form of Exhibit A hereto.</w:t>
      </w:r>
    </w:p>
    <w:p>
      <w:pPr>
        <w:spacing w:after="0" w:line="195" w:lineRule="exact"/>
        <w:rPr>
          <w:sz w:val="20"/>
          <w:szCs w:val="20"/>
          <w:color w:val="auto"/>
        </w:rPr>
      </w:pPr>
    </w:p>
    <w:p>
      <w:pPr>
        <w:jc w:val="both"/>
        <w:ind w:right="20" w:firstLine="436"/>
        <w:spacing w:after="0" w:line="267" w:lineRule="auto"/>
        <w:tabs>
          <w:tab w:leader="none" w:pos="6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w:t>
      </w:r>
      <w:r>
        <w:rPr>
          <w:rFonts w:ascii="Times New Roman" w:cs="Times New Roman" w:eastAsia="Times New Roman" w:hAnsi="Times New Roman"/>
          <w:sz w:val="18"/>
          <w:szCs w:val="18"/>
          <w:color w:val="auto"/>
        </w:rPr>
        <w:t>. The Underwriter covenants with the Company not to take any action that would result in the Company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file with the Commission under Rule 433(d) a free writing prospectus prepared by or on behalf of the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jc w:val="both"/>
        <w:ind w:firstLine="436"/>
        <w:spacing w:after="0" w:line="253" w:lineRule="auto"/>
        <w:tabs>
          <w:tab w:leader="none" w:pos="6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The Company agrees to indemnify and hold harmless the Underwriter, directors, officers,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of the Underwriter, each person, if any, who controls the Underwriter within the meaning of either Section 15 of the Securities Act or Section 20 of the Exchange Act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the Underwriter furnished to the Company in writing by the Underwriter expressly for use therein.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0" w:name="page31"/>
    <w:bookmarkEnd w:id="30"/>
    <w:p>
      <w:pPr>
        <w:jc w:val="both"/>
        <w:ind w:left="-20" w:firstLine="408"/>
        <w:spacing w:after="0" w:line="254" w:lineRule="auto"/>
        <w:tabs>
          <w:tab w:leader="none" w:pos="6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the Underwriter, but only with reference to information relating to the Underwriter furnished to the Company in writing by the Underwriter expressly for use in the Registration Statement, any preliminary prospectus, the Time of Sale Prospectus, any issuer free writing prospectus, road show, the Prospectus or any amendment or supplement thereto, or any Testing the Waters Communication, it being understood and agreed that the only information furnished by the Underwriter consists of the following information in the Prospectus furnished by the Underwriter: (i) the statements set forth in first sentence in the third paragraph under the caption “Underwriting” and (ii) the statement set forth in the first sentence under the caption “Underwriting—Price Stabilization; Short Position and Other Transactions” in the preliminary prospectus and the Prospectus.</w:t>
      </w:r>
    </w:p>
    <w:p>
      <w:pPr>
        <w:spacing w:after="0" w:line="80" w:lineRule="exact"/>
        <w:rPr>
          <w:rFonts w:ascii="Times New Roman" w:cs="Times New Roman" w:eastAsia="Times New Roman" w:hAnsi="Times New Roman"/>
          <w:sz w:val="18"/>
          <w:szCs w:val="18"/>
          <w:color w:val="auto"/>
        </w:rPr>
      </w:pPr>
    </w:p>
    <w:p>
      <w:pPr>
        <w:jc w:val="both"/>
        <w:ind w:left="-20" w:firstLine="408"/>
        <w:spacing w:after="0" w:line="25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and agreed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Underwriter,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020"/>
          </w:cols>
          <w:pgMar w:left="1440" w:top="270" w:right="4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counsel as contemplated by the second and third sentences of this paragraph, the indemnifying party agrees that it shall be liable for any settlement of any proceeding effected without its written consent if (A) such settlement is entered into more than 30 days after receipt by such indemnifying party of the aforesaid request and (B)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81" w:lineRule="exact"/>
        <w:rPr>
          <w:sz w:val="20"/>
          <w:szCs w:val="20"/>
          <w:color w:val="auto"/>
        </w:rPr>
      </w:pPr>
    </w:p>
    <w:p>
      <w:pPr>
        <w:jc w:val="both"/>
        <w:ind w:firstLine="408"/>
        <w:spacing w:after="0" w:line="252" w:lineRule="auto"/>
        <w:tabs>
          <w:tab w:leader="none" w:pos="6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 on the other hand in connection with the statements or omissions that resulted in such losses, claims, damages or liabilities, as well as any other relevant equitable considerations. The relative benefits received by the Company on the one hand and the Underwriter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 in each case as set forth in the table on the cover of the Prospectus, bear to the aggregate Public Offering Price of the Shares. The relative fault of the Company on the one hand and the Underwriter on the other hand shall be determined by reference to, among other things, whether the untrue or alleged untrue statement of a material fact or the omission or alleged omission to state a material fact relates to information supplied by the Company or by the Underwriter and the parties’ relative intent, knowledge, access to information and opportunity to correct or prevent such statement or omission.</w:t>
      </w:r>
    </w:p>
    <w:p>
      <w:pPr>
        <w:spacing w:after="0" w:line="86" w:lineRule="exact"/>
        <w:rPr>
          <w:rFonts w:ascii="Times New Roman" w:cs="Times New Roman" w:eastAsia="Times New Roman" w:hAnsi="Times New Roman"/>
          <w:sz w:val="18"/>
          <w:szCs w:val="18"/>
          <w:color w:val="auto"/>
        </w:rPr>
      </w:pPr>
    </w:p>
    <w:p>
      <w:pPr>
        <w:jc w:val="both"/>
        <w:ind w:firstLine="408"/>
        <w:spacing w:after="0" w:line="266" w:lineRule="auto"/>
        <w:tabs>
          <w:tab w:leader="none" w:pos="6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Underwriter agree that it would not be just or equitable if contribution pursuant to this Section 8 were determined by any method of allocation that does not take account of the equitable considerations referred to in Section 8(d). The amount paid or payable by an indemnified party as a result of the losses, claims, damages and liabilities referred to in Section 8(d) shall be deemed</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040"/>
          </w:cols>
          <w:pgMar w:left="1420" w:top="270" w:right="439" w:bottom="1440" w:gutter="0" w:footer="0" w:header="0"/>
        </w:sectPr>
      </w:pPr>
    </w:p>
    <w:bookmarkStart w:id="32" w:name="page33"/>
    <w:bookmarkEnd w:id="32"/>
    <w:p>
      <w:pPr>
        <w:jc w:val="both"/>
        <w:ind w:left="98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include, subject to the limitations set forth above, any legal or other expenses reasonably incurred by such indemnified party in connection with investigating or defending any such action or claim. Notwithstanding the provisions of this Section 8, the Underwriter shall be required to contribute any amount in excess of the amount by which the total price at which the Shares underwritten by it and distributed to the public were offered to the public exceeds the amount of 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4" w:lineRule="exact"/>
        <w:rPr>
          <w:sz w:val="20"/>
          <w:szCs w:val="20"/>
          <w:color w:val="auto"/>
        </w:rPr>
      </w:pPr>
    </w:p>
    <w:p>
      <w:pPr>
        <w:jc w:val="both"/>
        <w:ind w:left="984" w:right="20" w:firstLine="408"/>
        <w:spacing w:after="0" w:line="258" w:lineRule="auto"/>
        <w:tabs>
          <w:tab w:leader="none" w:pos="1615"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the Underwriter, the directors, officers, employees and agents of the Underwriter, any person controlling the Underwriter or any affiliate of the Underwriter or by or on behalf of the Company, its officers or directors or any person controlling the Company and (iii) acceptance of and payment for any of the Shares.</w:t>
      </w:r>
    </w:p>
    <w:p>
      <w:pPr>
        <w:spacing w:after="0" w:line="181" w:lineRule="exact"/>
        <w:rPr>
          <w:rFonts w:ascii="Times New Roman" w:cs="Times New Roman" w:eastAsia="Times New Roman" w:hAnsi="Times New Roman"/>
          <w:sz w:val="18"/>
          <w:szCs w:val="18"/>
          <w:color w:val="auto"/>
        </w:rPr>
      </w:pPr>
    </w:p>
    <w:p>
      <w:pPr>
        <w:jc w:val="both"/>
        <w:ind w:left="4" w:firstLine="436"/>
        <w:spacing w:after="0" w:line="256" w:lineRule="auto"/>
        <w:tabs>
          <w:tab w:leader="none" w:pos="65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 may terminate this Agreement by notice given to the Company, if after the execution and delivery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prior to the Closing Date (a) trading generally shall have been suspended or materially limited on, or by, as the case may be, any of the New York Stock Exchange or the Nasdaq Global Market, (b) trading of any securities of the Company shall have been suspended on any exchange or in any over-the-counter market, (c) a material disruption in securities settlement, payment or clearance services in the United States shall have occurred,</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moratorium on commercial banking activities shall have been declared by Federal or New York State authorities or (e) there shall have occurred any outbreak or escalation of hostilities, or any change in financial markets or any calamity or crisis that, in your judgment, is material and adverse and which, singly or together with any other event specified in this clause (e), makes it, in your judgment, impracticable or inadvisable to proceed with the offer, sale or delivery of the Shares on the terms and in the manner contemplated in the Time of Sale Prospectus or the Prospectus.</w:t>
      </w:r>
    </w:p>
    <w:p>
      <w:pPr>
        <w:spacing w:after="0" w:line="18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If this Agreement shall be terminated by the Underwriter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 for all out-of-pocket expenses (including the reasonable fees and disbursements of their counsel) reasonably incurred by the Underwriter in connection with this Agreement or the offering contemplated hereunder.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33" w:name="page34"/>
    <w:bookmarkEnd w:id="33"/>
    <w:p>
      <w:pPr>
        <w:jc w:val="both"/>
        <w:ind w:right="20" w:firstLine="436"/>
        <w:spacing w:after="0" w:line="261" w:lineRule="auto"/>
        <w:tabs>
          <w:tab w:leader="none" w:pos="7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Shares, represents the entire agreement between the Company and the Underwriter with respect to the preparation of any preliminary prospectus, the Time of Sale Prospectus, the Prospectus, the conduct of the offering, and the purchase and sale of the Shares.</w:t>
      </w:r>
    </w:p>
    <w:p>
      <w:pPr>
        <w:spacing w:after="0" w:line="73" w:lineRule="exact"/>
        <w:rPr>
          <w:rFonts w:ascii="Times New Roman" w:cs="Times New Roman" w:eastAsia="Times New Roman" w:hAnsi="Times New Roman"/>
          <w:sz w:val="18"/>
          <w:szCs w:val="18"/>
          <w:color w:val="auto"/>
        </w:rPr>
      </w:pPr>
    </w:p>
    <w:p>
      <w:pPr>
        <w:jc w:val="both"/>
        <w:ind w:left="980" w:firstLine="408"/>
        <w:spacing w:after="0" w:line="254" w:lineRule="auto"/>
        <w:tabs>
          <w:tab w:leader="none" w:pos="163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Shares, including with respect to the determination of the public offering price of the Shares and any related discounts and commissions: (i) the Underwriter has acted at arm’s length, are not agents of, and owe no fiduciary duties to, the Company or any other person, (ii) the Underwriter owes the Company only those duties and obligations set forth in this Agreement and prior written agreements (to the extent not superseded by this Agreement), if any, (iii) the Underwriter may have interests that differ from those of the Company and (iv) none of the activities of the Underwriter in connection with the transactions contemplated herein constitutes a recommendation, investment advice, or solicitation of any action by the Underwriter with respect to any entity or natural person. The Company waives to the full extent permitted by applicable law any claims it may have against the Underwriter arising from an alleged breach of fiduciary duty in connection with the offering of the Shares.</w:t>
      </w:r>
    </w:p>
    <w:p>
      <w:pPr>
        <w:spacing w:after="0" w:line="189"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7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the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1" w:lineRule="exact"/>
        <w:rPr>
          <w:rFonts w:ascii="Times New Roman" w:cs="Times New Roman" w:eastAsia="Times New Roman" w:hAnsi="Times New Roman"/>
          <w:sz w:val="18"/>
          <w:szCs w:val="18"/>
          <w:color w:val="auto"/>
        </w:rPr>
      </w:pPr>
    </w:p>
    <w:p>
      <w:pPr>
        <w:jc w:val="both"/>
        <w:ind w:left="980" w:firstLine="408"/>
        <w:spacing w:after="0" w:line="261" w:lineRule="auto"/>
        <w:tabs>
          <w:tab w:leader="none" w:pos="16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Underwriter that is a Covered Entity or a BHC Act Affiliate of the Underwriter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8" w:right="439" w:bottom="1440" w:gutter="0" w:footer="0" w:header="0"/>
        </w:sectPr>
      </w:pPr>
    </w:p>
    <w:bookmarkStart w:id="34" w:name="page35"/>
    <w:bookmarkEnd w:id="34"/>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3" w:lineRule="exact"/>
        <w:rPr>
          <w:sz w:val="20"/>
          <w:szCs w:val="20"/>
          <w:color w:val="auto"/>
        </w:rPr>
      </w:pPr>
    </w:p>
    <w:p>
      <w:pPr>
        <w:jc w:val="both"/>
        <w:ind w:firstLine="436"/>
        <w:spacing w:after="0" w:line="258" w:lineRule="auto"/>
        <w:tabs>
          <w:tab w:leader="none" w:pos="7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copy of this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20" w:firstLine="436"/>
        <w:spacing w:after="0" w:line="284"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jc w:val="both"/>
        <w:ind w:right="20" w:firstLine="436"/>
        <w:spacing w:after="0" w:line="215"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you in care of Cantor Fitzgerald &amp; Co. at 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New York, New York 10022, Attention: Global Head of Investment Banking</w:t>
      </w:r>
    </w:p>
    <w:p>
      <w:pPr>
        <w:spacing w:after="0"/>
        <w:tabs>
          <w:tab w:leader="none" w:pos="800" w:val="left"/>
          <w:tab w:leader="none" w:pos="854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7"/>
          <w:szCs w:val="17"/>
          <w:color w:val="auto"/>
        </w:rPr>
        <w:t>]) and 110 East 59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Street, 6th floor, New York, New York 10022, Attention: General Counsel (email: [</w:t>
      </w:r>
      <w:r>
        <w:rPr>
          <w:sz w:val="20"/>
          <w:szCs w:val="20"/>
          <w:color w:val="auto"/>
        </w:rPr>
        <w:tab/>
      </w:r>
      <w:r>
        <w:rPr>
          <w:rFonts w:ascii="Times New Roman" w:cs="Times New Roman" w:eastAsia="Times New Roman" w:hAnsi="Times New Roman"/>
          <w:sz w:val="18"/>
          <w:szCs w:val="18"/>
          <w:color w:val="auto"/>
        </w:rPr>
        <w:t>]); and if to the Company shall be</w:t>
      </w:r>
    </w:p>
    <w:p>
      <w:pPr>
        <w:spacing w:after="0" w:line="1" w:lineRule="exact"/>
        <w:rPr>
          <w:sz w:val="20"/>
          <w:szCs w:val="20"/>
          <w:color w:val="auto"/>
        </w:rPr>
      </w:pPr>
    </w:p>
    <w:p>
      <w:pPr>
        <w:spacing w:after="0"/>
        <w:tabs>
          <w:tab w:leader="none" w:pos="10880" w:val="left"/>
        </w:tabs>
        <w:rPr>
          <w:sz w:val="20"/>
          <w:szCs w:val="20"/>
          <w:color w:val="auto"/>
        </w:rPr>
      </w:pPr>
      <w:r>
        <w:rPr>
          <w:rFonts w:ascii="Times New Roman" w:cs="Times New Roman" w:eastAsia="Times New Roman" w:hAnsi="Times New Roman"/>
          <w:sz w:val="18"/>
          <w:szCs w:val="18"/>
          <w:color w:val="auto"/>
        </w:rPr>
        <w:t>delivered, mailed or sent to Alector, Inc., 131 Oyster Point Blvd, Suite 600, South San Francisco, California 94080, attention: Marc Grasso, email: [</w:t>
      </w:r>
      <w:r>
        <w:rPr>
          <w:sz w:val="20"/>
          <w:szCs w:val="20"/>
          <w:color w:val="auto"/>
        </w:rPr>
        <w:tab/>
      </w:r>
      <w:r>
        <w:rPr>
          <w:rFonts w:ascii="Times New Roman" w:cs="Times New Roman" w:eastAsia="Times New Roman" w:hAnsi="Times New Roman"/>
          <w:sz w:val="17"/>
          <w:szCs w:val="17"/>
          <w:color w:val="auto"/>
        </w:rPr>
        <w:t>],</w:t>
      </w:r>
    </w:p>
    <w:p>
      <w:pPr>
        <w:spacing w:after="0" w:line="7" w:lineRule="exact"/>
        <w:rPr>
          <w:sz w:val="20"/>
          <w:szCs w:val="20"/>
          <w:color w:val="auto"/>
        </w:rPr>
      </w:pPr>
    </w:p>
    <w:p>
      <w:pPr>
        <w:spacing w:after="0"/>
        <w:tabs>
          <w:tab w:leader="none" w:pos="6600" w:val="left"/>
        </w:tabs>
        <w:rPr>
          <w:sz w:val="20"/>
          <w:szCs w:val="20"/>
          <w:color w:val="auto"/>
        </w:rPr>
      </w:pPr>
      <w:r>
        <w:rPr>
          <w:rFonts w:ascii="Times New Roman" w:cs="Times New Roman" w:eastAsia="Times New Roman" w:hAnsi="Times New Roman"/>
          <w:sz w:val="18"/>
          <w:szCs w:val="18"/>
          <w:color w:val="auto"/>
        </w:rPr>
        <w:t>with a copy to Wilson Sonsini Goodrich &amp; Rosati, P.C., attention: Michael Coke, email: [</w:t>
      </w:r>
      <w:r>
        <w:rPr>
          <w:sz w:val="20"/>
          <w:szCs w:val="20"/>
          <w:color w:val="auto"/>
        </w:rPr>
        <w:tab/>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66" w:right="439" w:bottom="1440" w:gutter="0" w:footer="0" w:header="0"/>
        </w:sectPr>
      </w:pPr>
    </w:p>
    <w:bookmarkStart w:id="35" w:name="page36"/>
    <w:bookmarkEnd w:id="3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ALECTOR, INC.</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 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Marc Grasso, M.D.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4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Sage Kelly</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Global Head of Investment Banking</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9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800" w:type="dxa"/>
            <w:vAlign w:val="bottom"/>
            <w:vMerge w:val="restart"/>
          </w:tcPr>
          <w:p>
            <w:pPr>
              <w:spacing w:after="0"/>
              <w:rPr>
                <w:sz w:val="24"/>
                <w:szCs w:val="24"/>
                <w:color w:val="auto"/>
              </w:rPr>
            </w:pPr>
          </w:p>
        </w:tc>
        <w:tc>
          <w:tcPr>
            <w:tcW w:w="5520" w:type="dxa"/>
            <w:vAlign w:val="bottom"/>
          </w:tcPr>
          <w:p>
            <w:pPr>
              <w:spacing w:after="0"/>
              <w:rPr>
                <w:sz w:val="24"/>
                <w:szCs w:val="24"/>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Firm Shares 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5520" w:type="dxa"/>
            <w:vAlign w:val="bottom"/>
          </w:tcPr>
          <w:p>
            <w:pPr>
              <w:spacing w:after="0"/>
              <w:rPr>
                <w:sz w:val="15"/>
                <w:szCs w:val="15"/>
                <w:color w:val="auto"/>
              </w:rPr>
            </w:pPr>
          </w:p>
        </w:tc>
        <w:tc>
          <w:tcPr>
            <w:tcW w:w="1920" w:type="dxa"/>
            <w:vAlign w:val="bottom"/>
            <w:gridSpan w:val="2"/>
          </w:tcPr>
          <w:p>
            <w:pPr>
              <w:ind w:left="62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Cantor Fitzgerald &amp; Co.</w:t>
            </w:r>
          </w:p>
        </w:tc>
        <w:tc>
          <w:tcPr>
            <w:tcW w:w="552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10,869,566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52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44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January 16, 2024</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None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Firm Shares:</w:t>
            </w:r>
          </w:p>
        </w:tc>
        <w:tc>
          <w:tcPr>
            <w:tcW w:w="488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8"/>
                <w:szCs w:val="18"/>
                <w:color w:val="auto"/>
              </w:rPr>
              <w:t>10,869,566</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Shares:</w:t>
            </w:r>
          </w:p>
        </w:tc>
        <w:tc>
          <w:tcPr>
            <w:tcW w:w="488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1,630,434</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88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8"/>
                <w:szCs w:val="18"/>
                <w:color w:val="auto"/>
              </w:rPr>
              <w:t>Variable</w:t>
            </w:r>
          </w:p>
        </w:tc>
      </w:tr>
      <w:tr>
        <w:trPr>
          <w:trHeight w:val="364"/>
        </w:trPr>
        <w:tc>
          <w:tcPr>
            <w:tcW w:w="2600" w:type="dxa"/>
            <w:vAlign w:val="bottom"/>
          </w:tcPr>
          <w:p>
            <w:pPr>
              <w:spacing w:after="0"/>
              <w:rPr>
                <w:sz w:val="24"/>
                <w:szCs w:val="24"/>
                <w:color w:val="auto"/>
              </w:rPr>
            </w:pPr>
          </w:p>
        </w:tc>
        <w:tc>
          <w:tcPr>
            <w:tcW w:w="48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II-1</w:t>
            </w:r>
          </w:p>
        </w:tc>
      </w:tr>
    </w:tbl>
    <w:p>
      <w:pPr>
        <w:sectPr>
          <w:pgSz w:w="11900" w:h="16838" w:orient="portrait"/>
          <w:cols w:equalWidth="0" w:num="1">
            <w:col w:w="11024"/>
          </w:cols>
          <w:pgMar w:left="436" w:top="266"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Testing the Waters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0"/>
          </w:cols>
          <w:pgMar w:left="440" w:top="266"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Cantor Fitzgerald &amp; Co.</w:t>
      </w:r>
    </w:p>
    <w:p>
      <w:pPr>
        <w:ind w:left="4"/>
        <w:spacing w:after="0" w:line="196" w:lineRule="auto"/>
        <w:rPr>
          <w:sz w:val="20"/>
          <w:szCs w:val="20"/>
          <w:color w:val="auto"/>
        </w:rPr>
      </w:pPr>
      <w:r>
        <w:rPr>
          <w:rFonts w:ascii="Times New Roman" w:cs="Times New Roman" w:eastAsia="Times New Roman" w:hAnsi="Times New Roman"/>
          <w:sz w:val="18"/>
          <w:szCs w:val="18"/>
          <w:color w:val="auto"/>
        </w:rPr>
        <w:t>110 East 59th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The undersigned understands that Cantor Fitzgerald &amp; Co.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Alector,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Underwriter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To induce the Underwriter that may participate in the Public Offering to continue its efforts in connection with the Public Offering, the undersigned hereby agrees that, without the prior written consent of the Underwriter, it will not, during the period commencing on the date hereof and ending on and including the 90th day after the date of the final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4" w:hanging="4"/>
        <w:spacing w:after="0" w:line="251"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make any public announcement or filing with the Securities and Exchange Commission relating to any proposed transaction described in clause (1) or (2) above or intent to engage in any such transaction. The foregoing sentence shall not apply to:</w:t>
      </w:r>
    </w:p>
    <w:p>
      <w:pPr>
        <w:spacing w:after="0" w:line="85" w:lineRule="exact"/>
        <w:rPr>
          <w:rFonts w:ascii="Times New Roman" w:cs="Times New Roman" w:eastAsia="Times New Roman" w:hAnsi="Times New Roman"/>
          <w:sz w:val="18"/>
          <w:szCs w:val="18"/>
          <w:color w:val="auto"/>
        </w:rPr>
      </w:pPr>
    </w:p>
    <w:p>
      <w:pPr>
        <w:jc w:val="both"/>
        <w:ind w:left="4" w:right="20" w:firstLine="436"/>
        <w:spacing w:after="0" w:line="266" w:lineRule="auto"/>
        <w:tabs>
          <w:tab w:leader="none" w:pos="6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the Public Offering or open market transactions on or after the completion of the Public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filing under Section 16(a) of the Exchange Act shall be required or shall be voluntarily made during the Restricted Period in connection with subsequent sales of Common Stock or other securities acquired in such open market transactions;</w:t>
      </w:r>
    </w:p>
    <w:p>
      <w:pPr>
        <w:spacing w:after="0" w:line="175" w:lineRule="exact"/>
        <w:rPr>
          <w:rFonts w:ascii="Times New Roman" w:cs="Times New Roman" w:eastAsia="Times New Roman" w:hAnsi="Times New Roman"/>
          <w:sz w:val="18"/>
          <w:szCs w:val="18"/>
          <w:color w:val="auto"/>
        </w:rPr>
      </w:pPr>
    </w:p>
    <w:p>
      <w:pPr>
        <w:jc w:val="both"/>
        <w:ind w:left="4" w:firstLine="436"/>
        <w:spacing w:after="0" w:line="256" w:lineRule="auto"/>
        <w:tabs>
          <w:tab w:leader="none" w:pos="70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other securities convertible into Common Stock (i) to the spouse, domestic partner, parent, child or grandchild of the undersigned or any other person with whom the undersigned has a relationship by blood, marriage or adoption not more remote than first cousin (each, an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or to a trust or other entity formed for estate planning purposes for the direct or indirect benefit of the undersigned or an immediate family member, (ii) by bona fide gift, (iii) by will or intestacy, (iv) if the undersigned is a trust, to a trustor or beneficiary of the trust or to the estate of a beneficiary of such trust or (v) by bona fide gift to a charitable organization, as such term is described in Section 501(c)(3) of the Internal Revenue Code of 1986, as amended, by the undersigned (a “</w:t>
      </w:r>
      <w:r>
        <w:rPr>
          <w:rFonts w:ascii="Times New Roman" w:cs="Times New Roman" w:eastAsia="Times New Roman" w:hAnsi="Times New Roman"/>
          <w:sz w:val="18"/>
          <w:szCs w:val="18"/>
          <w:b w:val="1"/>
          <w:bCs w:val="1"/>
          <w:color w:val="auto"/>
        </w:rPr>
        <w:t>Permitted Donation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16(a) of the Exchange Act or other public filing, report or announcement reporting a reduction in beneficial ownership of shares of Common Stock or other securities convertible into Common Stock shall be required or shall be voluntarily made during the Restricted Period (other than any required Form 4 or Form 5 filing, including, but not limited to, any filing made in connection with a Permitted Donation);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in the case of any transfer or distribution pursuant to clause (ii) or (v), any such required filing shall clearly indicate in the footnotes thereto that the filing relates to circumstances described in such a clause;</w:t>
      </w:r>
    </w:p>
    <w:p>
      <w:pPr>
        <w:spacing w:after="0" w:line="183" w:lineRule="exact"/>
        <w:rPr>
          <w:sz w:val="20"/>
          <w:szCs w:val="20"/>
          <w:color w:val="auto"/>
        </w:rPr>
      </w:pPr>
    </w:p>
    <w:p>
      <w:pPr>
        <w:jc w:val="both"/>
        <w:ind w:right="20" w:firstLine="436"/>
        <w:spacing w:after="0" w:line="254" w:lineRule="auto"/>
        <w:tabs>
          <w:tab w:leader="none" w:pos="6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corporation, partnership, limited liability company, trust or other business entity, the transfer of the shares of Common Stock or other securities convertible into Common Stock (i) to another corporation, partnership, limited liability company, trust or other business entity that controls, is controlled by, manages or is managed by or is under common control with the undersigned or affiliates of the undersigned (including, for the avoidance of doubt, where the undersigned is a partnership, to its general partner or a successor partnership or fund, or any other funds managed by such partnership) or (ii) as part of a disposition, transfer or distribution by the undersigned to its stockholders, partners, members or other equity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or other public filing, report or announcement reporting a reduction in beneficial ownership of shares of Common Stock or other securities convertible into Common Stock shall be required or shall be voluntarily made during the Restricted Period;</w:t>
      </w:r>
    </w:p>
    <w:p>
      <w:pPr>
        <w:spacing w:after="0" w:line="191" w:lineRule="exact"/>
        <w:rPr>
          <w:rFonts w:ascii="Times New Roman" w:cs="Times New Roman" w:eastAsia="Times New Roman" w:hAnsi="Times New Roman"/>
          <w:sz w:val="18"/>
          <w:szCs w:val="18"/>
          <w:color w:val="auto"/>
        </w:rPr>
      </w:pPr>
    </w:p>
    <w:p>
      <w:pPr>
        <w:jc w:val="both"/>
        <w:ind w:firstLine="436"/>
        <w:spacing w:after="0" w:line="251" w:lineRule="auto"/>
        <w:tabs>
          <w:tab w:leader="none" w:pos="7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receipt by the undersigned from the Company of shares of Common Stock upon the exercise of options or the settlement of restricted stock units granted under a stock incentive plan or other equity award plan, which plan is described in the registration statement related to the Public Offering and the Prospectus, insofar as such option or restricted stock unit is outstanding as of the date of the Prospectus, (ii) the transfer of shares of Common Stock or any securities convertible into Common Stock to the Company upon a vesting event of the Company’s securities, the settlement of restricted stock units, or the exercise of options to purchase the Company’s securities on a “cashless” or “net exercise” basis to the extent permitted by the instruments representing such options, restricted stock units (and any transfer to the Company necessary to generate such amount of cash needed for the payment of taxes, including estimated taxes, due as a result of such vesting, settlement or exercise whether by means of a “net settlement” or otherwise) so long as such “cashless exercise” or “net exercise” is effected solely by the surrender of outstanding options or restricted stock units (or the Common Stock issuable upon the exercise or settlement thereof) to the Company and the Company’s cancellation of all or a portion thereof to pay the exercise price and/or withholding tax and remittance obligations or (iii) any “sell-to-cover” transaction involving a sale of shares of Common Stock in connection with the vesting or settlement of restricted stock units granted under a stock incentive plan or other equity award plan, which plan is described in the registration statement related to the Public Offering and the Prospectus, for the payment of tax withholdings or remittance payments due as a result of the vesting or settlement of such restricted stock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either (i), (ii) or (iii), (A) no filing under Section 16(a) of the Exchange Act or other public announcement or filing shall be voluntarily made during the Restricted Period and (B) the underlying shares issued to the undersigned upon such exercise shall continue to be subject to the terms of this letter;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purpose of clauses (i), (ii) and (iii), filings under Section 16(a) of the Exchange Act shall be permissible if such filings are required and relate solely to “net”, “cashless” or</w:t>
      </w:r>
    </w:p>
    <w:p>
      <w:pPr>
        <w:spacing w:after="0" w:line="1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“sell-to-cover” exercises or settlements of stock options, restricted stock units or other equity awards that would otherwise expire during the Restricted Period and any such filing include a statement to the effect that such transfer is being made in connection with a “net”, “cashless” or “sell-to-cover” exercise or settlement of stock options, restricted stock units or other equity awards, and the undersigned provides written notice to the Underwriter at least one business day prior to making any such filings;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42" w:name="page43"/>
    <w:bookmarkEnd w:id="42"/>
    <w:p>
      <w:pPr>
        <w:ind w:left="684" w:hanging="244"/>
        <w:spacing w:after="0"/>
        <w:tabs>
          <w:tab w:leader="none" w:pos="6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establishment of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88" w:lineRule="exact"/>
        <w:rPr>
          <w:rFonts w:ascii="Times New Roman" w:cs="Times New Roman" w:eastAsia="Times New Roman" w:hAnsi="Times New Roman"/>
          <w:sz w:val="18"/>
          <w:szCs w:val="18"/>
          <w:color w:val="auto"/>
        </w:rPr>
      </w:pPr>
    </w:p>
    <w:p>
      <w:pPr>
        <w:jc w:val="both"/>
        <w:ind w:left="4" w:right="20" w:firstLine="436"/>
        <w:spacing w:after="0" w:line="266" w:lineRule="auto"/>
        <w:tabs>
          <w:tab w:leader="none" w:pos="6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other securities convertible into Common Stock to the Company pursuant to agreements under which the Company or any of its respective equity holders has the option to repurchase such shares of Common Stock or other securities upon termination of service of the undersigned;</w:t>
      </w:r>
    </w:p>
    <w:p>
      <w:pPr>
        <w:spacing w:after="0" w:line="175" w:lineRule="exact"/>
        <w:rPr>
          <w:rFonts w:ascii="Times New Roman" w:cs="Times New Roman" w:eastAsia="Times New Roman" w:hAnsi="Times New Roman"/>
          <w:sz w:val="18"/>
          <w:szCs w:val="18"/>
          <w:color w:val="auto"/>
        </w:rPr>
      </w:pPr>
    </w:p>
    <w:p>
      <w:pPr>
        <w:jc w:val="both"/>
        <w:ind w:left="4" w:firstLine="436"/>
        <w:spacing w:after="0" w:line="258" w:lineRule="auto"/>
        <w:tabs>
          <w:tab w:leader="none" w:pos="7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shares of Common Stock or other securities convertible into Common Stock pursuant to a bona fide third party tender offer, merger, consolidation or other similar transaction made to all holders of capital stock of the Company involving a “change of control” (as defined below) of the Company after the completion of the Public Offering that has been approved by the board of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Undersigned’s shares of Common Stock or other securities shall remain subject to the terms of this letter;</w:t>
      </w:r>
    </w:p>
    <w:p>
      <w:pPr>
        <w:spacing w:after="0" w:line="183"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7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other securities convertible into Common Stock that occurs pursuant to a domestic order or in connection with a divorce settlement; or</w:t>
      </w:r>
    </w:p>
    <w:p>
      <w:pPr>
        <w:spacing w:after="0" w:line="161"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66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 of shares of Common Stock under a trading plan pursuant to Rule 10b5-1 under the Exchange Act that is existing as of the date hereof and has been disclosed to the Underwriter,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required by Section 16(a) of the Exchange Act that is made in connection with any such sales during the Restricted Period shall state that such sales have been executed pursuant to such trading plan.</w:t>
      </w:r>
    </w:p>
    <w:p>
      <w:pPr>
        <w:spacing w:after="0" w:line="174"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in the case of (b), (c) and (h) above, it shall be a condition to the transfer or distribution that the donee, transferee or distributee,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case may be, agrees in writing to be bound by the restrictions set forth herein, (B) in the case of (b) and (c) above, such transfer or distribution shall not involve a disposition for value, (C) in the case of (f) and (h) above, no filing under Section 16(a) of the Exchange Act or other public filing, report or announcement reporting a reduction in beneficial ownership of shares of Common Stock or other securities convertible into Common Stock shall be voluntarily made during the Restricted Period, and (D) in the case of clause (f) and (h) above, if the undersigned is required to file a report under Section 16(a) of the Exchange Act during the Restricted Period, the undersigned shall include a statement in such report to the effect that such transfer is to the Company in connection with the repurchase of shares of Common Stock or other securities convertible into Common Stock or pursuant to a qualified domestic order or in connection with a divorce settlement, as the case may be.</w:t>
      </w:r>
    </w:p>
    <w:p>
      <w:pPr>
        <w:spacing w:after="0" w:line="183"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For purposes of clause (h) above,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w:t>
      </w:r>
    </w:p>
    <w:p>
      <w:pPr>
        <w:spacing w:after="0" w:line="180"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Underwriter,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8" w:right="439" w:bottom="1440" w:gutter="0" w:footer="0" w:header="0"/>
        </w:sectPr>
      </w:pPr>
    </w:p>
    <w:bookmarkStart w:id="43" w:name="page44"/>
    <w:bookmarkEnd w:id="43"/>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understands that the Company and the Underwriter are relying upon this agreement in proceeding toward consummation of the Public Offering. The undersigned further understands that this agreement is irrevocable and shall be binding upon the undersigned’s heirs, legal representatives, successors and assigns. The undersigned hereby represents and warrants that the undersigned has full power and authority to enter into this letter. Notwithstanding anything to the contrary contained herein, this letter will automatically terminate and the undersigned will be released from all obligations hereunder upon the earliest to occur, if any, of (i) the date on which the Company advises the Underwriter in writing, prior to the execution of the Underwriting Agreement, that it has determined not to proceed with the Public Offering, (ii) the Underwriting Agreement is executed but is terminated (other than the provisions thereof which survive termination) prior to payment for and delivery of the shares of Common Stock to be sold thereunder, or (iii) February 14, 2024 in the event that the Underwriting Agreement has not been executed by such date; provided, however, that the Company may, by written notice to the undersigned prior to such date, extend such date for a period of up to three additional months. This letter shall not be amended without the prior written consent of the undersigned.</w:t>
      </w:r>
    </w:p>
    <w:p>
      <w:pPr>
        <w:spacing w:after="0" w:line="194"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hereby consents to receipt of this letter in electronic form and understands and agrees that this letter may be signed electronically. In the event that any signature is delivered by facsimile transmission, electronic mail, or otherwise by electronic transmission evidencing an intent to sign this letter, such facsimile transmission, electronic mail or other electronic transmission shall create a valid and binding obligation of the undersigned with the same force and effect as if such signature were an original. Execution and delivery of this letter by facsimile transmission, electronic mail or other electronic transmission is legal, valid and binding for all purposes.</w:t>
      </w:r>
    </w:p>
    <w:p>
      <w:pPr>
        <w:spacing w:after="0" w:line="183"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 has not provided any recommendation or investment advice nor has the Underwriter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 may provide certain Regulation Best Interest and Form CRS disclosures or other related documentation to you in connection with the Public Offering, the Underwriter is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agreement and any claim, controversy or dispute arising under or related to this agreement shall be governed by and construed in accordance with the laws of the State of New York.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INDIVIDUAL:</w:t>
      </w:r>
    </w:p>
    <w:p>
      <w:pPr>
        <w:spacing w:after="0" w:line="200" w:lineRule="exact"/>
        <w:rPr>
          <w:sz w:val="20"/>
          <w:szCs w:val="20"/>
          <w:color w:val="auto"/>
        </w:rPr>
      </w:pPr>
    </w:p>
    <w:p>
      <w:pPr>
        <w:spacing w:after="0" w:line="25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7"/>
          <w:szCs w:val="17"/>
          <w:i w:val="1"/>
          <w:iCs w:val="1"/>
          <w:color w:val="auto"/>
        </w:rPr>
        <w:t>(duly 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3282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17145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565785</wp:posOffset>
            </wp:positionV>
            <wp:extent cx="32829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829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32829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17145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-502285</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-126365</wp:posOffset>
            </wp:positionV>
            <wp:extent cx="33686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27946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(please print full 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554355</wp:posOffset>
            </wp:positionV>
            <wp:extent cx="33686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8675" cy="8890"/>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280035</wp:posOffset>
            </wp:positionV>
            <wp:extent cx="33686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2">
            <w:col w:w="5120" w:space="720"/>
            <w:col w:w="4179"/>
          </w:cols>
          <w:pgMar w:left="440" w:top="270" w:right="1440" w:bottom="1440" w:gutter="0" w:footer="0" w:header="0"/>
        </w:sectPr>
      </w:pPr>
    </w:p>
    <w:bookmarkStart w:id="45" w:name="page46"/>
    <w:bookmarkEnd w:id="45"/>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74115" cy="506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74115" cy="50609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Alector,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Oyster Point Boulevard,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Alector, Inc. – Sale and Issuance of Shares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This opinion is furnished to you in connection with the Registration Statement on Form S-3, filed by Alector,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February 28, 2023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declared effective on May 1, 2023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contained within the Registration Statement (the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prospectus supplement to the Registration Statement dated January 17, 2024 (together with the Base Prospectus,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 connection with the registration under the Securities Act of up to 10,869,566 shares of the Company’s common stock, $0.0001 par value per share (and up to an additional 1,630,434 shares of its common stock upon exercise of an option to purchase additional shares granted to the underwriter)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issued and sold by the Company. The offering of the Shares is being made pursuant to that certain underwriting agreement, dated January 17, 2024, by and between the Company and Cantor Fitzgerald &amp; Co.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issuance and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90" w:lineRule="exact"/>
        <w:rPr>
          <w:sz w:val="20"/>
          <w:szCs w:val="20"/>
          <w:color w:val="auto"/>
        </w:rPr>
      </w:pPr>
    </w:p>
    <w:p>
      <w:pPr>
        <w:jc w:val="center"/>
        <w:ind w:right="20"/>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4"/>
          <w:szCs w:val="14"/>
          <w:color w:val="auto"/>
        </w:rPr>
        <w:t>AUSTIN</w:t>
        <w:tab/>
        <w:t>BEIJING</w:t>
        <w:tab/>
        <w:t>BOSTON</w:t>
        <w:tab/>
        <w:t>BRUSSELS</w:t>
        <w:tab/>
        <w:t>HONG KONG</w:t>
        <w:tab/>
        <w:t>LONDON</w:t>
        <w:tab/>
        <w:t>LOS ANGELES</w:t>
        <w:tab/>
        <w:t>NEW YORK</w:t>
      </w:r>
      <w:r>
        <w:rPr>
          <w:sz w:val="20"/>
          <w:szCs w:val="20"/>
          <w:color w:val="auto"/>
        </w:rPr>
        <w:tab/>
      </w:r>
      <w:r>
        <w:rPr>
          <w:rFonts w:ascii="Times New Roman" w:cs="Times New Roman" w:eastAsia="Times New Roman" w:hAnsi="Times New Roman"/>
          <w:sz w:val="13"/>
          <w:szCs w:val="13"/>
          <w:color w:val="auto"/>
        </w:rPr>
        <w:t>PALO ALTO</w:t>
      </w:r>
    </w:p>
    <w:p>
      <w:pPr>
        <w:spacing w:after="0" w:line="4" w:lineRule="exact"/>
        <w:rPr>
          <w:sz w:val="20"/>
          <w:szCs w:val="20"/>
          <w:color w:val="auto"/>
        </w:rPr>
      </w:pPr>
    </w:p>
    <w:p>
      <w:pPr>
        <w:jc w:val="center"/>
        <w:ind w:right="20"/>
        <w:spacing w:after="0"/>
        <w:tabs>
          <w:tab w:leader="none" w:pos="160" w:val="left"/>
          <w:tab w:leader="none" w:pos="160" w:val="left"/>
          <w:tab w:leader="none" w:pos="160" w:val="left"/>
          <w:tab w:leader="none" w:pos="160" w:val="left"/>
          <w:tab w:leader="none" w:pos="140" w:val="left"/>
        </w:tabs>
        <w:rPr>
          <w:sz w:val="20"/>
          <w:szCs w:val="20"/>
          <w:color w:val="auto"/>
        </w:rPr>
      </w:pPr>
      <w:r>
        <w:rPr>
          <w:rFonts w:ascii="Times New Roman" w:cs="Times New Roman" w:eastAsia="Times New Roman" w:hAnsi="Times New Roman"/>
          <w:sz w:val="14"/>
          <w:szCs w:val="14"/>
          <w:color w:val="auto"/>
        </w:rPr>
        <w:t>SAN DIEGO</w:t>
        <w:tab/>
        <w:t>SAN FRANCISCO</w:t>
        <w:tab/>
        <w:t>SEATTLE</w:t>
        <w:tab/>
        <w:t>SHANGHAI</w:t>
        <w:tab/>
        <w:t>WASHINGTON, DC</w:t>
        <w:tab/>
        <w:t>WILMINGTON, DE</w:t>
      </w:r>
    </w:p>
    <w:p>
      <w:pPr>
        <w:sectPr>
          <w:pgSz w:w="11900" w:h="16838" w:orient="portrait"/>
          <w:cols w:equalWidth="0" w:num="1">
            <w:col w:w="11020"/>
          </w:cols>
          <w:pgMar w:left="440" w:top="117" w:right="439" w:bottom="1440" w:gutter="0" w:footer="0" w:header="0"/>
        </w:sectPr>
      </w:pPr>
    </w:p>
    <w:bookmarkStart w:id="46" w:name="page47"/>
    <w:bookmarkEnd w:id="46"/>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basis of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WILSON SONSINI GOODRICH &amp; ROSATI</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22755" cy="6343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227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NEWS RELEASE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Alector Announces Pricing of Public Offering of Common Stock</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w:t>
      </w:r>
      <w:r>
        <w:rPr>
          <w:rFonts w:ascii="Times New Roman" w:cs="Times New Roman" w:eastAsia="Times New Roman" w:hAnsi="Times New Roman"/>
          <w:sz w:val="18"/>
          <w:szCs w:val="18"/>
          <w:color w:val="auto"/>
        </w:rPr>
        <w:t>January 17, 2024 — Alector, Inc. (Nasdaq: ALEC), a clinical-stage biotechnology company pioneering immuno-neurology, today announced the pricing of an underwritten public offering of 10,869,566 shares of its common stock for total gross proceeds of $75 million before deducting underwriting discounts and commissions and estimated offering expenses payable by Alector. The offering is expected to close on January 19, 2024, subject to satisfaction of customary closing conditions. All of the shares in the offering are being sold by Alector.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Alector has granted the underwriter a 30-day option to purchase up to an additional 1,630,434 shares of its common stock offered in the public offering, at the public offering price, less underwriting discounts and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 is acting as sole book-running manager for the offering.</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 offering is being made pursuant to a shelf registration statement on Form S-3 (File No. 333- 270126) that was previously filed with and subsequently declared effective by the Securities and Exchange Commission (“SEC”) on May 1, 2023. The offering is being made only by means of a prospectus, including a prospectus supplement, forming a part of the effective registration statement. The preliminary prospectus supplement and accompanying prospectus relating to the offering were filed with the SEC and are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 final prospectus supplement and accompanying prospectus relating to the offering will be filed with the SEC and will be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Copies of the final prospectus supplement and the accompanying prospectus relating to the offering, when available, may be obtained from: Cantor Fitzgerald &amp; Co., Attention: Capital Markets, 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10022, or by e-mail at </w:t>
      </w:r>
      <w:r>
        <w:rPr>
          <w:rFonts w:ascii="Times New Roman" w:cs="Times New Roman" w:eastAsia="Times New Roman" w:hAnsi="Times New Roman"/>
          <w:sz w:val="18"/>
          <w:szCs w:val="18"/>
          <w:u w:val="single" w:color="auto"/>
          <w:color w:val="auto"/>
        </w:rPr>
        <w:t>prospectus@cantor.com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Alector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Alector is a clinical-stage biotechnology company pioneering immuno-neurology, a novel therapeutic approach for the treatment of neurodegenerative diseases. Immuno-neurology targets immune dysfunction as a root cause of multiple pathologies that are drivers of degenerative brain disorders. Alector has discovered and is developing a broad portfolio of innate immune system programs, designed to functionally repair genetic mutations that cause dysfunction of the brain’s immune system and enable rejuvenated immune cells to counteract emerging brain pathologies. Alector’s immuno-neurology product candidates are supported by biomarkers and seek to treat indications, including Alzheimer’s disease and genetically defined frontotemporal dementia patient populations. Alector is headquartered in South San Francisco, California.</w:t>
      </w:r>
    </w:p>
    <w:p>
      <w:pPr>
        <w:sectPr>
          <w:pgSz w:w="11900" w:h="16838" w:orient="portrait"/>
          <w:cols w:equalWidth="0" w:num="1">
            <w:col w:w="11020"/>
          </w:cols>
          <w:pgMar w:left="440" w:top="117"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in this press release include, but are not limited to, statements regarding Alector’s expectations regarding the closing of the offering and expected gross proceeds from the offering. Such statements are subject to numerous risks and uncertainties that may cause actual events or results to differ materially from current expectations and beliefs, including but not limited to risks and uncertainties related to satisfaction of customary closing conditions related to the proposed offering and other risks and uncertainties related to the offering, Alector and its business as set forth in Alector’s filings with the SEC, including the Company’s Annual Reports on Form 10-K and Quarterly Reports on Form 10-Q, as well as the other documents Alector files from time to time with the SEC. These documents contain and identify important factors that could cause the actual results for Alector to differ materially from those contained in Alector’s forward-looking statements. Any forward-looking statements contained in this press release speak only as of the date hereof, and Alector specifically disclaims any obligation to update any forward-looking statement, except as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Alector Contacts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Katie Hogan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202-549-0557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katie.hogan@alector.com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1AB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Budwick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973-271-6085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dan@1abmedia.com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Perry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alector@argotpartners.com</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lvl w:ilvl="1">
      <w:lvlJc w:val="left"/>
      <w:lvlText w:val="(%2)"/>
      <w:numFmt w:val="lowerLetter"/>
      <w:start w:val="1"/>
    </w:lvl>
  </w:abstractNum>
  <w:abstractNum w:abstractNumId="2">
    <w:nsid w:val="B03E0C6"/>
    <w:multiLevelType w:val="hybridMultilevel"/>
    <w:lvl w:ilvl="0">
      <w:lvlJc w:val="left"/>
      <w:lvlText w:val="(%1)"/>
      <w:numFmt w:val="lowerLetter"/>
      <w:start w:val="3"/>
    </w:lvl>
  </w:abstractNum>
  <w:abstractNum w:abstractNumId="3">
    <w:nsid w:val="189A769B"/>
    <w:multiLevelType w:val="hybridMultilevel"/>
    <w:lvl w:ilvl="0">
      <w:lvlJc w:val="left"/>
      <w:lvlText w:val="(%1)"/>
      <w:numFmt w:val="lowerLetter"/>
      <w:start w:val="8"/>
    </w:lvl>
  </w:abstractNum>
  <w:abstractNum w:abstractNumId="4">
    <w:nsid w:val="54E49EB4"/>
    <w:multiLevelType w:val="hybridMultilevel"/>
    <w:lvl w:ilvl="0">
      <w:lvlJc w:val="left"/>
      <w:lvlText w:val="(%1)"/>
      <w:numFmt w:val="lowerLetter"/>
      <w:start w:val="13"/>
    </w:lvl>
  </w:abstractNum>
  <w:abstractNum w:abstractNumId="5">
    <w:nsid w:val="71F32454"/>
    <w:multiLevelType w:val="hybridMultilevel"/>
    <w:lvl w:ilvl="0">
      <w:lvlJc w:val="left"/>
      <w:lvlText w:val="%1"/>
      <w:numFmt w:val="lowerLetter"/>
      <w:start w:val="1"/>
    </w:lvl>
    <w:lvl w:ilvl="1">
      <w:lvlJc w:val="left"/>
      <w:lvlText w:val="(%2)"/>
      <w:numFmt w:val="lowerLetter"/>
      <w:start w:val="18"/>
    </w:lvl>
  </w:abstractNum>
  <w:abstractNum w:abstractNumId="6">
    <w:nsid w:val="2CA88611"/>
    <w:multiLevelType w:val="hybridMultilevel"/>
    <w:lvl w:ilvl="0">
      <w:lvlJc w:val="left"/>
      <w:lvlText w:val="(%1)"/>
      <w:numFmt w:val="lowerLetter"/>
      <w:start w:val="9"/>
    </w:lvl>
    <w:lvl w:ilvl="1">
      <w:lvlJc w:val="left"/>
      <w:lvlText w:val="(%2)"/>
      <w:numFmt w:val="lowerLetter"/>
      <w:start w:val="20"/>
    </w:lvl>
  </w:abstractNum>
  <w:abstractNum w:abstractNumId="7">
    <w:nsid w:val="836C40E"/>
    <w:multiLevelType w:val="hybridMultilevel"/>
    <w:lvl w:ilvl="0">
      <w:lvlJc w:val="left"/>
      <w:lvlText w:val="(%1)"/>
      <w:numFmt w:val="lowerLetter"/>
      <w:start w:val="21"/>
    </w:lvl>
    <w:lvl w:ilvl="1">
      <w:lvlJc w:val="left"/>
      <w:lvlText w:val="(%2)"/>
      <w:numFmt w:val="lowerRoman"/>
      <w:start w:val="1"/>
    </w:lvl>
  </w:abstractNum>
  <w:abstractNum w:abstractNumId="8">
    <w:nsid w:val="2901D8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9">
    <w:nsid w:val="3A95F874"/>
    <w:multiLevelType w:val="hybridMultilevel"/>
    <w:lvl w:ilvl="0">
      <w:lvlJc w:val="left"/>
      <w:lvlText w:val="%1"/>
      <w:numFmt w:val="lowerRoman"/>
      <w:start w:val="1"/>
    </w:lvl>
    <w:lvl w:ilvl="1">
      <w:lvlJc w:val="left"/>
      <w:lvlText w:val="(%2)"/>
      <w:numFmt w:val="lowerLetter"/>
      <w:start w:val="23"/>
    </w:lvl>
    <w:lvl w:ilvl="2">
      <w:lvlJc w:val="left"/>
      <w:lvlText w:val="%3"/>
      <w:numFmt w:val="lowerRoman"/>
      <w:start w:val="1"/>
    </w:lvl>
  </w:abstractNum>
  <w:abstractNum w:abstractNumId="10">
    <w:nsid w:val="8138641"/>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1">
    <w:nsid w:val="1E7FF521"/>
    <w:multiLevelType w:val="hybridMultilevel"/>
    <w:lvl w:ilvl="0">
      <w:lvlJc w:val="left"/>
      <w:lvlText w:val="(%1)"/>
      <w:numFmt w:val="lowerLetter"/>
      <w:start w:val="24"/>
    </w:lvl>
  </w:abstractNum>
  <w:abstractNum w:abstractNumId="12">
    <w:nsid w:val="7C3DBD3D"/>
    <w:multiLevelType w:val="hybridMultilevel"/>
    <w:lvl w:ilvl="0">
      <w:lvlJc w:val="left"/>
      <w:lvlText w:val="(%1)"/>
      <w:numFmt w:val="lowerLetter"/>
      <w:start w:val="26"/>
    </w:lvl>
  </w:abstractNum>
  <w:abstractNum w:abstractNumId="13">
    <w:nsid w:val="737B8DDC"/>
    <w:multiLevelType w:val="hybridMultilevel"/>
    <w:lvl w:ilvl="0">
      <w:lvlJc w:val="left"/>
      <w:lvlText w:val="(%1)"/>
      <w:numFmt w:val="lowerLetter"/>
      <w:start w:val="27"/>
    </w:lvl>
  </w:abstractNum>
  <w:abstractNum w:abstractNumId="14">
    <w:nsid w:val="6CEAF087"/>
    <w:multiLevelType w:val="hybridMultilevel"/>
    <w:lvl w:ilvl="0">
      <w:lvlJc w:val="left"/>
      <w:lvlText w:val="(%1)"/>
      <w:numFmt w:val="lowerLetter"/>
      <w:start w:val="29"/>
    </w:lvl>
    <w:lvl w:ilvl="1">
      <w:lvlJc w:val="left"/>
      <w:lvlText w:val="(%2)"/>
      <w:numFmt w:val="lowerRoman"/>
      <w:start w:val="1"/>
    </w:lvl>
    <w:lvl w:ilvl="2">
      <w:lvlJc w:val="left"/>
      <w:lvlText w:val="(%3)"/>
      <w:numFmt w:val="upperLetter"/>
      <w:start w:val="1"/>
    </w:lvl>
  </w:abstractNum>
  <w:abstractNum w:abstractNumId="15">
    <w:nsid w:val="22221A70"/>
    <w:multiLevelType w:val="hybridMultilevel"/>
    <w:lvl w:ilvl="0">
      <w:lvlJc w:val="left"/>
      <w:lvlText w:val="%1"/>
      <w:numFmt w:val="lowerLetter"/>
      <w:start w:val="1"/>
    </w:lvl>
    <w:lvl w:ilvl="1">
      <w:lvlJc w:val="left"/>
      <w:lvlText w:val="(%2)"/>
      <w:numFmt w:val="lowerRoman"/>
      <w:start w:val="3"/>
    </w:lvl>
  </w:abstractNum>
  <w:abstractNum w:abstractNumId="16">
    <w:nsid w:val="4516DDE9"/>
    <w:multiLevelType w:val="hybridMultilevel"/>
    <w:lvl w:ilvl="0">
      <w:lvlJc w:val="left"/>
      <w:lvlText w:val="(%1)"/>
      <w:numFmt w:val="lowerLetter"/>
      <w:start w:val="31"/>
    </w:lvl>
    <w:lvl w:ilvl="1">
      <w:lvlJc w:val="left"/>
      <w:lvlText w:val="%2"/>
      <w:numFmt w:val="lowerRoman"/>
      <w:start w:val="1"/>
    </w:lvl>
  </w:abstractNum>
  <w:abstractNum w:abstractNumId="17">
    <w:nsid w:val="3006C83E"/>
    <w:multiLevelType w:val="hybridMultilevel"/>
    <w:lvl w:ilvl="0">
      <w:lvlJc w:val="left"/>
      <w:lvlText w:val="(%1)"/>
      <w:numFmt w:val="lowerLetter"/>
      <w:start w:val="34"/>
    </w:lvl>
  </w:abstractNum>
  <w:abstractNum w:abstractNumId="18">
    <w:nsid w:val="614FD4A1"/>
    <w:multiLevelType w:val="hybridMultilevel"/>
    <w:lvl w:ilvl="0">
      <w:lvlJc w:val="left"/>
      <w:lvlText w:val="(%1)"/>
      <w:numFmt w:val="upperLetter"/>
      <w:start w:val="3"/>
    </w:lvl>
    <w:lvl w:ilvl="1">
      <w:lvlJc w:val="left"/>
      <w:lvlText w:val="(%2)"/>
      <w:numFmt w:val="lowerLetter"/>
      <w:start w:val="35"/>
    </w:lvl>
  </w:abstractNum>
  <w:abstractNum w:abstractNumId="19">
    <w:nsid w:val="419AC241"/>
    <w:multiLevelType w:val="hybridMultilevel"/>
    <w:lvl w:ilvl="0">
      <w:lvlJc w:val="left"/>
      <w:lvlText w:val="(%1)"/>
      <w:numFmt w:val="lowerLetter"/>
      <w:start w:val="38"/>
    </w:lvl>
  </w:abstractNum>
  <w:abstractNum w:abstractNumId="20">
    <w:nsid w:val="5577F8E1"/>
    <w:multiLevelType w:val="hybridMultilevel"/>
    <w:lvl w:ilvl="0">
      <w:lvlJc w:val="left"/>
      <w:lvlText w:val="(%1)"/>
      <w:numFmt w:val="lowerLetter"/>
      <w:start w:val="43"/>
    </w:lvl>
  </w:abstractNum>
  <w:abstractNum w:abstractNumId="21">
    <w:nsid w:val="440BADFC"/>
    <w:multiLevelType w:val="hybridMultilevel"/>
    <w:lvl w:ilvl="0">
      <w:lvlJc w:val="left"/>
      <w:lvlText w:val="%1"/>
      <w:numFmt w:val="decimal"/>
      <w:start w:val="1"/>
    </w:lvl>
    <w:lvl w:ilvl="1">
      <w:lvlJc w:val="left"/>
      <w:lvlText w:val="(%2)"/>
      <w:numFmt w:val="lowerLetter"/>
      <w:start w:val="45"/>
    </w:lvl>
  </w:abstractNum>
  <w:abstractNum w:abstractNumId="22">
    <w:nsid w:val="5072367"/>
    <w:multiLevelType w:val="hybridMultilevel"/>
    <w:lvl w:ilvl="0">
      <w:lvlJc w:val="left"/>
      <w:lvlText w:val="(%1)"/>
      <w:numFmt w:val="decimal"/>
      <w:start w:val="3"/>
    </w:lvl>
    <w:lvl w:ilvl="1">
      <w:lvlJc w:val="left"/>
      <w:lvlText w:val="(%2)"/>
      <w:numFmt w:val="lowerLetter"/>
      <w:start w:val="46"/>
    </w:lvl>
  </w:abstractNum>
  <w:abstractNum w:abstractNumId="23">
    <w:nsid w:val="3804823E"/>
    <w:multiLevelType w:val="hybridMultilevel"/>
    <w:lvl w:ilvl="0">
      <w:lvlJc w:val="left"/>
      <w:lvlText w:val="(%1)"/>
      <w:numFmt w:val="lowerLetter"/>
      <w:start w:val="47"/>
    </w:lvl>
  </w:abstractNum>
  <w:abstractNum w:abstractNumId="24">
    <w:nsid w:val="77465F01"/>
    <w:multiLevelType w:val="hybridMultilevel"/>
    <w:lvl w:ilvl="0">
      <w:lvlJc w:val="left"/>
      <w:lvlText w:val="%1."/>
      <w:numFmt w:val="decimal"/>
      <w:start w:val="2"/>
    </w:lvl>
  </w:abstractNum>
  <w:abstractNum w:abstractNumId="25">
    <w:nsid w:val="7724C67E"/>
    <w:multiLevelType w:val="hybridMultilevel"/>
    <w:lvl w:ilvl="0">
      <w:lvlJc w:val="left"/>
      <w:lvlText w:val="%1."/>
      <w:numFmt w:val="decimal"/>
      <w:start w:val="3"/>
    </w:lvl>
  </w:abstractNum>
  <w:abstractNum w:abstractNumId="26">
    <w:nsid w:val="5C482A9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2463B9EA"/>
    <w:multiLevelType w:val="hybridMultilevel"/>
    <w:lvl w:ilvl="0">
      <w:lvlJc w:val="left"/>
      <w:lvlText w:val="(%1)"/>
      <w:numFmt w:val="lowerLetter"/>
      <w:start w:val="3"/>
    </w:lvl>
  </w:abstractNum>
  <w:abstractNum w:abstractNumId="28">
    <w:nsid w:val="5E884ADC"/>
    <w:multiLevelType w:val="hybridMultilevel"/>
    <w:lvl w:ilvl="0">
      <w:lvlJc w:val="left"/>
      <w:lvlText w:val="(%1)"/>
      <w:numFmt w:val="lowerLetter"/>
      <w:start w:val="7"/>
    </w:lvl>
    <w:lvl w:ilvl="1">
      <w:lvlJc w:val="left"/>
      <w:lvlText w:val="(%2)"/>
      <w:numFmt w:val="lowerRoman"/>
      <w:start w:val="1"/>
    </w:lvl>
  </w:abstractNum>
  <w:abstractNum w:abstractNumId="29">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0">
    <w:nsid w:val="2D51779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1">
    <w:nsid w:val="580BD78F"/>
    <w:multiLevelType w:val="hybridMultilevel"/>
    <w:lvl w:ilvl="0">
      <w:lvlJc w:val="left"/>
      <w:lvlText w:val="(%1)"/>
      <w:numFmt w:val="lowerLetter"/>
      <w:start w:val="5"/>
    </w:lvl>
  </w:abstractNum>
  <w:abstractNum w:abstractNumId="32">
    <w:nsid w:val="153EA438"/>
    <w:multiLevelType w:val="hybridMultilevel"/>
    <w:lvl w:ilvl="0">
      <w:lvlJc w:val="left"/>
      <w:lvlText w:val="%1"/>
      <w:numFmt w:val="lowerLetter"/>
      <w:start w:val="1"/>
    </w:lvl>
    <w:lvl w:ilvl="1">
      <w:lvlJc w:val="left"/>
      <w:lvlText w:val="(%2)"/>
      <w:numFmt w:val="lowerLetter"/>
      <w:start w:val="8"/>
    </w:lvl>
  </w:abstractNum>
  <w:abstractNum w:abstractNumId="33">
    <w:nsid w:val="3855585C"/>
    <w:multiLevelType w:val="hybridMultilevel"/>
    <w:lvl w:ilvl="0">
      <w:lvlJc w:val="left"/>
      <w:lvlText w:val="(%1)"/>
      <w:numFmt w:val="lowerLetter"/>
      <w:start w:val="61"/>
    </w:lvl>
    <w:lvl w:ilvl="1">
      <w:lvlJc w:val="left"/>
      <w:lvlText w:val="%2"/>
      <w:numFmt w:val="lowerLetter"/>
      <w:start w:val="1"/>
    </w:lvl>
  </w:abstractNum>
  <w:abstractNum w:abstractNumId="34">
    <w:nsid w:val="70A64E2A"/>
    <w:multiLevelType w:val="hybridMultilevel"/>
    <w:lvl w:ilvl="0">
      <w:lvlJc w:val="left"/>
      <w:lvlText w:val="(%1)"/>
      <w:numFmt w:val="lowerLetter"/>
      <w:start w:val="10"/>
    </w:lvl>
  </w:abstractNum>
  <w:abstractNum w:abstractNumId="35">
    <w:nsid w:val="6A2342EC"/>
    <w:multiLevelType w:val="hybridMultilevel"/>
    <w:lvl w:ilvl="0">
      <w:lvlJc w:val="left"/>
      <w:lvlText w:val="(%1)"/>
      <w:numFmt w:val="lowerRoman"/>
      <w:start w:val="1"/>
    </w:lvl>
  </w:abstractNum>
  <w:abstractNum w:abstractNumId="36">
    <w:nsid w:val="2A487CB0"/>
    <w:multiLevelType w:val="hybridMultilevel"/>
    <w:lvl w:ilvl="0">
      <w:lvlJc w:val="left"/>
      <w:lvlText w:val="%1."/>
      <w:numFmt w:val="decimal"/>
      <w:start w:val="7"/>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lowerLetter"/>
      <w:start w:val="4"/>
    </w:lvl>
  </w:abstractNum>
  <w:abstractNum w:abstractNumId="39">
    <w:nsid w:val="2CD89A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40">
    <w:nsid w:val="57E4CCAF"/>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41">
    <w:nsid w:val="7A6D8D3C"/>
    <w:multiLevelType w:val="hybridMultilevel"/>
    <w:lvl w:ilvl="0">
      <w:lvlJc w:val="left"/>
      <w:lvlText w:val="(%1)"/>
      <w:numFmt w:val="lowerLetter"/>
      <w:start w:val="4"/>
    </w:lvl>
    <w:lvl w:ilvl="1">
      <w:lvlJc w:val="left"/>
      <w:lvlText w:val="%2."/>
      <w:numFmt w:val="decimal"/>
      <w:start w:val="10"/>
    </w:lvl>
    <w:lvl w:ilvl="2">
      <w:lvlJc w:val="left"/>
      <w:lvlText w:val="%3"/>
      <w:numFmt w:val="lowerLetter"/>
      <w:start w:val="1"/>
    </w:lvl>
  </w:abstractNum>
  <w:abstractNum w:abstractNumId="42">
    <w:nsid w:val="4B588F54"/>
    <w:multiLevelType w:val="hybridMultilevel"/>
    <w:lvl w:ilvl="0">
      <w:lvlJc w:val="left"/>
      <w:lvlText w:val="%1."/>
      <w:numFmt w:val="decimal"/>
      <w:start w:val="11"/>
    </w:lvl>
    <w:lvl w:ilvl="1">
      <w:lvlJc w:val="left"/>
      <w:lvlText w:val="(%2)"/>
      <w:numFmt w:val="lowerLetter"/>
      <w:start w:val="2"/>
    </w:lvl>
  </w:abstractNum>
  <w:abstractNum w:abstractNumId="43">
    <w:nsid w:val="542289EC"/>
    <w:multiLevelType w:val="hybridMultilevel"/>
    <w:lvl w:ilvl="0">
      <w:lvlJc w:val="left"/>
      <w:lvlText w:val="%1."/>
      <w:numFmt w:val="decimal"/>
      <w:start w:val="13"/>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lowerLetter"/>
      <w:start w:val="3"/>
    </w:lvl>
  </w:abstractNum>
  <w:abstractNum w:abstractNumId="47">
    <w:nsid w:val="32FFF902"/>
    <w:multiLevelType w:val="hybridMultilevel"/>
    <w:lvl w:ilvl="0">
      <w:lvlJc w:val="left"/>
      <w:lvlText w:val="%1"/>
      <w:numFmt w:val="lowerLetter"/>
      <w:start w:val="1"/>
    </w:lvl>
    <w:lvl w:ilvl="1">
      <w:lvlJc w:val="left"/>
      <w:lvlText w:val="(%2)"/>
      <w:numFmt w:val="lowerLetter"/>
      <w:start w:val="5"/>
    </w:lvl>
  </w:abstractNum>
  <w:abstractNum w:abstractNumId="48">
    <w:nsid w:val="684A481A"/>
    <w:multiLevelType w:val="hybridMultilevel"/>
    <w:lvl w:ilvl="0">
      <w:lvlJc w:val="left"/>
      <w:lvlText w:val="(%1)"/>
      <w:numFmt w:val="lowerLetter"/>
      <w:start w:val="9"/>
    </w:lvl>
    <w:lvl w:ilvl="1">
      <w:lvlJc w:val="left"/>
      <w:lvlText w:val="(%2)"/>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2024-01-19T05:28:49Z</dcterms:created>
  <dcterms:modified xsi:type="dcterms:W3CDTF">2024-01-19T05:28:49Z</dcterms:modified>
</cp:coreProperties>
</file>