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Alector,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080" w:type="dxa"/>
        <w:tblCellMar>
          <w:top w:w="0" w:type="dxa"/>
          <w:left w:w="0" w:type="dxa"/>
          <w:bottom w:w="0" w:type="dxa"/>
          <w:right w:w="0" w:type="dxa"/>
        </w:tblCellMar>
      </w:tblPr>
      <w:tr>
        <w:trPr>
          <w:trHeight w:val="222"/>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001-38792</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82-2933343</w:t>
            </w:r>
          </w:p>
        </w:tc>
      </w:tr>
      <w:tr>
        <w:trPr>
          <w:trHeight w:val="149"/>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20" w:type="dxa"/>
            <w:vAlign w:val="bottom"/>
          </w:tcPr>
          <w:p>
            <w:pPr>
              <w:jc w:val="center"/>
              <w:ind w:right="2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120" w:type="dxa"/>
            <w:vAlign w:val="bottom"/>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131 Oyster Point Blvd.</w:t>
            </w:r>
          </w:p>
        </w:tc>
        <w:tc>
          <w:tcPr>
            <w:tcW w:w="32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120" w:type="dxa"/>
            <w:vAlign w:val="bottom"/>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Suite 600</w:t>
            </w:r>
          </w:p>
        </w:tc>
        <w:tc>
          <w:tcPr>
            <w:tcW w:w="322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120" w:type="dxa"/>
            <w:vAlign w:val="bottom"/>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322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78"/>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231-5660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81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356"/>
        </w:trPr>
        <w:tc>
          <w:tcPr>
            <w:tcW w:w="3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38"/>
        </w:trPr>
        <w:tc>
          <w:tcPr>
            <w:tcW w:w="312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12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Common Stock</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ALEC</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17, 2026, Alector, Inc. (“Alector”) held its 2026 annual meeting of stockholders (the “Annual Meeting”). At the Annual Meeting, Alector’s stockholders voted on three proposals, each of which is described in more detail in the definitive proxy statement filed with the U.S. Securities and Exchange Commission on April 28, 2026. The following is a brief description of each matter voted on and the certified results, including the number of votes cast for and against each matter, and if applicable, the number of abstentions and broker non-votes with respect to each matter.</w:t>
      </w:r>
    </w:p>
    <w:p>
      <w:pPr>
        <w:spacing w:after="0" w:line="180" w:lineRule="exact"/>
        <w:rPr>
          <w:sz w:val="20"/>
          <w:szCs w:val="20"/>
          <w:color w:val="auto"/>
        </w:rPr>
      </w:pPr>
    </w:p>
    <w:p>
      <w:pPr>
        <w:ind w:firstLine="8"/>
        <w:spacing w:after="0" w:line="282" w:lineRule="auto"/>
        <w:tabs>
          <w:tab w:leader="none" w:pos="20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 nominees were elected to serve until Alector’s 2029 annual meeting of stockholders and until their successors are elected and qualified. The voting results were as follows:</w:t>
      </w:r>
    </w:p>
    <w:p>
      <w:pPr>
        <w:spacing w:after="0" w:line="158"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 Name</w:t>
            </w:r>
          </w:p>
        </w:tc>
        <w:tc>
          <w:tcPr>
            <w:tcW w:w="264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5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19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Broker Non-Vote</w:t>
            </w:r>
          </w:p>
        </w:tc>
      </w:tr>
      <w:tr>
        <w:trPr>
          <w:trHeight w:val="257"/>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Elizabeth Garofalo, M.D.</w:t>
            </w:r>
          </w:p>
        </w:tc>
        <w:tc>
          <w:tcPr>
            <w:tcW w:w="26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8"/>
              </w:rPr>
              <w:t>60,256,636</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899,318</w:t>
            </w:r>
          </w:p>
        </w:tc>
        <w:tc>
          <w:tcPr>
            <w:tcW w:w="198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8"/>
              </w:rPr>
              <w:t>36,697,144</w:t>
            </w:r>
          </w:p>
        </w:tc>
      </w:tr>
      <w:tr>
        <w:trPr>
          <w:trHeight w:val="257"/>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Errol De Souza, Ph.D.</w:t>
            </w:r>
          </w:p>
        </w:tc>
        <w:tc>
          <w:tcPr>
            <w:tcW w:w="26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8"/>
              </w:rPr>
              <w:t>60,461,939</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694,016</w:t>
            </w:r>
          </w:p>
        </w:tc>
        <w:tc>
          <w:tcPr>
            <w:tcW w:w="198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8"/>
              </w:rPr>
              <w:t>36,697,144</w:t>
            </w:r>
          </w:p>
        </w:tc>
      </w:tr>
      <w:tr>
        <w:trPr>
          <w:trHeight w:val="257"/>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Kristine Yaffe, M.D.</w:t>
            </w:r>
          </w:p>
        </w:tc>
        <w:tc>
          <w:tcPr>
            <w:tcW w:w="26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8"/>
              </w:rPr>
              <w:t>45,733,503</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15,422,452</w:t>
            </w:r>
          </w:p>
        </w:tc>
        <w:tc>
          <w:tcPr>
            <w:tcW w:w="198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8"/>
              </w:rPr>
              <w:t>36,697,144</w:t>
            </w:r>
          </w:p>
        </w:tc>
      </w:tr>
    </w:tbl>
    <w:p>
      <w:pPr>
        <w:spacing w:after="0" w:line="238" w:lineRule="exact"/>
        <w:rPr>
          <w:sz w:val="20"/>
          <w:szCs w:val="20"/>
          <w:color w:val="auto"/>
        </w:rPr>
      </w:pPr>
    </w:p>
    <w:p>
      <w:pPr>
        <w:ind w:firstLine="8"/>
        <w:spacing w:after="0" w:line="282" w:lineRule="auto"/>
        <w:tabs>
          <w:tab w:leader="none" w:pos="19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ratified the appointment of Ernst &amp; Young LLP as Alector’s independent registered accounting firm for the fiscal year ending December 31, 2026. The voting results were as follows:</w:t>
      </w:r>
    </w:p>
    <w:p>
      <w:pPr>
        <w:sectPr>
          <w:pgSz w:w="11900" w:h="16838" w:orient="portrait"/>
          <w:cols w:equalWidth="0" w:num="1">
            <w:col w:w="11240"/>
          </w:cols>
          <w:pgMar w:left="320" w:top="1089" w:right="339" w:bottom="1440" w:gutter="0" w:footer="0" w:header="0"/>
        </w:sectPr>
      </w:pPr>
    </w:p>
    <w:p>
      <w:pPr>
        <w:spacing w:after="0" w:line="1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Votes For</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7"/>
          <w:szCs w:val="17"/>
          <w:b w:val="1"/>
          <w:bCs w:val="1"/>
          <w:color w:val="auto"/>
        </w:rPr>
        <w:t>Votes Against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Abstentions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Broker Non-Vote</w:t>
      </w:r>
    </w:p>
    <w:p>
      <w:pPr>
        <w:spacing w:after="0" w:line="54" w:lineRule="exact"/>
        <w:rPr>
          <w:sz w:val="20"/>
          <w:szCs w:val="20"/>
          <w:color w:val="auto"/>
        </w:rPr>
      </w:pPr>
    </w:p>
    <w:p>
      <w:pPr>
        <w:sectPr>
          <w:pgSz w:w="11900" w:h="16838" w:orient="portrait"/>
          <w:cols w:equalWidth="0" w:num="4">
            <w:col w:w="3040" w:space="720"/>
            <w:col w:w="2100" w:space="720"/>
            <w:col w:w="1820" w:space="720"/>
            <w:col w:w="2120"/>
          </w:cols>
          <w:pgMar w:left="320" w:top="1089" w:right="339" w:bottom="1440" w:gutter="0" w:footer="0" w:header="0"/>
          <w:type w:val="continuous"/>
        </w:sectPr>
      </w:pPr>
    </w:p>
    <w:p>
      <w:pPr>
        <w:ind w:left="1120"/>
        <w:spacing w:after="0"/>
        <w:rPr>
          <w:sz w:val="20"/>
          <w:szCs w:val="20"/>
          <w:color w:val="auto"/>
        </w:rPr>
      </w:pPr>
      <w:r>
        <w:rPr>
          <w:rFonts w:ascii="Times New Roman" w:cs="Times New Roman" w:eastAsia="Times New Roman" w:hAnsi="Times New Roman"/>
          <w:sz w:val="18"/>
          <w:szCs w:val="18"/>
          <w:color w:val="auto"/>
        </w:rPr>
        <w:t>97,717,750</w:t>
      </w:r>
    </w:p>
    <w:p>
      <w:pPr>
        <w:spacing w:after="0" w:line="20" w:lineRule="exact"/>
        <w:rPr>
          <w:sz w:val="20"/>
          <w:szCs w:val="20"/>
          <w:color w:val="auto"/>
        </w:rPr>
      </w:pPr>
      <w:r>
        <w:rPr>
          <w:sz w:val="20"/>
          <w:szCs w:val="20"/>
          <w:color w:val="auto"/>
        </w:rPr>
        <w:br w:type="column"/>
      </w:r>
    </w:p>
    <w:p>
      <w:pPr>
        <w:jc w:val="center"/>
        <w:ind w:right="1540"/>
        <w:spacing w:after="0"/>
        <w:rPr>
          <w:sz w:val="20"/>
          <w:szCs w:val="20"/>
          <w:color w:val="auto"/>
        </w:rPr>
      </w:pPr>
      <w:r>
        <w:rPr>
          <w:rFonts w:ascii="Times New Roman" w:cs="Times New Roman" w:eastAsia="Times New Roman" w:hAnsi="Times New Roman"/>
          <w:sz w:val="18"/>
          <w:szCs w:val="18"/>
          <w:color w:val="auto"/>
        </w:rPr>
        <w:t>52,302</w:t>
      </w:r>
    </w:p>
    <w:p>
      <w:pPr>
        <w:spacing w:after="0" w:line="20" w:lineRule="exact"/>
        <w:rPr>
          <w:sz w:val="20"/>
          <w:szCs w:val="20"/>
          <w:color w:val="auto"/>
        </w:rPr>
      </w:pPr>
      <w:r>
        <w:rPr>
          <w:sz w:val="20"/>
          <w:szCs w:val="20"/>
          <w:color w:val="auto"/>
        </w:rPr>
        <w:br w:type="column"/>
      </w:r>
    </w:p>
    <w:p>
      <w:pPr>
        <w:jc w:val="center"/>
        <w:ind w:right="1720"/>
        <w:spacing w:after="0"/>
        <w:rPr>
          <w:sz w:val="20"/>
          <w:szCs w:val="20"/>
          <w:color w:val="auto"/>
        </w:rPr>
      </w:pPr>
      <w:r>
        <w:rPr>
          <w:rFonts w:ascii="Times New Roman" w:cs="Times New Roman" w:eastAsia="Times New Roman" w:hAnsi="Times New Roman"/>
          <w:sz w:val="18"/>
          <w:szCs w:val="18"/>
          <w:color w:val="auto"/>
        </w:rPr>
        <w:t>83,047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0</w:t>
      </w:r>
    </w:p>
    <w:p>
      <w:pPr>
        <w:spacing w:after="0" w:line="200" w:lineRule="exact"/>
        <w:rPr>
          <w:sz w:val="20"/>
          <w:szCs w:val="20"/>
          <w:color w:val="auto"/>
        </w:rPr>
      </w:pPr>
    </w:p>
    <w:p>
      <w:pPr>
        <w:sectPr>
          <w:pgSz w:w="11900" w:h="16838" w:orient="portrait"/>
          <w:cols w:equalWidth="0" w:num="4">
            <w:col w:w="3320" w:space="720"/>
            <w:col w:w="2040" w:space="720"/>
            <w:col w:w="2220" w:space="720"/>
            <w:col w:w="1500"/>
          </w:cols>
          <w:pgMar w:left="320" w:top="1089" w:right="339" w:bottom="1440" w:gutter="0" w:footer="0" w:header="0"/>
          <w:type w:val="continuous"/>
        </w:sectPr>
      </w:pPr>
    </w:p>
    <w:p>
      <w:pPr>
        <w:spacing w:after="0" w:line="66" w:lineRule="exact"/>
        <w:rPr>
          <w:sz w:val="20"/>
          <w:szCs w:val="20"/>
          <w:color w:val="auto"/>
        </w:rPr>
      </w:pPr>
    </w:p>
    <w:p>
      <w:pPr>
        <w:ind w:right="20" w:firstLine="8"/>
        <w:spacing w:after="0" w:line="282" w:lineRule="auto"/>
        <w:tabs>
          <w:tab w:leader="none" w:pos="18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approved, on a non-binding advisory basis, the compensation of Alector’s named executive officers as disclosed in the proxy statement for the Annual Meeting, known as the Say-on-Pay vote. The voting results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Broker Non-Vote</w:t>
            </w:r>
          </w:p>
        </w:tc>
      </w:tr>
      <w:tr>
        <w:trPr>
          <w:trHeight w:val="257"/>
        </w:trPr>
        <w:tc>
          <w:tcPr>
            <w:tcW w:w="284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58,652,335</w:t>
            </w:r>
          </w:p>
        </w:tc>
        <w:tc>
          <w:tcPr>
            <w:tcW w:w="28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2,492,538</w:t>
            </w:r>
          </w:p>
        </w:tc>
        <w:tc>
          <w:tcPr>
            <w:tcW w:w="26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11,082</w:t>
            </w:r>
          </w:p>
        </w:tc>
        <w:tc>
          <w:tcPr>
            <w:tcW w:w="29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36,697,144</w:t>
            </w:r>
          </w:p>
        </w:tc>
      </w:tr>
      <w:tr>
        <w:trPr>
          <w:trHeight w:val="1020"/>
        </w:trPr>
        <w:tc>
          <w:tcPr>
            <w:tcW w:w="284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ALECTOR,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17, 2026</w:t>
      </w:r>
      <w:r>
        <w:rPr>
          <w:sz w:val="20"/>
          <w:szCs w:val="20"/>
          <w:color w:val="auto"/>
        </w:rPr>
        <w:tab/>
      </w:r>
      <w:r>
        <w:rPr>
          <w:rFonts w:ascii="Times New Roman" w:cs="Times New Roman" w:eastAsia="Times New Roman" w:hAnsi="Times New Roman"/>
          <w:sz w:val="18"/>
          <w:szCs w:val="18"/>
          <w:color w:val="auto"/>
        </w:rPr>
        <w:t>By:</w:t>
        <w:tab/>
        <w:t>/s/Arnon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Arnon Rosenthal, Ph.D.</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Co-Founder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1104900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2026-06-17T15:11:33Z</dcterms:created>
  <dcterms:modified xsi:type="dcterms:W3CDTF">2026-06-17T15:11:33Z</dcterms:modified>
</cp:coreProperties>
</file>