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ALECTOR,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014442 107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40"/>
        <w:spacing w:after="0"/>
        <w:rPr>
          <w:sz w:val="24"/>
          <w:szCs w:val="24"/>
          <w:color w:val="auto"/>
        </w:rPr>
      </w:pPr>
      <w:r>
        <w:rPr>
          <w:rFonts w:ascii="Arial" w:cs="Arial" w:eastAsia="Arial" w:hAnsi="Arial"/>
          <w:sz w:val="16"/>
          <w:szCs w:val="16"/>
          <w:color w:val="auto"/>
        </w:rPr>
        <w:t>The information required on the remainder of this cover page shall not be deemed to be “filed” for the purpose of Section 18 of the Securities</w:t>
      </w:r>
    </w:p>
    <w:p>
      <w:pPr>
        <w:spacing w:after="0" w:line="46"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014442 107</w:t>
      </w:r>
    </w:p>
    <w:p>
      <w:pPr>
        <w:spacing w:after="0" w:line="266"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6926580" cy="5357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357495"/>
                    </a:xfrm>
                    <a:prstGeom prst="rect">
                      <a:avLst/>
                    </a:prstGeom>
                    <a:noFill/>
                  </pic:spPr>
                </pic:pic>
              </a:graphicData>
            </a:graphic>
          </wp:anchor>
        </w:drawing>
      </w:r>
    </w:p>
    <w:p>
      <w:pPr>
        <w:spacing w:after="0" w:line="218"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Arnon Rosenthal</w:t>
      </w:r>
    </w:p>
    <w:p>
      <w:pPr>
        <w:spacing w:after="0" w:line="36"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16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2,630,134</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0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3,930,375</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0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2,630,134</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3,930,375</w:t>
      </w:r>
    </w:p>
    <w:p>
      <w:pPr>
        <w:spacing w:after="0" w:line="36" w:lineRule="exact"/>
        <w:rPr>
          <w:sz w:val="20"/>
          <w:szCs w:val="20"/>
          <w:color w:val="auto"/>
        </w:rPr>
      </w:pPr>
    </w:p>
    <w:p>
      <w:pPr>
        <w:ind w:left="604" w:hanging="357"/>
        <w:spacing w:after="0"/>
        <w:tabs>
          <w:tab w:leader="none" w:pos="6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6,560,509</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36" w:lineRule="exact"/>
        <w:rPr>
          <w:rFonts w:ascii="Arial" w:cs="Arial" w:eastAsia="Arial" w:hAnsi="Arial"/>
          <w:sz w:val="18"/>
          <w:szCs w:val="18"/>
          <w:color w:val="auto"/>
        </w:rPr>
      </w:pPr>
    </w:p>
    <w:p>
      <w:pPr>
        <w:ind w:left="624" w:right="5960" w:hanging="467"/>
        <w:spacing w:after="0" w:line="547"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ind w:left="424" w:right="540" w:hanging="424"/>
        <w:spacing w:after="0" w:line="291" w:lineRule="auto"/>
        <w:tabs>
          <w:tab w:leader="none" w:pos="424" w:val="left"/>
        </w:tabs>
        <w:numPr>
          <w:ilvl w:val="0"/>
          <w:numId w:val="9"/>
        </w:numPr>
        <w:rPr>
          <w:rFonts w:ascii="Arial" w:cs="Arial" w:eastAsia="Arial" w:hAnsi="Arial"/>
          <w:sz w:val="13"/>
          <w:szCs w:val="13"/>
          <w:color w:val="auto"/>
        </w:rPr>
      </w:pPr>
      <w:r>
        <w:rPr>
          <w:rFonts w:ascii="Arial" w:cs="Arial" w:eastAsia="Arial" w:hAnsi="Arial"/>
          <w:sz w:val="16"/>
          <w:szCs w:val="16"/>
          <w:color w:val="auto"/>
        </w:rPr>
        <w:t>Consists of (i) 2,630,134 shares of common stock held of record by Arnon Rosenthal (the “Reporting Person”) and (ii) 1,174,908 shares of common stock that are issuable upon exercise of outstanding options within 60 days of December 31, 2021 to the Reporting Person.</w:t>
      </w:r>
    </w:p>
    <w:p>
      <w:pPr>
        <w:ind w:left="424" w:hanging="424"/>
        <w:spacing w:after="0" w:line="281" w:lineRule="auto"/>
        <w:tabs>
          <w:tab w:leader="none" w:pos="424" w:val="left"/>
        </w:tabs>
        <w:numPr>
          <w:ilvl w:val="0"/>
          <w:numId w:val="9"/>
        </w:numPr>
        <w:rPr>
          <w:rFonts w:ascii="Arial" w:cs="Arial" w:eastAsia="Arial" w:hAnsi="Arial"/>
          <w:sz w:val="13"/>
          <w:szCs w:val="13"/>
          <w:color w:val="auto"/>
        </w:rPr>
      </w:pPr>
      <w:r>
        <w:rPr>
          <w:rFonts w:ascii="Arial" w:cs="Arial" w:eastAsia="Arial" w:hAnsi="Arial"/>
          <w:sz w:val="16"/>
          <w:szCs w:val="16"/>
          <w:color w:val="auto"/>
        </w:rPr>
        <w:t>Consists of (i) 1,972,875 shares of common stock held of record by The Rosenthal Family Revocable Trust Dated November 4, 1994, as restated on June 9, 1999, for which the Reporting Person serves as trustee; (ii) 652,500 shares of common stock held of record by The Adi Rosenthal 2007 Trust dated March 27, 2007, for which the Reporting Person serves as trustee; (iii) 652,500 shares of common stock held of record by The Noam Rosenthal 2007 Trust dated March 27, 2007, for which the Reporting Person serves as trustee and (iv) 652,500 shares of common stock held of record by The Shani Rosenthal 2007 Trust dated March 27, 2007, for which the Reporting Person serves as trustee.</w:t>
      </w:r>
    </w:p>
    <w:p>
      <w:pPr>
        <w:spacing w:after="0" w:line="2" w:lineRule="exact"/>
        <w:rPr>
          <w:rFonts w:ascii="Arial" w:cs="Arial" w:eastAsia="Arial" w:hAnsi="Arial"/>
          <w:sz w:val="13"/>
          <w:szCs w:val="13"/>
          <w:color w:val="auto"/>
        </w:rPr>
      </w:pPr>
    </w:p>
    <w:p>
      <w:pPr>
        <w:ind w:left="424" w:right="360" w:hanging="424"/>
        <w:spacing w:after="0" w:line="323" w:lineRule="auto"/>
        <w:tabs>
          <w:tab w:leader="none" w:pos="424" w:val="left"/>
        </w:tabs>
        <w:numPr>
          <w:ilvl w:val="0"/>
          <w:numId w:val="9"/>
        </w:numPr>
        <w:rPr>
          <w:rFonts w:ascii="Arial" w:cs="Arial" w:eastAsia="Arial" w:hAnsi="Arial"/>
          <w:sz w:val="13"/>
          <w:szCs w:val="13"/>
          <w:color w:val="auto"/>
        </w:rPr>
      </w:pPr>
      <w:r>
        <w:rPr>
          <w:rFonts w:ascii="Arial" w:cs="Arial" w:eastAsia="Arial" w:hAnsi="Arial"/>
          <w:sz w:val="16"/>
          <w:szCs w:val="16"/>
          <w:color w:val="auto"/>
        </w:rPr>
        <w:t>Based on 81,276,097 shares of the Issuer’s common stock outstanding as of October 31, 2021, as reported in the Issuer’s Quarterly Report on Form 10-Q for the quarterly period ended September 30, 2021, filed with the Securities and Exchange Commission on November 4, 2021.</w:t>
      </w:r>
    </w:p>
    <w:p>
      <w:pPr>
        <w:sectPr>
          <w:pgSz w:w="11900" w:h="16838" w:orient="portrait"/>
          <w:cols w:equalWidth="0" w:num="1">
            <w:col w:w="10964"/>
          </w:cols>
          <w:pgMar w:left="436" w:top="274"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Alector, Inc.</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Oyster Point Blvd., Suite 600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San Francisco, California 94080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Names of Persons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Arnon Rosenthal (the “Reporting Person”)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Address or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business office address of the Reporting Person is: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Alector,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 Oyster Point Blvd., Suite 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San Francisco, California 94080</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Reference is made to the response to item 4 on page 2 of this Schedule 13G (this “Schedule”), which responses are incorporated herein by reference.</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Title and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par value $0.0001 per share.</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014442 107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rFonts w:ascii="Arial" w:cs="Arial" w:eastAsia="Arial" w:hAnsi="Arial"/>
          <w:sz w:val="18"/>
          <w:szCs w:val="18"/>
          <w:b w:val="1"/>
          <w:bCs w:val="1"/>
          <w:color w:val="auto"/>
        </w:rPr>
        <w:t xml:space="preserve"> If this statement is filed pursuant to Rules 13d-1(b) or 13d-2(b) or (c), check whether the person filing is 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Reference is hereby made to the responses to items 5-9 and 11 of page 2, which responses are incorporated herein by reference.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80"/>
          </w:cols>
          <w:pgMar w:left="440" w:top="270" w:right="1079" w:bottom="1440" w:gutter="0" w:footer="0" w:header="0"/>
        </w:sectPr>
      </w:pPr>
    </w:p>
    <w:bookmarkStart w:id="3" w:name="page4"/>
    <w:bookmarkEnd w:id="3"/>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900"/>
          </w:cols>
          <w:pgMar w:left="440" w:top="270" w:right="5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Arnon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Arnon Rosenthal</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
    </w:lvl>
    <w:lvl w:ilvl="1">
      <w:lvlJc w:val="left"/>
      <w:lvlText w:val="%2"/>
      <w:numFmt w:val="decimal"/>
      <w:start w:val="10"/>
    </w:lvl>
  </w:abstractNum>
  <w:abstractNum w:abstractNumId="8">
    <w:nsid w:val="5BD062C2"/>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2022-02-14T16:50:21Z</dcterms:created>
  <dcterms:modified xsi:type="dcterms:W3CDTF">2022-02-14T16:50:21Z</dcterms:modified>
</cp:coreProperties>
</file>