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9"/>
          <w:szCs w:val="19"/>
          <w:b w:val="1"/>
          <w:bCs w:val="1"/>
          <w:color w:val="auto"/>
        </w:rPr>
        <w:t>As filed with the Securities and Exchange Commission on February 7, 2019</w:t>
      </w:r>
    </w:p>
    <w:p>
      <w:pPr>
        <w:spacing w:after="0" w:line="29" w:lineRule="exact"/>
        <w:rPr>
          <w:sz w:val="24"/>
          <w:szCs w:val="24"/>
          <w:color w:val="auto"/>
        </w:rPr>
      </w:pPr>
    </w:p>
    <w:p>
      <w:pPr>
        <w:ind w:left="9340"/>
        <w:spacing w:after="0"/>
        <w:rPr>
          <w:sz w:val="20"/>
          <w:szCs w:val="20"/>
          <w:color w:val="auto"/>
        </w:rPr>
      </w:pPr>
      <w:r>
        <w:rPr>
          <w:rFonts w:ascii="Arial" w:cs="Arial" w:eastAsia="Arial" w:hAnsi="Arial"/>
          <w:sz w:val="19"/>
          <w:szCs w:val="19"/>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389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7389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34"/>
          <w:szCs w:val="34"/>
          <w:b w:val="1"/>
          <w:bCs w:val="1"/>
          <w:color w:val="auto"/>
        </w:rPr>
        <w:t>UNITED STATES</w:t>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34"/>
          <w:szCs w:val="34"/>
          <w:b w:val="1"/>
          <w:bCs w:val="1"/>
          <w:color w:val="auto"/>
        </w:rPr>
        <w:t>SECURITIES AND EXCHANGE COMMISSION</w:t>
      </w:r>
    </w:p>
    <w:p>
      <w:pPr>
        <w:jc w:val="center"/>
        <w:ind w:right="-99"/>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223520</wp:posOffset>
            </wp:positionV>
            <wp:extent cx="1557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ind w:right="-99"/>
        <w:spacing w:after="0"/>
        <w:rPr>
          <w:sz w:val="20"/>
          <w:szCs w:val="20"/>
          <w:color w:val="auto"/>
        </w:rPr>
      </w:pPr>
      <w:r>
        <w:rPr>
          <w:rFonts w:ascii="Arial" w:cs="Arial" w:eastAsia="Arial" w:hAnsi="Arial"/>
          <w:sz w:val="30"/>
          <w:szCs w:val="30"/>
          <w:b w:val="1"/>
          <w:bCs w:val="1"/>
          <w:color w:val="auto"/>
        </w:rPr>
        <w:t>FORM S-8</w:t>
      </w:r>
    </w:p>
    <w:p>
      <w:pPr>
        <w:spacing w:after="0" w:line="46" w:lineRule="exact"/>
        <w:rPr>
          <w:sz w:val="24"/>
          <w:szCs w:val="24"/>
          <w:color w:val="auto"/>
        </w:rPr>
      </w:pPr>
    </w:p>
    <w:p>
      <w:pPr>
        <w:jc w:val="center"/>
        <w:ind w:right="-99"/>
        <w:spacing w:after="0"/>
        <w:rPr>
          <w:sz w:val="20"/>
          <w:szCs w:val="20"/>
          <w:color w:val="auto"/>
        </w:rPr>
      </w:pPr>
      <w:r>
        <w:rPr>
          <w:rFonts w:ascii="Arial" w:cs="Arial" w:eastAsia="Arial" w:hAnsi="Arial"/>
          <w:sz w:val="30"/>
          <w:szCs w:val="30"/>
          <w:b w:val="1"/>
          <w:bCs w:val="1"/>
          <w:color w:val="auto"/>
        </w:rPr>
        <w:t>REGISTRATION STATEMENT</w:t>
      </w:r>
    </w:p>
    <w:p>
      <w:pPr>
        <w:jc w:val="center"/>
        <w:ind w:right="-99"/>
        <w:spacing w:after="0"/>
        <w:rPr>
          <w:sz w:val="20"/>
          <w:szCs w:val="20"/>
          <w:color w:val="auto"/>
        </w:rPr>
      </w:pPr>
      <w:r>
        <w:rPr>
          <w:rFonts w:ascii="Arial" w:cs="Arial" w:eastAsia="Arial" w:hAnsi="Arial"/>
          <w:sz w:val="23"/>
          <w:szCs w:val="23"/>
          <w:b w:val="1"/>
          <w:bCs w:val="1"/>
          <w:i w:val="1"/>
          <w:iCs w:val="1"/>
          <w:color w:val="auto"/>
        </w:rPr>
        <w:t>UNDER</w:t>
      </w:r>
    </w:p>
    <w:p>
      <w:pPr>
        <w:jc w:val="center"/>
        <w:ind w:right="-99"/>
        <w:spacing w:after="0"/>
        <w:rPr>
          <w:sz w:val="20"/>
          <w:szCs w:val="20"/>
          <w:color w:val="auto"/>
        </w:rPr>
      </w:pPr>
      <w:r>
        <w:rPr>
          <w:rFonts w:ascii="Arial" w:cs="Arial" w:eastAsia="Arial" w:hAnsi="Arial"/>
          <w:sz w:val="23"/>
          <w:szCs w:val="23"/>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214630</wp:posOffset>
            </wp:positionV>
            <wp:extent cx="155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99"/>
        <w:spacing w:after="0"/>
        <w:rPr>
          <w:sz w:val="20"/>
          <w:szCs w:val="20"/>
          <w:color w:val="auto"/>
        </w:rPr>
      </w:pPr>
      <w:r>
        <w:rPr>
          <w:rFonts w:ascii="Arial" w:cs="Arial" w:eastAsia="Arial" w:hAnsi="Arial"/>
          <w:sz w:val="42"/>
          <w:szCs w:val="42"/>
          <w:b w:val="1"/>
          <w:bCs w:val="1"/>
          <w:color w:val="auto"/>
        </w:rPr>
        <w:t>ALECTOR, INC.</w:t>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222250</wp:posOffset>
            </wp:positionV>
            <wp:extent cx="1557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tbl>
      <w:tblPr>
        <w:tblLayout w:type="fixed"/>
        <w:tblInd w:w="1940" w:type="dxa"/>
        <w:tblCellMar>
          <w:top w:w="0" w:type="dxa"/>
          <w:left w:w="0" w:type="dxa"/>
          <w:bottom w:w="0" w:type="dxa"/>
          <w:right w:w="0" w:type="dxa"/>
        </w:tblCellMar>
      </w:tblPr>
      <w:tr>
        <w:trPr>
          <w:trHeight w:val="225"/>
        </w:trPr>
        <w:tc>
          <w:tcPr>
            <w:tcW w:w="4140" w:type="dxa"/>
            <w:vAlign w:val="bottom"/>
          </w:tcPr>
          <w:p>
            <w:pPr>
              <w:jc w:val="center"/>
              <w:ind w:right="2058"/>
              <w:spacing w:after="0"/>
              <w:rPr>
                <w:sz w:val="20"/>
                <w:szCs w:val="20"/>
                <w:color w:val="auto"/>
              </w:rPr>
            </w:pPr>
            <w:r>
              <w:rPr>
                <w:rFonts w:ascii="Arial" w:cs="Arial" w:eastAsia="Arial" w:hAnsi="Arial"/>
                <w:sz w:val="19"/>
                <w:szCs w:val="19"/>
                <w:b w:val="1"/>
                <w:bCs w:val="1"/>
                <w:color w:val="auto"/>
                <w:w w:val="91"/>
              </w:rPr>
              <w:t>Delaware</w:t>
            </w:r>
          </w:p>
        </w:tc>
        <w:tc>
          <w:tcPr>
            <w:tcW w:w="3320" w:type="dxa"/>
            <w:vAlign w:val="bottom"/>
          </w:tcPr>
          <w:p>
            <w:pPr>
              <w:jc w:val="center"/>
              <w:ind w:left="2078"/>
              <w:spacing w:after="0"/>
              <w:rPr>
                <w:sz w:val="20"/>
                <w:szCs w:val="20"/>
                <w:color w:val="auto"/>
              </w:rPr>
            </w:pPr>
            <w:r>
              <w:rPr>
                <w:rFonts w:ascii="Arial" w:cs="Arial" w:eastAsia="Arial" w:hAnsi="Arial"/>
                <w:sz w:val="19"/>
                <w:szCs w:val="19"/>
                <w:b w:val="1"/>
                <w:bCs w:val="1"/>
                <w:color w:val="auto"/>
                <w:w w:val="90"/>
              </w:rPr>
              <w:t>82-2933343</w:t>
            </w:r>
          </w:p>
        </w:tc>
      </w:tr>
      <w:tr>
        <w:trPr>
          <w:trHeight w:val="157"/>
        </w:trPr>
        <w:tc>
          <w:tcPr>
            <w:tcW w:w="4140" w:type="dxa"/>
            <w:vAlign w:val="bottom"/>
          </w:tcPr>
          <w:p>
            <w:pPr>
              <w:jc w:val="center"/>
              <w:ind w:right="2078"/>
              <w:spacing w:after="0" w:line="157" w:lineRule="exact"/>
              <w:rPr>
                <w:sz w:val="20"/>
                <w:szCs w:val="20"/>
                <w:color w:val="auto"/>
              </w:rPr>
            </w:pPr>
            <w:r>
              <w:rPr>
                <w:rFonts w:ascii="Arial" w:cs="Arial" w:eastAsia="Arial" w:hAnsi="Arial"/>
                <w:sz w:val="15"/>
                <w:szCs w:val="15"/>
                <w:b w:val="1"/>
                <w:bCs w:val="1"/>
                <w:color w:val="auto"/>
                <w:w w:val="92"/>
              </w:rPr>
              <w:t>(State or other jurisdiction of</w:t>
            </w:r>
          </w:p>
        </w:tc>
        <w:tc>
          <w:tcPr>
            <w:tcW w:w="3320" w:type="dxa"/>
            <w:vAlign w:val="bottom"/>
          </w:tcPr>
          <w:p>
            <w:pPr>
              <w:jc w:val="center"/>
              <w:ind w:left="2058"/>
              <w:spacing w:after="0" w:line="157" w:lineRule="exact"/>
              <w:rPr>
                <w:sz w:val="20"/>
                <w:szCs w:val="20"/>
                <w:color w:val="auto"/>
              </w:rPr>
            </w:pPr>
            <w:r>
              <w:rPr>
                <w:rFonts w:ascii="Arial" w:cs="Arial" w:eastAsia="Arial" w:hAnsi="Arial"/>
                <w:sz w:val="15"/>
                <w:szCs w:val="15"/>
                <w:b w:val="1"/>
                <w:bCs w:val="1"/>
                <w:color w:val="auto"/>
                <w:w w:val="95"/>
              </w:rPr>
              <w:t>(I.R.S. Employer</w:t>
            </w:r>
          </w:p>
        </w:tc>
      </w:tr>
      <w:tr>
        <w:trPr>
          <w:trHeight w:val="195"/>
        </w:trPr>
        <w:tc>
          <w:tcPr>
            <w:tcW w:w="4140" w:type="dxa"/>
            <w:vAlign w:val="bottom"/>
          </w:tcPr>
          <w:p>
            <w:pPr>
              <w:jc w:val="center"/>
              <w:ind w:right="2078"/>
              <w:spacing w:after="0"/>
              <w:rPr>
                <w:sz w:val="20"/>
                <w:szCs w:val="20"/>
                <w:color w:val="auto"/>
              </w:rPr>
            </w:pPr>
            <w:r>
              <w:rPr>
                <w:rFonts w:ascii="Arial" w:cs="Arial" w:eastAsia="Arial" w:hAnsi="Arial"/>
                <w:sz w:val="15"/>
                <w:szCs w:val="15"/>
                <w:b w:val="1"/>
                <w:bCs w:val="1"/>
                <w:color w:val="auto"/>
                <w:w w:val="92"/>
              </w:rPr>
              <w:t>incorporation or organization)</w:t>
            </w:r>
          </w:p>
        </w:tc>
        <w:tc>
          <w:tcPr>
            <w:tcW w:w="3320" w:type="dxa"/>
            <w:vAlign w:val="bottom"/>
          </w:tcPr>
          <w:p>
            <w:pPr>
              <w:jc w:val="center"/>
              <w:ind w:left="2058"/>
              <w:spacing w:after="0"/>
              <w:rPr>
                <w:sz w:val="20"/>
                <w:szCs w:val="20"/>
                <w:color w:val="auto"/>
              </w:rPr>
            </w:pPr>
            <w:r>
              <w:rPr>
                <w:rFonts w:ascii="Arial" w:cs="Arial" w:eastAsia="Arial" w:hAnsi="Arial"/>
                <w:sz w:val="15"/>
                <w:szCs w:val="15"/>
                <w:b w:val="1"/>
                <w:bCs w:val="1"/>
                <w:color w:val="auto"/>
                <w:w w:val="93"/>
              </w:rPr>
              <w:t>Identification No.)</w:t>
            </w:r>
          </w:p>
        </w:tc>
      </w:tr>
    </w:tbl>
    <w:p>
      <w:pPr>
        <w:spacing w:after="0" w:line="150"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151 Oyster Point Blvd. Suite 300</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South San Francisco, California 94080</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415-231-5660</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(Address of principal executive offices, including zip code)</w:t>
      </w:r>
    </w:p>
    <w:p>
      <w:pPr>
        <w:spacing w:after="0" w:line="157"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2019 Equity Incentive Plan</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2019 Employee Stock Purchase Plan</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2017 Stock Option and Grant Plan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(Full title of the plan)</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Arnon Rosenthal, Ph.D.</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Chief Executive Officer</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Alector, Inc.</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151 Oyster Point Blvd. Suite 300</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South San Francisco, California 94080</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415-231-5660</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212090</wp:posOffset>
            </wp:positionV>
            <wp:extent cx="1557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20" w:type="dxa"/>
        <w:tblCellMar>
          <w:top w:w="0" w:type="dxa"/>
          <w:left w:w="0" w:type="dxa"/>
          <w:bottom w:w="0" w:type="dxa"/>
          <w:right w:w="0" w:type="dxa"/>
        </w:tblCellMar>
      </w:tblPr>
      <w:tr>
        <w:trPr>
          <w:trHeight w:val="241"/>
        </w:trPr>
        <w:tc>
          <w:tcPr>
            <w:tcW w:w="3660" w:type="dxa"/>
            <w:vAlign w:val="bottom"/>
          </w:tcPr>
          <w:p>
            <w:pPr>
              <w:spacing w:after="0"/>
              <w:rPr>
                <w:sz w:val="20"/>
                <w:szCs w:val="20"/>
                <w:color w:val="auto"/>
              </w:rPr>
            </w:pPr>
          </w:p>
        </w:tc>
        <w:tc>
          <w:tcPr>
            <w:tcW w:w="5400" w:type="dxa"/>
            <w:vAlign w:val="bottom"/>
          </w:tcPr>
          <w:p>
            <w:pPr>
              <w:ind w:left="440"/>
              <w:spacing w:after="0"/>
              <w:rPr>
                <w:sz w:val="20"/>
                <w:szCs w:val="20"/>
                <w:color w:val="auto"/>
              </w:rPr>
            </w:pPr>
            <w:r>
              <w:rPr>
                <w:rFonts w:ascii="Arial" w:cs="Arial" w:eastAsia="Arial" w:hAnsi="Arial"/>
                <w:sz w:val="19"/>
                <w:szCs w:val="19"/>
                <w:b w:val="1"/>
                <w:bCs w:val="1"/>
                <w:i w:val="1"/>
                <w:iCs w:val="1"/>
                <w:color w:val="auto"/>
              </w:rPr>
              <w:t>Copies to:</w:t>
            </w:r>
          </w:p>
        </w:tc>
      </w:tr>
      <w:tr>
        <w:trPr>
          <w:trHeight w:val="437"/>
        </w:trPr>
        <w:tc>
          <w:tcPr>
            <w:tcW w:w="3660" w:type="dxa"/>
            <w:vAlign w:val="bottom"/>
          </w:tcPr>
          <w:p>
            <w:pPr>
              <w:jc w:val="center"/>
              <w:ind w:right="325"/>
              <w:spacing w:after="0"/>
              <w:rPr>
                <w:sz w:val="20"/>
                <w:szCs w:val="20"/>
                <w:color w:val="auto"/>
              </w:rPr>
            </w:pPr>
            <w:r>
              <w:rPr>
                <w:rFonts w:ascii="Arial" w:cs="Arial" w:eastAsia="Arial" w:hAnsi="Arial"/>
                <w:sz w:val="19"/>
                <w:szCs w:val="19"/>
                <w:b w:val="1"/>
                <w:bCs w:val="1"/>
                <w:color w:val="auto"/>
                <w:w w:val="94"/>
              </w:rPr>
              <w:t>Kenneth A. Clark</w:t>
            </w:r>
          </w:p>
        </w:tc>
        <w:tc>
          <w:tcPr>
            <w:tcW w:w="5400" w:type="dxa"/>
            <w:vAlign w:val="bottom"/>
          </w:tcPr>
          <w:p>
            <w:pPr>
              <w:jc w:val="center"/>
              <w:ind w:left="2165"/>
              <w:spacing w:after="0"/>
              <w:rPr>
                <w:sz w:val="20"/>
                <w:szCs w:val="20"/>
                <w:color w:val="auto"/>
              </w:rPr>
            </w:pPr>
            <w:r>
              <w:rPr>
                <w:rFonts w:ascii="Arial" w:cs="Arial" w:eastAsia="Arial" w:hAnsi="Arial"/>
                <w:sz w:val="19"/>
                <w:szCs w:val="19"/>
                <w:b w:val="1"/>
                <w:bCs w:val="1"/>
                <w:color w:val="auto"/>
                <w:w w:val="90"/>
              </w:rPr>
              <w:t>Stephanie Yonker, Ph.D.</w:t>
            </w:r>
          </w:p>
        </w:tc>
      </w:tr>
      <w:tr>
        <w:trPr>
          <w:trHeight w:val="228"/>
        </w:trPr>
        <w:tc>
          <w:tcPr>
            <w:tcW w:w="3660" w:type="dxa"/>
            <w:vAlign w:val="bottom"/>
          </w:tcPr>
          <w:p>
            <w:pPr>
              <w:jc w:val="center"/>
              <w:ind w:right="325"/>
              <w:spacing w:after="0"/>
              <w:rPr>
                <w:sz w:val="20"/>
                <w:szCs w:val="20"/>
                <w:color w:val="auto"/>
              </w:rPr>
            </w:pPr>
            <w:r>
              <w:rPr>
                <w:rFonts w:ascii="Arial" w:cs="Arial" w:eastAsia="Arial" w:hAnsi="Arial"/>
                <w:sz w:val="19"/>
                <w:szCs w:val="19"/>
                <w:b w:val="1"/>
                <w:bCs w:val="1"/>
                <w:color w:val="auto"/>
                <w:w w:val="93"/>
              </w:rPr>
              <w:t>Michael E. Coke</w:t>
            </w:r>
          </w:p>
        </w:tc>
        <w:tc>
          <w:tcPr>
            <w:tcW w:w="5400" w:type="dxa"/>
            <w:vAlign w:val="bottom"/>
          </w:tcPr>
          <w:p>
            <w:pPr>
              <w:jc w:val="center"/>
              <w:ind w:left="2185"/>
              <w:spacing w:after="0"/>
              <w:rPr>
                <w:sz w:val="20"/>
                <w:szCs w:val="20"/>
                <w:color w:val="auto"/>
              </w:rPr>
            </w:pPr>
            <w:r>
              <w:rPr>
                <w:rFonts w:ascii="Arial" w:cs="Arial" w:eastAsia="Arial" w:hAnsi="Arial"/>
                <w:sz w:val="19"/>
                <w:szCs w:val="19"/>
                <w:b w:val="1"/>
                <w:bCs w:val="1"/>
                <w:color w:val="auto"/>
                <w:w w:val="89"/>
              </w:rPr>
              <w:t>Vice President, Legal</w:t>
            </w:r>
          </w:p>
        </w:tc>
      </w:tr>
      <w:tr>
        <w:trPr>
          <w:trHeight w:val="228"/>
        </w:trPr>
        <w:tc>
          <w:tcPr>
            <w:tcW w:w="3660" w:type="dxa"/>
            <w:vAlign w:val="bottom"/>
          </w:tcPr>
          <w:p>
            <w:pPr>
              <w:jc w:val="center"/>
              <w:ind w:right="345"/>
              <w:spacing w:after="0"/>
              <w:rPr>
                <w:sz w:val="20"/>
                <w:szCs w:val="20"/>
                <w:color w:val="auto"/>
              </w:rPr>
            </w:pPr>
            <w:r>
              <w:rPr>
                <w:rFonts w:ascii="Arial" w:cs="Arial" w:eastAsia="Arial" w:hAnsi="Arial"/>
                <w:sz w:val="19"/>
                <w:szCs w:val="19"/>
                <w:b w:val="1"/>
                <w:bCs w:val="1"/>
                <w:color w:val="auto"/>
                <w:w w:val="90"/>
              </w:rPr>
              <w:t>Wilson Sonsini Goodrich &amp; Rosati, P.C.</w:t>
            </w:r>
          </w:p>
        </w:tc>
        <w:tc>
          <w:tcPr>
            <w:tcW w:w="5400" w:type="dxa"/>
            <w:vAlign w:val="bottom"/>
          </w:tcPr>
          <w:p>
            <w:pPr>
              <w:jc w:val="center"/>
              <w:ind w:left="2165"/>
              <w:spacing w:after="0"/>
              <w:rPr>
                <w:sz w:val="20"/>
                <w:szCs w:val="20"/>
                <w:color w:val="auto"/>
              </w:rPr>
            </w:pPr>
            <w:r>
              <w:rPr>
                <w:rFonts w:ascii="Arial" w:cs="Arial" w:eastAsia="Arial" w:hAnsi="Arial"/>
                <w:sz w:val="19"/>
                <w:szCs w:val="19"/>
                <w:b w:val="1"/>
                <w:bCs w:val="1"/>
                <w:color w:val="auto"/>
                <w:w w:val="90"/>
              </w:rPr>
              <w:t>Alector, Inc.</w:t>
            </w:r>
          </w:p>
        </w:tc>
      </w:tr>
      <w:tr>
        <w:trPr>
          <w:trHeight w:val="228"/>
        </w:trPr>
        <w:tc>
          <w:tcPr>
            <w:tcW w:w="3660" w:type="dxa"/>
            <w:vAlign w:val="bottom"/>
          </w:tcPr>
          <w:p>
            <w:pPr>
              <w:jc w:val="center"/>
              <w:ind w:right="325"/>
              <w:spacing w:after="0"/>
              <w:rPr>
                <w:sz w:val="20"/>
                <w:szCs w:val="20"/>
                <w:color w:val="auto"/>
              </w:rPr>
            </w:pPr>
            <w:r>
              <w:rPr>
                <w:rFonts w:ascii="Arial" w:cs="Arial" w:eastAsia="Arial" w:hAnsi="Arial"/>
                <w:sz w:val="19"/>
                <w:szCs w:val="19"/>
                <w:b w:val="1"/>
                <w:bCs w:val="1"/>
                <w:color w:val="auto"/>
                <w:w w:val="92"/>
              </w:rPr>
              <w:t>650 Page Mill Road</w:t>
            </w:r>
          </w:p>
        </w:tc>
        <w:tc>
          <w:tcPr>
            <w:tcW w:w="5400" w:type="dxa"/>
            <w:vAlign w:val="bottom"/>
          </w:tcPr>
          <w:p>
            <w:pPr>
              <w:jc w:val="center"/>
              <w:ind w:left="2165"/>
              <w:spacing w:after="0"/>
              <w:rPr>
                <w:sz w:val="20"/>
                <w:szCs w:val="20"/>
                <w:color w:val="auto"/>
              </w:rPr>
            </w:pPr>
            <w:r>
              <w:rPr>
                <w:rFonts w:ascii="Arial" w:cs="Arial" w:eastAsia="Arial" w:hAnsi="Arial"/>
                <w:sz w:val="19"/>
                <w:szCs w:val="19"/>
                <w:b w:val="1"/>
                <w:bCs w:val="1"/>
                <w:color w:val="auto"/>
                <w:w w:val="90"/>
              </w:rPr>
              <w:t>151 Oyster Point Blvd. Suite 300</w:t>
            </w:r>
          </w:p>
        </w:tc>
      </w:tr>
      <w:tr>
        <w:trPr>
          <w:trHeight w:val="228"/>
        </w:trPr>
        <w:tc>
          <w:tcPr>
            <w:tcW w:w="3660" w:type="dxa"/>
            <w:vAlign w:val="bottom"/>
          </w:tcPr>
          <w:p>
            <w:pPr>
              <w:jc w:val="center"/>
              <w:ind w:right="325"/>
              <w:spacing w:after="0"/>
              <w:rPr>
                <w:sz w:val="20"/>
                <w:szCs w:val="20"/>
                <w:color w:val="auto"/>
              </w:rPr>
            </w:pPr>
            <w:r>
              <w:rPr>
                <w:rFonts w:ascii="Arial" w:cs="Arial" w:eastAsia="Arial" w:hAnsi="Arial"/>
                <w:sz w:val="19"/>
                <w:szCs w:val="19"/>
                <w:b w:val="1"/>
                <w:bCs w:val="1"/>
                <w:color w:val="auto"/>
                <w:w w:val="92"/>
              </w:rPr>
              <w:t>Palo Alto, California 94304</w:t>
            </w:r>
          </w:p>
        </w:tc>
        <w:tc>
          <w:tcPr>
            <w:tcW w:w="5400" w:type="dxa"/>
            <w:vAlign w:val="bottom"/>
          </w:tcPr>
          <w:p>
            <w:pPr>
              <w:jc w:val="center"/>
              <w:ind w:left="2185"/>
              <w:spacing w:after="0"/>
              <w:rPr>
                <w:sz w:val="20"/>
                <w:szCs w:val="20"/>
                <w:color w:val="auto"/>
              </w:rPr>
            </w:pPr>
            <w:r>
              <w:rPr>
                <w:rFonts w:ascii="Arial" w:cs="Arial" w:eastAsia="Arial" w:hAnsi="Arial"/>
                <w:sz w:val="19"/>
                <w:szCs w:val="19"/>
                <w:b w:val="1"/>
                <w:bCs w:val="1"/>
                <w:color w:val="auto"/>
                <w:w w:val="90"/>
              </w:rPr>
              <w:t>South San Francisco, California 94080</w:t>
            </w:r>
          </w:p>
        </w:tc>
      </w:tr>
      <w:tr>
        <w:trPr>
          <w:trHeight w:val="247"/>
        </w:trPr>
        <w:tc>
          <w:tcPr>
            <w:tcW w:w="3660" w:type="dxa"/>
            <w:vAlign w:val="bottom"/>
          </w:tcPr>
          <w:p>
            <w:pPr>
              <w:jc w:val="center"/>
              <w:ind w:right="325"/>
              <w:spacing w:after="0"/>
              <w:rPr>
                <w:sz w:val="20"/>
                <w:szCs w:val="20"/>
                <w:color w:val="auto"/>
              </w:rPr>
            </w:pPr>
            <w:r>
              <w:rPr>
                <w:rFonts w:ascii="Arial" w:cs="Arial" w:eastAsia="Arial" w:hAnsi="Arial"/>
                <w:sz w:val="19"/>
                <w:szCs w:val="19"/>
                <w:b w:val="1"/>
                <w:bCs w:val="1"/>
                <w:color w:val="auto"/>
                <w:w w:val="92"/>
              </w:rPr>
              <w:t>(650) 493-9300</w:t>
            </w:r>
          </w:p>
        </w:tc>
        <w:tc>
          <w:tcPr>
            <w:tcW w:w="5400" w:type="dxa"/>
            <w:vAlign w:val="bottom"/>
          </w:tcPr>
          <w:p>
            <w:pPr>
              <w:jc w:val="center"/>
              <w:ind w:left="2185"/>
              <w:spacing w:after="0"/>
              <w:rPr>
                <w:sz w:val="20"/>
                <w:szCs w:val="20"/>
                <w:color w:val="auto"/>
              </w:rPr>
            </w:pPr>
            <w:r>
              <w:rPr>
                <w:rFonts w:ascii="Arial" w:cs="Arial" w:eastAsia="Arial" w:hAnsi="Arial"/>
                <w:sz w:val="19"/>
                <w:szCs w:val="19"/>
                <w:b w:val="1"/>
                <w:bCs w:val="1"/>
                <w:color w:val="auto"/>
                <w:w w:val="91"/>
              </w:rPr>
              <w:t>415-231-5660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236220</wp:posOffset>
            </wp:positionV>
            <wp:extent cx="1557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ind w:left="460"/>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6480" w:type="dxa"/>
            <w:vAlign w:val="bottom"/>
            <w:gridSpan w:val="2"/>
          </w:tcPr>
          <w:p>
            <w:pPr>
              <w:spacing w:after="0"/>
              <w:rPr>
                <w:sz w:val="20"/>
                <w:szCs w:val="20"/>
                <w:color w:val="auto"/>
              </w:rPr>
            </w:pPr>
            <w:r>
              <w:rPr>
                <w:rFonts w:ascii="Arial" w:cs="Arial" w:eastAsia="Arial" w:hAnsi="Arial"/>
                <w:sz w:val="19"/>
                <w:szCs w:val="19"/>
                <w:color w:val="auto"/>
                <w:w w:val="90"/>
              </w:rPr>
              <w:t>or an emerging growth company. See the definitions of â€œlarge accelerated filer,â€</w:t>
            </w:r>
          </w:p>
        </w:tc>
        <w:tc>
          <w:tcPr>
            <w:tcW w:w="4660" w:type="dxa"/>
            <w:vAlign w:val="bottom"/>
          </w:tcPr>
          <w:p>
            <w:pPr>
              <w:ind w:left="80"/>
              <w:spacing w:after="0"/>
              <w:rPr>
                <w:sz w:val="20"/>
                <w:szCs w:val="20"/>
                <w:color w:val="auto"/>
              </w:rPr>
            </w:pPr>
            <w:r>
              <w:rPr>
                <w:rFonts w:ascii="Arial" w:cs="Arial" w:eastAsia="Arial" w:hAnsi="Arial"/>
                <w:sz w:val="19"/>
                <w:szCs w:val="19"/>
                <w:color w:val="auto"/>
                <w:w w:val="91"/>
              </w:rPr>
              <w:t>â€œaccelerated filer,â€  â€œsmaller reporting company,â€</w:t>
            </w:r>
          </w:p>
        </w:tc>
        <w:tc>
          <w:tcPr>
            <w:tcW w:w="380" w:type="dxa"/>
            <w:vAlign w:val="bottom"/>
          </w:tcPr>
          <w:p>
            <w:pPr>
              <w:ind w:left="80"/>
              <w:spacing w:after="0"/>
              <w:rPr>
                <w:sz w:val="20"/>
                <w:szCs w:val="20"/>
                <w:color w:val="auto"/>
              </w:rPr>
            </w:pPr>
            <w:r>
              <w:rPr>
                <w:rFonts w:ascii="Arial" w:cs="Arial" w:eastAsia="Arial" w:hAnsi="Arial"/>
                <w:sz w:val="19"/>
                <w:szCs w:val="19"/>
                <w:color w:val="auto"/>
                <w:w w:val="88"/>
              </w:rPr>
              <w:t>and</w:t>
            </w:r>
          </w:p>
        </w:tc>
      </w:tr>
      <w:tr>
        <w:trPr>
          <w:trHeight w:val="241"/>
        </w:trPr>
        <w:tc>
          <w:tcPr>
            <w:tcW w:w="6480" w:type="dxa"/>
            <w:vAlign w:val="bottom"/>
            <w:gridSpan w:val="2"/>
          </w:tcPr>
          <w:p>
            <w:pPr>
              <w:spacing w:after="0"/>
              <w:rPr>
                <w:sz w:val="20"/>
                <w:szCs w:val="20"/>
                <w:color w:val="auto"/>
              </w:rPr>
            </w:pPr>
            <w:r>
              <w:rPr>
                <w:rFonts w:ascii="Arial" w:cs="Arial" w:eastAsia="Arial" w:hAnsi="Arial"/>
                <w:sz w:val="19"/>
                <w:szCs w:val="19"/>
                <w:color w:val="auto"/>
              </w:rPr>
              <w:t>â€œemerging growth companyâ€  in Rule 12b-2 of the Exchange Act.</w:t>
            </w:r>
          </w:p>
        </w:tc>
        <w:tc>
          <w:tcPr>
            <w:tcW w:w="46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56"/>
        </w:trPr>
        <w:tc>
          <w:tcPr>
            <w:tcW w:w="2240" w:type="dxa"/>
            <w:vAlign w:val="bottom"/>
          </w:tcPr>
          <w:p>
            <w:pPr>
              <w:spacing w:after="0"/>
              <w:rPr>
                <w:sz w:val="20"/>
                <w:szCs w:val="20"/>
                <w:color w:val="auto"/>
              </w:rPr>
            </w:pPr>
            <w:r>
              <w:rPr>
                <w:rFonts w:ascii="Arial" w:cs="Arial" w:eastAsia="Arial" w:hAnsi="Arial"/>
                <w:sz w:val="19"/>
                <w:szCs w:val="19"/>
                <w:color w:val="auto"/>
              </w:rPr>
              <w:t>Large accelerated filer</w:t>
            </w:r>
          </w:p>
        </w:tc>
        <w:tc>
          <w:tcPr>
            <w:tcW w:w="4240" w:type="dxa"/>
            <w:vAlign w:val="bottom"/>
          </w:tcPr>
          <w:p>
            <w:pPr>
              <w:ind w:left="180"/>
              <w:spacing w:after="0"/>
              <w:rPr>
                <w:sz w:val="20"/>
                <w:szCs w:val="20"/>
                <w:color w:val="auto"/>
              </w:rPr>
            </w:pPr>
            <w:r>
              <w:rPr>
                <w:rFonts w:ascii="Arial" w:cs="Arial" w:eastAsia="Arial" w:hAnsi="Arial"/>
                <w:sz w:val="19"/>
                <w:szCs w:val="19"/>
                <w:color w:val="auto"/>
              </w:rPr>
              <w:t>â˜</w:t>
            </w:r>
          </w:p>
        </w:tc>
        <w:tc>
          <w:tcPr>
            <w:tcW w:w="4660" w:type="dxa"/>
            <w:vAlign w:val="bottom"/>
          </w:tcPr>
          <w:p>
            <w:pPr>
              <w:ind w:left="2440"/>
              <w:spacing w:after="0"/>
              <w:rPr>
                <w:sz w:val="20"/>
                <w:szCs w:val="20"/>
                <w:color w:val="auto"/>
              </w:rPr>
            </w:pPr>
            <w:r>
              <w:rPr>
                <w:rFonts w:ascii="Arial" w:cs="Arial" w:eastAsia="Arial" w:hAnsi="Arial"/>
                <w:sz w:val="19"/>
                <w:szCs w:val="19"/>
                <w:color w:val="auto"/>
              </w:rPr>
              <w:t>Accelerated filer</w:t>
            </w:r>
          </w:p>
        </w:tc>
        <w:tc>
          <w:tcPr>
            <w:tcW w:w="380" w:type="dxa"/>
            <w:vAlign w:val="bottom"/>
          </w:tcPr>
          <w:p>
            <w:pPr>
              <w:ind w:left="220"/>
              <w:spacing w:after="0"/>
              <w:rPr>
                <w:sz w:val="20"/>
                <w:szCs w:val="20"/>
                <w:color w:val="auto"/>
              </w:rPr>
            </w:pPr>
            <w:r>
              <w:rPr>
                <w:rFonts w:ascii="Arial" w:cs="Arial" w:eastAsia="Arial" w:hAnsi="Arial"/>
                <w:sz w:val="19"/>
                <w:szCs w:val="19"/>
                <w:color w:val="auto"/>
                <w:w w:val="82"/>
              </w:rPr>
              <w:t>â˜</w:t>
            </w:r>
          </w:p>
        </w:tc>
      </w:tr>
      <w:tr>
        <w:trPr>
          <w:trHeight w:val="342"/>
        </w:trPr>
        <w:tc>
          <w:tcPr>
            <w:tcW w:w="2240" w:type="dxa"/>
            <w:vAlign w:val="bottom"/>
          </w:tcPr>
          <w:p>
            <w:pPr>
              <w:spacing w:after="0"/>
              <w:rPr>
                <w:sz w:val="20"/>
                <w:szCs w:val="20"/>
                <w:color w:val="auto"/>
              </w:rPr>
            </w:pPr>
            <w:r>
              <w:rPr>
                <w:rFonts w:ascii="Arial" w:cs="Arial" w:eastAsia="Arial" w:hAnsi="Arial"/>
                <w:sz w:val="19"/>
                <w:szCs w:val="19"/>
                <w:color w:val="auto"/>
              </w:rPr>
              <w:t>Non-accelerated filer</w:t>
            </w:r>
          </w:p>
        </w:tc>
        <w:tc>
          <w:tcPr>
            <w:tcW w:w="4240" w:type="dxa"/>
            <w:vAlign w:val="bottom"/>
          </w:tcPr>
          <w:p>
            <w:pPr>
              <w:ind w:left="180"/>
              <w:spacing w:after="0"/>
              <w:rPr>
                <w:sz w:val="20"/>
                <w:szCs w:val="20"/>
                <w:color w:val="auto"/>
              </w:rPr>
            </w:pPr>
            <w:r>
              <w:rPr>
                <w:rFonts w:ascii="Arial" w:cs="Arial" w:eastAsia="Arial" w:hAnsi="Arial"/>
                <w:sz w:val="19"/>
                <w:szCs w:val="19"/>
                <w:color w:val="auto"/>
              </w:rPr>
              <w:t>â˜’</w:t>
            </w:r>
          </w:p>
        </w:tc>
        <w:tc>
          <w:tcPr>
            <w:tcW w:w="4660" w:type="dxa"/>
            <w:vAlign w:val="bottom"/>
          </w:tcPr>
          <w:p>
            <w:pPr>
              <w:ind w:left="2440"/>
              <w:spacing w:after="0"/>
              <w:rPr>
                <w:sz w:val="20"/>
                <w:szCs w:val="20"/>
                <w:color w:val="auto"/>
              </w:rPr>
            </w:pPr>
            <w:r>
              <w:rPr>
                <w:rFonts w:ascii="Arial" w:cs="Arial" w:eastAsia="Arial" w:hAnsi="Arial"/>
                <w:sz w:val="19"/>
                <w:szCs w:val="19"/>
                <w:color w:val="auto"/>
                <w:w w:val="96"/>
              </w:rPr>
              <w:t>Smaller reporting company</w:t>
            </w:r>
          </w:p>
        </w:tc>
        <w:tc>
          <w:tcPr>
            <w:tcW w:w="380" w:type="dxa"/>
            <w:vAlign w:val="bottom"/>
          </w:tcPr>
          <w:p>
            <w:pPr>
              <w:ind w:left="220"/>
              <w:spacing w:after="0"/>
              <w:rPr>
                <w:sz w:val="20"/>
                <w:szCs w:val="20"/>
                <w:color w:val="auto"/>
              </w:rPr>
            </w:pPr>
            <w:r>
              <w:rPr>
                <w:rFonts w:ascii="Arial" w:cs="Arial" w:eastAsia="Arial" w:hAnsi="Arial"/>
                <w:sz w:val="19"/>
                <w:szCs w:val="19"/>
                <w:color w:val="auto"/>
                <w:w w:val="82"/>
              </w:rPr>
              <w:t>â˜</w:t>
            </w:r>
          </w:p>
        </w:tc>
      </w:tr>
      <w:tr>
        <w:trPr>
          <w:trHeight w:val="342"/>
        </w:trPr>
        <w:tc>
          <w:tcPr>
            <w:tcW w:w="2240" w:type="dxa"/>
            <w:vAlign w:val="bottom"/>
          </w:tcPr>
          <w:p>
            <w:pPr>
              <w:spacing w:after="0"/>
              <w:rPr>
                <w:sz w:val="20"/>
                <w:szCs w:val="20"/>
                <w:color w:val="auto"/>
              </w:rPr>
            </w:pPr>
            <w:r>
              <w:rPr>
                <w:rFonts w:ascii="Arial" w:cs="Arial" w:eastAsia="Arial" w:hAnsi="Arial"/>
                <w:sz w:val="19"/>
                <w:szCs w:val="19"/>
                <w:color w:val="auto"/>
                <w:w w:val="98"/>
              </w:rPr>
              <w:t>Emerging growth company</w:t>
            </w:r>
          </w:p>
        </w:tc>
        <w:tc>
          <w:tcPr>
            <w:tcW w:w="4240" w:type="dxa"/>
            <w:vAlign w:val="bottom"/>
          </w:tcPr>
          <w:p>
            <w:pPr>
              <w:ind w:left="180"/>
              <w:spacing w:after="0"/>
              <w:rPr>
                <w:sz w:val="20"/>
                <w:szCs w:val="20"/>
                <w:color w:val="auto"/>
              </w:rPr>
            </w:pPr>
            <w:r>
              <w:rPr>
                <w:rFonts w:ascii="Arial" w:cs="Arial" w:eastAsia="Arial" w:hAnsi="Arial"/>
                <w:sz w:val="19"/>
                <w:szCs w:val="19"/>
                <w:color w:val="auto"/>
              </w:rPr>
              <w:t>â˜’</w:t>
            </w:r>
          </w:p>
        </w:tc>
        <w:tc>
          <w:tcPr>
            <w:tcW w:w="46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72" w:lineRule="exact"/>
        <w:rPr>
          <w:sz w:val="24"/>
          <w:szCs w:val="24"/>
          <w:color w:val="auto"/>
        </w:rPr>
      </w:pPr>
    </w:p>
    <w:p>
      <w:pPr>
        <w:ind w:right="220"/>
        <w:spacing w:after="0" w:line="275"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7(a)(2)(B) of the Securities Act. â˜’</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207010</wp:posOffset>
            </wp:positionV>
            <wp:extent cx="1557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ectPr>
          <w:pgSz w:w="12240" w:h="15840" w:orient="portrait"/>
          <w:cols w:equalWidth="0" w:num="1">
            <w:col w:w="11540"/>
          </w:cols>
          <w:pgMar w:left="300" w:top="93" w:right="400" w:bottom="0" w:gutter="0" w:footer="0" w:header="0"/>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CALCULATION OF REGISTRATION FEE</w:t>
      </w:r>
    </w:p>
    <w:p>
      <w:pPr>
        <w:spacing w:after="0" w:line="9" w:lineRule="exact"/>
        <w:rPr>
          <w:sz w:val="20"/>
          <w:szCs w:val="20"/>
          <w:color w:val="auto"/>
        </w:rPr>
      </w:pPr>
    </w:p>
    <w:tbl>
      <w:tblPr>
        <w:tblLayout w:type="fixed"/>
        <w:tblInd w:w="1"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140" w:type="dxa"/>
            <w:vAlign w:val="bottom"/>
            <w:tcBorders>
              <w:top w:val="single" w:sz="8" w:color="auto"/>
              <w:right w:val="single" w:sz="8" w:color="auto"/>
            </w:tcBorders>
          </w:tcPr>
          <w:p>
            <w:pPr>
              <w:spacing w:after="0"/>
              <w:rPr>
                <w:sz w:val="13"/>
                <w:szCs w:val="13"/>
                <w:color w:val="auto"/>
              </w:rPr>
            </w:pPr>
          </w:p>
        </w:tc>
        <w:tc>
          <w:tcPr>
            <w:tcW w:w="1620" w:type="dxa"/>
            <w:vAlign w:val="bottom"/>
            <w:tcBorders>
              <w:top w:val="single" w:sz="8" w:color="auto"/>
              <w:right w:val="single" w:sz="8" w:color="auto"/>
            </w:tcBorders>
          </w:tcPr>
          <w:p>
            <w:pPr>
              <w:spacing w:after="0"/>
              <w:rPr>
                <w:sz w:val="13"/>
                <w:szCs w:val="13"/>
                <w:color w:val="auto"/>
              </w:rPr>
            </w:pPr>
          </w:p>
        </w:tc>
        <w:tc>
          <w:tcPr>
            <w:tcW w:w="1620" w:type="dxa"/>
            <w:vAlign w:val="bottom"/>
            <w:tcBorders>
              <w:top w:val="single" w:sz="8" w:color="auto"/>
              <w:right w:val="single" w:sz="8" w:color="auto"/>
            </w:tcBorders>
          </w:tcPr>
          <w:p>
            <w:pPr>
              <w:jc w:val="center"/>
              <w:spacing w:after="0" w:line="158" w:lineRule="exact"/>
              <w:rPr>
                <w:sz w:val="20"/>
                <w:szCs w:val="20"/>
                <w:color w:val="auto"/>
              </w:rPr>
            </w:pPr>
            <w:r>
              <w:rPr>
                <w:rFonts w:ascii="Arial" w:cs="Arial" w:eastAsia="Arial" w:hAnsi="Arial"/>
                <w:sz w:val="15"/>
                <w:szCs w:val="15"/>
                <w:b w:val="1"/>
                <w:bCs w:val="1"/>
                <w:color w:val="auto"/>
                <w:w w:val="89"/>
              </w:rPr>
              <w:t>Proposed</w:t>
            </w:r>
          </w:p>
        </w:tc>
        <w:tc>
          <w:tcPr>
            <w:tcW w:w="1640" w:type="dxa"/>
            <w:vAlign w:val="bottom"/>
            <w:tcBorders>
              <w:top w:val="single" w:sz="8" w:color="auto"/>
              <w:right w:val="single" w:sz="8" w:color="auto"/>
            </w:tcBorders>
          </w:tcPr>
          <w:p>
            <w:pPr>
              <w:jc w:val="center"/>
              <w:spacing w:after="0" w:line="158" w:lineRule="exact"/>
              <w:rPr>
                <w:sz w:val="20"/>
                <w:szCs w:val="20"/>
                <w:color w:val="auto"/>
              </w:rPr>
            </w:pPr>
            <w:r>
              <w:rPr>
                <w:rFonts w:ascii="Arial" w:cs="Arial" w:eastAsia="Arial" w:hAnsi="Arial"/>
                <w:sz w:val="15"/>
                <w:szCs w:val="15"/>
                <w:b w:val="1"/>
                <w:bCs w:val="1"/>
                <w:color w:val="auto"/>
                <w:w w:val="86"/>
              </w:rPr>
              <w:t>Proposed</w:t>
            </w:r>
          </w:p>
        </w:tc>
        <w:tc>
          <w:tcPr>
            <w:tcW w:w="1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14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5"/>
                <w:szCs w:val="15"/>
                <w:b w:val="1"/>
                <w:bCs w:val="1"/>
                <w:color w:val="auto"/>
                <w:w w:val="91"/>
              </w:rPr>
              <w:t>Amount</w:t>
            </w:r>
          </w:p>
        </w:tc>
        <w:tc>
          <w:tcPr>
            <w:tcW w:w="16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5"/>
                <w:szCs w:val="15"/>
                <w:b w:val="1"/>
                <w:bCs w:val="1"/>
                <w:color w:val="auto"/>
                <w:w w:val="95"/>
              </w:rPr>
              <w:t>Maximum</w:t>
            </w:r>
          </w:p>
        </w:tc>
        <w:tc>
          <w:tcPr>
            <w:tcW w:w="16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5"/>
                <w:szCs w:val="15"/>
                <w:b w:val="1"/>
                <w:bCs w:val="1"/>
                <w:color w:val="auto"/>
                <w:w w:val="98"/>
              </w:rPr>
              <w:t>Maximum</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140" w:type="dxa"/>
            <w:vAlign w:val="bottom"/>
            <w:tcBorders>
              <w:right w:val="single" w:sz="8" w:color="auto"/>
            </w:tcBorders>
          </w:tcPr>
          <w:p>
            <w:pPr>
              <w:ind w:left="1980"/>
              <w:spacing w:after="0" w:line="157" w:lineRule="exact"/>
              <w:rPr>
                <w:sz w:val="20"/>
                <w:szCs w:val="20"/>
                <w:color w:val="auto"/>
              </w:rPr>
            </w:pPr>
            <w:r>
              <w:rPr>
                <w:rFonts w:ascii="Arial" w:cs="Arial" w:eastAsia="Arial" w:hAnsi="Arial"/>
                <w:sz w:val="15"/>
                <w:szCs w:val="15"/>
                <w:b w:val="1"/>
                <w:bCs w:val="1"/>
                <w:color w:val="auto"/>
              </w:rPr>
              <w:t>Title of Securities</w:t>
            </w:r>
          </w:p>
        </w:tc>
        <w:tc>
          <w:tcPr>
            <w:tcW w:w="16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5"/>
                <w:szCs w:val="15"/>
                <w:b w:val="1"/>
                <w:bCs w:val="1"/>
                <w:color w:val="auto"/>
                <w:w w:val="89"/>
              </w:rPr>
              <w:t>to be</w:t>
            </w:r>
          </w:p>
        </w:tc>
        <w:tc>
          <w:tcPr>
            <w:tcW w:w="16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5"/>
                <w:szCs w:val="15"/>
                <w:b w:val="1"/>
                <w:bCs w:val="1"/>
                <w:color w:val="auto"/>
                <w:w w:val="94"/>
              </w:rPr>
              <w:t>Offering Price</w:t>
            </w:r>
          </w:p>
        </w:tc>
        <w:tc>
          <w:tcPr>
            <w:tcW w:w="16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5"/>
                <w:szCs w:val="15"/>
                <w:b w:val="1"/>
                <w:bCs w:val="1"/>
                <w:color w:val="auto"/>
                <w:w w:val="88"/>
              </w:rPr>
              <w:t>Aggregate</w:t>
            </w:r>
          </w:p>
        </w:tc>
        <w:tc>
          <w:tcPr>
            <w:tcW w:w="160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0"/>
              </w:rPr>
              <w:t>Amount of</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tcBorders>
              <w:bottom w:val="single" w:sz="8" w:color="auto"/>
              <w:right w:val="single" w:sz="8" w:color="auto"/>
            </w:tcBorders>
          </w:tcPr>
          <w:p>
            <w:pPr>
              <w:ind w:left="2020"/>
              <w:spacing w:after="0"/>
              <w:rPr>
                <w:sz w:val="20"/>
                <w:szCs w:val="20"/>
                <w:color w:val="auto"/>
              </w:rPr>
            </w:pPr>
            <w:r>
              <w:rPr>
                <w:rFonts w:ascii="Arial" w:cs="Arial" w:eastAsia="Arial" w:hAnsi="Arial"/>
                <w:sz w:val="15"/>
                <w:szCs w:val="15"/>
                <w:b w:val="1"/>
                <w:bCs w:val="1"/>
                <w:color w:val="auto"/>
              </w:rPr>
              <w:t>to be Registered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Registered</w:t>
            </w:r>
            <w:r>
              <w:rPr>
                <w:rFonts w:ascii="Arial" w:cs="Arial" w:eastAsia="Arial" w:hAnsi="Arial"/>
                <w:sz w:val="12"/>
                <w:szCs w:val="12"/>
                <w:b w:val="1"/>
                <w:bCs w:val="1"/>
                <w:color w:val="auto"/>
                <w:w w:val="91"/>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Per Share</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Offering Price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Registration Fee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Borders>
              <w:right w:val="single" w:sz="8" w:color="auto"/>
            </w:tcBorders>
          </w:tcPr>
          <w:p>
            <w:pPr>
              <w:spacing w:after="0" w:line="208" w:lineRule="exact"/>
              <w:rPr>
                <w:sz w:val="20"/>
                <w:szCs w:val="20"/>
                <w:color w:val="auto"/>
              </w:rPr>
            </w:pPr>
            <w:r>
              <w:rPr>
                <w:rFonts w:ascii="Arial" w:cs="Arial" w:eastAsia="Arial" w:hAnsi="Arial"/>
                <w:sz w:val="19"/>
                <w:szCs w:val="19"/>
                <w:color w:val="auto"/>
                <w:w w:val="89"/>
              </w:rPr>
              <w:t>Common Stock, $0.0001 par value per share, reserved for issuance</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2"/>
              </w:rPr>
              <w:t>7,510,532</w:t>
            </w:r>
            <w:r>
              <w:rPr>
                <w:rFonts w:ascii="Arial" w:cs="Arial" w:eastAsia="Arial" w:hAnsi="Arial"/>
                <w:sz w:val="16"/>
                <w:szCs w:val="16"/>
                <w:color w:val="auto"/>
                <w:w w:val="92"/>
              </w:rPr>
              <w:t>(2)</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0"/>
              </w:rPr>
              <w:t>$19.00</w:t>
            </w:r>
            <w:r>
              <w:rPr>
                <w:rFonts w:ascii="Arial" w:cs="Arial" w:eastAsia="Arial" w:hAnsi="Arial"/>
                <w:sz w:val="16"/>
                <w:szCs w:val="16"/>
                <w:color w:val="auto"/>
                <w:w w:val="90"/>
              </w:rPr>
              <w:t>(3)</w:t>
            </w:r>
          </w:p>
        </w:tc>
        <w:tc>
          <w:tcPr>
            <w:tcW w:w="164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1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pursuant to the 2019 Equity Incentive Plan</w:t>
            </w:r>
          </w:p>
        </w:tc>
        <w:tc>
          <w:tcPr>
            <w:tcW w:w="1620" w:type="dxa"/>
            <w:vAlign w:val="bottom"/>
            <w:tcBorders>
              <w:bottom w:val="single" w:sz="8" w:color="auto"/>
              <w:right w:val="single" w:sz="8" w:color="auto"/>
            </w:tcBorders>
            <w:vMerge w:val="continue"/>
          </w:tcPr>
          <w:p>
            <w:pPr>
              <w:spacing w:after="0"/>
              <w:rPr>
                <w:sz w:val="21"/>
                <w:szCs w:val="21"/>
                <w:color w:val="auto"/>
              </w:rPr>
            </w:pPr>
          </w:p>
        </w:tc>
        <w:tc>
          <w:tcPr>
            <w:tcW w:w="1620" w:type="dxa"/>
            <w:vAlign w:val="bottom"/>
            <w:tcBorders>
              <w:bottom w:val="single" w:sz="8" w:color="auto"/>
              <w:right w:val="single" w:sz="8" w:color="auto"/>
            </w:tcBorders>
            <w:vMerge w:val="continue"/>
          </w:tcPr>
          <w:p>
            <w:pPr>
              <w:spacing w:after="0"/>
              <w:rPr>
                <w:sz w:val="21"/>
                <w:szCs w:val="21"/>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$142,700,108</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7"/>
              </w:rPr>
              <w:t>$17,296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Borders>
              <w:right w:val="single" w:sz="8" w:color="auto"/>
            </w:tcBorders>
          </w:tcPr>
          <w:p>
            <w:pPr>
              <w:spacing w:after="0" w:line="209" w:lineRule="exact"/>
              <w:rPr>
                <w:sz w:val="20"/>
                <w:szCs w:val="20"/>
                <w:color w:val="auto"/>
              </w:rPr>
            </w:pPr>
            <w:r>
              <w:rPr>
                <w:rFonts w:ascii="Arial" w:cs="Arial" w:eastAsia="Arial" w:hAnsi="Arial"/>
                <w:sz w:val="19"/>
                <w:szCs w:val="19"/>
                <w:color w:val="auto"/>
                <w:w w:val="89"/>
              </w:rPr>
              <w:t>Common Stock, $0.0001 par value per share, reserved for issuance</w:t>
            </w:r>
          </w:p>
        </w:tc>
        <w:tc>
          <w:tcPr>
            <w:tcW w:w="16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40" w:type="dxa"/>
            <w:vAlign w:val="bottom"/>
            <w:tcBorders>
              <w:right w:val="single" w:sz="8" w:color="auto"/>
            </w:tcBorders>
          </w:tcPr>
          <w:p>
            <w:pPr>
              <w:ind w:left="160"/>
              <w:spacing w:after="0"/>
              <w:rPr>
                <w:sz w:val="20"/>
                <w:szCs w:val="20"/>
                <w:color w:val="auto"/>
              </w:rPr>
            </w:pPr>
            <w:r>
              <w:rPr>
                <w:rFonts w:ascii="Arial" w:cs="Arial" w:eastAsia="Arial" w:hAnsi="Arial"/>
                <w:sz w:val="19"/>
                <w:szCs w:val="19"/>
                <w:color w:val="auto"/>
                <w:w w:val="91"/>
              </w:rPr>
              <w:t>pursuant to options outstanding under the 2019 Equity Incentive</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0"/>
              </w:rPr>
              <w:t>316,100</w:t>
            </w:r>
            <w:r>
              <w:rPr>
                <w:rFonts w:ascii="Arial" w:cs="Arial" w:eastAsia="Arial" w:hAnsi="Arial"/>
                <w:sz w:val="16"/>
                <w:szCs w:val="16"/>
                <w:color w:val="auto"/>
                <w:w w:val="90"/>
              </w:rPr>
              <w:t>(4)</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0"/>
              </w:rPr>
              <w:t>$19.00</w:t>
            </w:r>
            <w:r>
              <w:rPr>
                <w:rFonts w:ascii="Arial" w:cs="Arial" w:eastAsia="Arial" w:hAnsi="Arial"/>
                <w:sz w:val="16"/>
                <w:szCs w:val="16"/>
                <w:color w:val="auto"/>
                <w:w w:val="90"/>
              </w:rPr>
              <w:t>(5)</w:t>
            </w:r>
          </w:p>
        </w:tc>
        <w:tc>
          <w:tcPr>
            <w:tcW w:w="1640" w:type="dxa"/>
            <w:vAlign w:val="bottom"/>
            <w:tcBorders>
              <w:righ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1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Plan</w:t>
            </w:r>
          </w:p>
        </w:tc>
        <w:tc>
          <w:tcPr>
            <w:tcW w:w="1620" w:type="dxa"/>
            <w:vAlign w:val="bottom"/>
            <w:tcBorders>
              <w:bottom w:val="single" w:sz="8" w:color="auto"/>
              <w:right w:val="single" w:sz="8" w:color="auto"/>
            </w:tcBorders>
            <w:vMerge w:val="continue"/>
          </w:tcPr>
          <w:p>
            <w:pPr>
              <w:spacing w:after="0"/>
              <w:rPr>
                <w:sz w:val="21"/>
                <w:szCs w:val="21"/>
                <w:color w:val="auto"/>
              </w:rPr>
            </w:pPr>
          </w:p>
        </w:tc>
        <w:tc>
          <w:tcPr>
            <w:tcW w:w="1620" w:type="dxa"/>
            <w:vAlign w:val="bottom"/>
            <w:tcBorders>
              <w:bottom w:val="single" w:sz="8" w:color="auto"/>
              <w:right w:val="single" w:sz="8" w:color="auto"/>
            </w:tcBorders>
            <w:vMerge w:val="continue"/>
          </w:tcPr>
          <w:p>
            <w:pPr>
              <w:spacing w:after="0"/>
              <w:rPr>
                <w:sz w:val="21"/>
                <w:szCs w:val="21"/>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$6,005,900</w:t>
            </w:r>
          </w:p>
        </w:tc>
        <w:tc>
          <w:tcPr>
            <w:tcW w:w="1600" w:type="dxa"/>
            <w:vAlign w:val="bottom"/>
            <w:tcBorders>
              <w:bottom w:val="single" w:sz="8" w:color="auto"/>
            </w:tcBorders>
          </w:tcPr>
          <w:p>
            <w:pPr>
              <w:jc w:val="center"/>
              <w:ind w:left="10"/>
              <w:spacing w:after="0"/>
              <w:rPr>
                <w:sz w:val="20"/>
                <w:szCs w:val="20"/>
                <w:color w:val="auto"/>
              </w:rPr>
            </w:pPr>
            <w:r>
              <w:rPr>
                <w:rFonts w:ascii="Arial" w:cs="Arial" w:eastAsia="Arial" w:hAnsi="Arial"/>
                <w:sz w:val="19"/>
                <w:szCs w:val="19"/>
                <w:color w:val="auto"/>
                <w:w w:val="89"/>
              </w:rPr>
              <w:t>$728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Borders>
              <w:right w:val="single" w:sz="8" w:color="auto"/>
            </w:tcBorders>
          </w:tcPr>
          <w:p>
            <w:pPr>
              <w:spacing w:after="0" w:line="209" w:lineRule="exact"/>
              <w:rPr>
                <w:sz w:val="20"/>
                <w:szCs w:val="20"/>
                <w:color w:val="auto"/>
              </w:rPr>
            </w:pPr>
            <w:r>
              <w:rPr>
                <w:rFonts w:ascii="Arial" w:cs="Arial" w:eastAsia="Arial" w:hAnsi="Arial"/>
                <w:sz w:val="19"/>
                <w:szCs w:val="19"/>
                <w:color w:val="auto"/>
                <w:w w:val="89"/>
              </w:rPr>
              <w:t>Common Stock, $0.0001 par value per share, reserved for issuance</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2"/>
              </w:rPr>
              <w:t>1,478,492</w:t>
            </w:r>
            <w:r>
              <w:rPr>
                <w:rFonts w:ascii="Arial" w:cs="Arial" w:eastAsia="Arial" w:hAnsi="Arial"/>
                <w:sz w:val="16"/>
                <w:szCs w:val="16"/>
                <w:color w:val="auto"/>
                <w:w w:val="92"/>
              </w:rPr>
              <w:t>(6)</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0"/>
              </w:rPr>
              <w:t>$16.15</w:t>
            </w:r>
            <w:r>
              <w:rPr>
                <w:rFonts w:ascii="Arial" w:cs="Arial" w:eastAsia="Arial" w:hAnsi="Arial"/>
                <w:sz w:val="16"/>
                <w:szCs w:val="16"/>
                <w:color w:val="auto"/>
                <w:w w:val="90"/>
              </w:rPr>
              <w:t>(7)</w:t>
            </w:r>
          </w:p>
        </w:tc>
        <w:tc>
          <w:tcPr>
            <w:tcW w:w="164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1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pursuant to the 2019 Employee Stock Purchase Plan</w:t>
            </w:r>
          </w:p>
        </w:tc>
        <w:tc>
          <w:tcPr>
            <w:tcW w:w="1620" w:type="dxa"/>
            <w:vAlign w:val="bottom"/>
            <w:tcBorders>
              <w:bottom w:val="single" w:sz="8" w:color="auto"/>
              <w:right w:val="single" w:sz="8" w:color="auto"/>
            </w:tcBorders>
            <w:vMerge w:val="continue"/>
          </w:tcPr>
          <w:p>
            <w:pPr>
              <w:spacing w:after="0"/>
              <w:rPr>
                <w:sz w:val="21"/>
                <w:szCs w:val="21"/>
                <w:color w:val="auto"/>
              </w:rPr>
            </w:pPr>
          </w:p>
        </w:tc>
        <w:tc>
          <w:tcPr>
            <w:tcW w:w="1620" w:type="dxa"/>
            <w:vAlign w:val="bottom"/>
            <w:tcBorders>
              <w:bottom w:val="single" w:sz="8" w:color="auto"/>
              <w:right w:val="single" w:sz="8" w:color="auto"/>
            </w:tcBorders>
            <w:vMerge w:val="continue"/>
          </w:tcPr>
          <w:p>
            <w:pPr>
              <w:spacing w:after="0"/>
              <w:rPr>
                <w:sz w:val="21"/>
                <w:szCs w:val="21"/>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$23,877,646</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9"/>
              </w:rPr>
              <w:t>$2,894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Borders>
              <w:right w:val="single" w:sz="8" w:color="auto"/>
            </w:tcBorders>
          </w:tcPr>
          <w:p>
            <w:pPr>
              <w:spacing w:after="0" w:line="209" w:lineRule="exact"/>
              <w:rPr>
                <w:sz w:val="20"/>
                <w:szCs w:val="20"/>
                <w:color w:val="auto"/>
              </w:rPr>
            </w:pPr>
            <w:r>
              <w:rPr>
                <w:rFonts w:ascii="Arial" w:cs="Arial" w:eastAsia="Arial" w:hAnsi="Arial"/>
                <w:sz w:val="19"/>
                <w:szCs w:val="19"/>
                <w:color w:val="auto"/>
                <w:w w:val="89"/>
              </w:rPr>
              <w:t>Common Stock, $0.0001 par value per share, reserved for issuance</w:t>
            </w:r>
          </w:p>
        </w:tc>
        <w:tc>
          <w:tcPr>
            <w:tcW w:w="16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40" w:type="dxa"/>
            <w:vAlign w:val="bottom"/>
            <w:tcBorders>
              <w:right w:val="single" w:sz="8" w:color="auto"/>
            </w:tcBorders>
          </w:tcPr>
          <w:p>
            <w:pPr>
              <w:ind w:left="160"/>
              <w:spacing w:after="0"/>
              <w:rPr>
                <w:sz w:val="20"/>
                <w:szCs w:val="20"/>
                <w:color w:val="auto"/>
              </w:rPr>
            </w:pPr>
            <w:r>
              <w:rPr>
                <w:rFonts w:ascii="Arial" w:cs="Arial" w:eastAsia="Arial" w:hAnsi="Arial"/>
                <w:sz w:val="19"/>
                <w:szCs w:val="19"/>
                <w:color w:val="auto"/>
                <w:w w:val="96"/>
              </w:rPr>
              <w:t>pursuant to options outstanding under the 2017 Stock Option</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2"/>
              </w:rPr>
              <w:t>5,054,313</w:t>
            </w:r>
            <w:r>
              <w:rPr>
                <w:rFonts w:ascii="Arial" w:cs="Arial" w:eastAsia="Arial" w:hAnsi="Arial"/>
                <w:sz w:val="16"/>
                <w:szCs w:val="16"/>
                <w:color w:val="auto"/>
                <w:w w:val="92"/>
              </w:rPr>
              <w:t>(8)</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2"/>
              </w:rPr>
              <w:t>$8.94</w:t>
            </w:r>
            <w:r>
              <w:rPr>
                <w:rFonts w:ascii="Arial" w:cs="Arial" w:eastAsia="Arial" w:hAnsi="Arial"/>
                <w:sz w:val="16"/>
                <w:szCs w:val="16"/>
                <w:color w:val="auto"/>
                <w:w w:val="92"/>
              </w:rPr>
              <w:t>(9)</w:t>
            </w:r>
          </w:p>
        </w:tc>
        <w:tc>
          <w:tcPr>
            <w:tcW w:w="1640" w:type="dxa"/>
            <w:vAlign w:val="bottom"/>
            <w:tcBorders>
              <w:righ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1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and Grant Plan</w:t>
            </w:r>
          </w:p>
        </w:tc>
        <w:tc>
          <w:tcPr>
            <w:tcW w:w="1620" w:type="dxa"/>
            <w:vAlign w:val="bottom"/>
            <w:tcBorders>
              <w:bottom w:val="single" w:sz="8" w:color="auto"/>
              <w:right w:val="single" w:sz="8" w:color="auto"/>
            </w:tcBorders>
            <w:vMerge w:val="continue"/>
          </w:tcPr>
          <w:p>
            <w:pPr>
              <w:spacing w:after="0"/>
              <w:rPr>
                <w:sz w:val="21"/>
                <w:szCs w:val="21"/>
                <w:color w:val="auto"/>
              </w:rPr>
            </w:pPr>
          </w:p>
        </w:tc>
        <w:tc>
          <w:tcPr>
            <w:tcW w:w="1620" w:type="dxa"/>
            <w:vAlign w:val="bottom"/>
            <w:tcBorders>
              <w:bottom w:val="single" w:sz="8" w:color="auto"/>
              <w:right w:val="single" w:sz="8" w:color="auto"/>
            </w:tcBorders>
            <w:vMerge w:val="continue"/>
          </w:tcPr>
          <w:p>
            <w:pPr>
              <w:spacing w:after="0"/>
              <w:rPr>
                <w:sz w:val="21"/>
                <w:szCs w:val="21"/>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$45,185,559</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9"/>
              </w:rPr>
              <w:t>$5,477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Borders>
              <w:right w:val="single" w:sz="8" w:color="auto"/>
            </w:tcBorders>
          </w:tcPr>
          <w:p>
            <w:pPr>
              <w:spacing w:after="0" w:line="209" w:lineRule="exact"/>
              <w:rPr>
                <w:sz w:val="20"/>
                <w:szCs w:val="20"/>
                <w:color w:val="auto"/>
              </w:rPr>
            </w:pPr>
            <w:r>
              <w:rPr>
                <w:rFonts w:ascii="Arial" w:cs="Arial" w:eastAsia="Arial" w:hAnsi="Arial"/>
                <w:sz w:val="19"/>
                <w:szCs w:val="19"/>
                <w:color w:val="auto"/>
                <w:w w:val="92"/>
              </w:rPr>
              <w:t>Shares of restricted Common Stock, $0.0001 par value per share,</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2"/>
              </w:rPr>
              <w:t>3,707,069</w:t>
            </w:r>
            <w:r>
              <w:rPr>
                <w:rFonts w:ascii="Arial" w:cs="Arial" w:eastAsia="Arial" w:hAnsi="Arial"/>
                <w:sz w:val="16"/>
                <w:szCs w:val="16"/>
                <w:color w:val="auto"/>
                <w:w w:val="92"/>
              </w:rPr>
              <w:t>(10)</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0"/>
              </w:rPr>
              <w:t>$19.00</w:t>
            </w:r>
            <w:r>
              <w:rPr>
                <w:rFonts w:ascii="Arial" w:cs="Arial" w:eastAsia="Arial" w:hAnsi="Arial"/>
                <w:sz w:val="16"/>
                <w:szCs w:val="16"/>
                <w:color w:val="auto"/>
                <w:w w:val="90"/>
              </w:rPr>
              <w:t>(11)</w:t>
            </w:r>
          </w:p>
        </w:tc>
        <w:tc>
          <w:tcPr>
            <w:tcW w:w="164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1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issued under the 2017 Stock Option and Grant Plan</w:t>
            </w:r>
          </w:p>
        </w:tc>
        <w:tc>
          <w:tcPr>
            <w:tcW w:w="1620" w:type="dxa"/>
            <w:vAlign w:val="bottom"/>
            <w:tcBorders>
              <w:bottom w:val="single" w:sz="8" w:color="auto"/>
              <w:right w:val="single" w:sz="8" w:color="auto"/>
            </w:tcBorders>
            <w:vMerge w:val="continue"/>
          </w:tcPr>
          <w:p>
            <w:pPr>
              <w:spacing w:after="0"/>
              <w:rPr>
                <w:sz w:val="21"/>
                <w:szCs w:val="21"/>
                <w:color w:val="auto"/>
              </w:rPr>
            </w:pPr>
          </w:p>
        </w:tc>
        <w:tc>
          <w:tcPr>
            <w:tcW w:w="1620" w:type="dxa"/>
            <w:vAlign w:val="bottom"/>
            <w:tcBorders>
              <w:bottom w:val="single" w:sz="8" w:color="auto"/>
              <w:right w:val="single" w:sz="8" w:color="auto"/>
            </w:tcBorders>
            <w:vMerge w:val="continue"/>
          </w:tcPr>
          <w:p>
            <w:pPr>
              <w:spacing w:after="0"/>
              <w:rPr>
                <w:sz w:val="21"/>
                <w:szCs w:val="21"/>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8"/>
              </w:rPr>
              <w:t>$70,434,311</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9"/>
              </w:rPr>
              <w:t>$8,537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TOTAL:</w:t>
            </w:r>
          </w:p>
        </w:tc>
        <w:tc>
          <w:tcPr>
            <w:tcW w:w="1620" w:type="dxa"/>
            <w:vAlign w:val="bottom"/>
            <w:tcBorders>
              <w:bottom w:val="single" w:sz="8" w:color="auto"/>
              <w:right w:val="single" w:sz="8" w:color="auto"/>
            </w:tcBorders>
          </w:tcPr>
          <w:p>
            <w:pPr>
              <w:jc w:val="right"/>
              <w:ind w:right="351"/>
              <w:spacing w:after="0"/>
              <w:rPr>
                <w:sz w:val="20"/>
                <w:szCs w:val="20"/>
                <w:color w:val="auto"/>
              </w:rPr>
            </w:pPr>
            <w:r>
              <w:rPr>
                <w:rFonts w:ascii="Arial" w:cs="Arial" w:eastAsia="Arial" w:hAnsi="Arial"/>
                <w:sz w:val="19"/>
                <w:szCs w:val="19"/>
                <w:color w:val="auto"/>
              </w:rPr>
              <w:t>18,066,506</w:t>
            </w:r>
          </w:p>
        </w:tc>
        <w:tc>
          <w:tcPr>
            <w:tcW w:w="162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$288,203,524</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7"/>
              </w:rPr>
              <w:t>$34,932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1" w:right="20" w:hanging="461"/>
        <w:spacing w:after="0" w:line="253" w:lineRule="auto"/>
        <w:tabs>
          <w:tab w:leader="none" w:pos="461" w:val="left"/>
        </w:tabs>
        <w:numPr>
          <w:ilvl w:val="0"/>
          <w:numId w:val="1"/>
        </w:numPr>
        <w:rPr>
          <w:rFonts w:ascii="Arial" w:cs="Arial" w:eastAsia="Arial" w:hAnsi="Arial"/>
          <w:sz w:val="19"/>
          <w:szCs w:val="19"/>
          <w:color w:val="auto"/>
        </w:rPr>
      </w:pPr>
      <w:r>
        <w:rPr>
          <w:rFonts w:ascii="Arial" w:cs="Arial" w:eastAsia="Arial" w:hAnsi="Arial"/>
          <w:sz w:val="19"/>
          <w:szCs w:val="19"/>
          <w:color w:val="auto"/>
        </w:rPr>
        <w:t>Pursuant to Rule 416(a) of the Securities Act of 1933, as amended (the â€œSecurities Actâ€ ), this Registration Statement covers any additional shares of the Registrantâ€™s common stock that become issuable under the 2019 Equity Incentive Plan (the â€œ2019 Planâ€ ), the 2019 Employee Stock Purchase Plan (the â€œ2019 ESPPâ€ ) and the 2017 Stock Option and Grant Plan, as amended (the â€œ2017 Planâ€ ) by reason of any stock dividend, stock split, recapitalization or other similar transaction effected without receipt of consideration that increases the number of the Registrantâ€™s outstanding shares of common stock.</w:t>
      </w:r>
    </w:p>
    <w:p>
      <w:pPr>
        <w:spacing w:after="0" w:line="2" w:lineRule="exact"/>
        <w:rPr>
          <w:rFonts w:ascii="Arial" w:cs="Arial" w:eastAsia="Arial" w:hAnsi="Arial"/>
          <w:sz w:val="19"/>
          <w:szCs w:val="19"/>
          <w:color w:val="auto"/>
        </w:rPr>
      </w:pPr>
    </w:p>
    <w:p>
      <w:pPr>
        <w:ind w:left="461" w:right="20" w:hanging="461"/>
        <w:spacing w:after="0" w:line="264" w:lineRule="auto"/>
        <w:tabs>
          <w:tab w:leader="none" w:pos="461"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7,372,056 shares of common stock reserved for issuance under the 2019 Plan, plus 138,476 shares of common stock that were reserved but not issued pursuant to any awards granted under the 2017 Plan and are not subject to any awards granted thereunder. The number of shares of common stock available under the 2019 Plan will be increased by any shares of common stock subject to awards outstanding under the 2017 Plan that, on or after the effective date of the registration statement relating to the Registrantâ€™s initial public offering, expire or otherwise terminate without having been exercised in full, are tendered to or withheld by the Registrant for payment of an exercise price or for tax withholding obligations, or are forfeited to or repurchased by the Registrant due to failure to vest. The maximum number of shares of common stock that can be added to the 2019 Plan from the 2017 Plan is 5,184,750 shares. See footnote 8 below.</w:t>
      </w:r>
    </w:p>
    <w:p>
      <w:pPr>
        <w:spacing w:after="0" w:line="3" w:lineRule="exact"/>
        <w:rPr>
          <w:rFonts w:ascii="Arial" w:cs="Arial" w:eastAsia="Arial" w:hAnsi="Arial"/>
          <w:sz w:val="18"/>
          <w:szCs w:val="18"/>
          <w:color w:val="auto"/>
        </w:rPr>
      </w:pPr>
    </w:p>
    <w:p>
      <w:pPr>
        <w:jc w:val="both"/>
        <w:ind w:left="461" w:right="240" w:hanging="461"/>
        <w:spacing w:after="0" w:line="250" w:lineRule="auto"/>
        <w:tabs>
          <w:tab w:leader="none" w:pos="461" w:val="left"/>
        </w:tabs>
        <w:numPr>
          <w:ilvl w:val="0"/>
          <w:numId w:val="1"/>
        </w:numPr>
        <w:rPr>
          <w:rFonts w:ascii="Arial" w:cs="Arial" w:eastAsia="Arial" w:hAnsi="Arial"/>
          <w:sz w:val="19"/>
          <w:szCs w:val="19"/>
          <w:color w:val="auto"/>
        </w:rPr>
      </w:pPr>
      <w:r>
        <w:rPr>
          <w:rFonts w:ascii="Arial" w:cs="Arial" w:eastAsia="Arial" w:hAnsi="Arial"/>
          <w:sz w:val="19"/>
          <w:szCs w:val="19"/>
          <w:color w:val="auto"/>
        </w:rPr>
        <w:t>Estimated in accordance with Rule 457(h) solely for the purpose of calculating the registration fee on the basis of $19.00 per share, which is the initial public offering price set forth on the cover page of the Registrantâ€™s Prospectus dated February 6, 2019 relating to the Registrantâ€™s initial public offering.</w:t>
      </w:r>
    </w:p>
    <w:p>
      <w:pPr>
        <w:spacing w:after="0" w:line="1" w:lineRule="exact"/>
        <w:rPr>
          <w:rFonts w:ascii="Arial" w:cs="Arial" w:eastAsia="Arial" w:hAnsi="Arial"/>
          <w:sz w:val="19"/>
          <w:szCs w:val="19"/>
          <w:color w:val="auto"/>
        </w:rPr>
      </w:pPr>
    </w:p>
    <w:p>
      <w:pPr>
        <w:ind w:left="461" w:right="40" w:hanging="461"/>
        <w:spacing w:after="0" w:line="250" w:lineRule="auto"/>
        <w:tabs>
          <w:tab w:leader="none" w:pos="461" w:val="left"/>
        </w:tabs>
        <w:numPr>
          <w:ilvl w:val="0"/>
          <w:numId w:val="1"/>
        </w:numPr>
        <w:rPr>
          <w:rFonts w:ascii="Arial" w:cs="Arial" w:eastAsia="Arial" w:hAnsi="Arial"/>
          <w:sz w:val="19"/>
          <w:szCs w:val="19"/>
          <w:color w:val="auto"/>
        </w:rPr>
      </w:pPr>
      <w:r>
        <w:rPr>
          <w:rFonts w:ascii="Arial" w:cs="Arial" w:eastAsia="Arial" w:hAnsi="Arial"/>
          <w:sz w:val="19"/>
          <w:szCs w:val="19"/>
          <w:color w:val="auto"/>
        </w:rPr>
        <w:t>Represents 316,100 shares of common stock reserved for issuance pursuant to options outstanding under the 2019 Plan as of the date of this Registration Statement. To the extent that any shares subject to awards under the 2019 Plan expire or terminate or any shares previously issued pursuant to the 2019 Plan are forfeited or repurchased by the Registrant, the shares of common stock subject to such awards will become available for issuance under the 2019 Plan.</w:t>
      </w:r>
    </w:p>
    <w:p>
      <w:pPr>
        <w:spacing w:after="0" w:line="2" w:lineRule="exact"/>
        <w:rPr>
          <w:rFonts w:ascii="Arial" w:cs="Arial" w:eastAsia="Arial" w:hAnsi="Arial"/>
          <w:sz w:val="19"/>
          <w:szCs w:val="19"/>
          <w:color w:val="auto"/>
        </w:rPr>
      </w:pPr>
    </w:p>
    <w:p>
      <w:pPr>
        <w:ind w:left="461" w:right="300" w:hanging="461"/>
        <w:spacing w:after="0" w:line="250" w:lineRule="auto"/>
        <w:tabs>
          <w:tab w:leader="none" w:pos="461" w:val="left"/>
        </w:tabs>
        <w:numPr>
          <w:ilvl w:val="0"/>
          <w:numId w:val="1"/>
        </w:numPr>
        <w:rPr>
          <w:rFonts w:ascii="Arial" w:cs="Arial" w:eastAsia="Arial" w:hAnsi="Arial"/>
          <w:sz w:val="19"/>
          <w:szCs w:val="19"/>
          <w:color w:val="auto"/>
        </w:rPr>
      </w:pPr>
      <w:r>
        <w:rPr>
          <w:rFonts w:ascii="Arial" w:cs="Arial" w:eastAsia="Arial" w:hAnsi="Arial"/>
          <w:sz w:val="19"/>
          <w:szCs w:val="19"/>
          <w:color w:val="auto"/>
        </w:rPr>
        <w:t>Estimated in accordance with Rule 457(h) solely for the purpose of calculating the registration fee on the basis of $19.00, the weighted average price per share of outstanding stock option awards under the 2019 Plan as of February 6, 2019.</w:t>
      </w:r>
    </w:p>
    <w:p>
      <w:pPr>
        <w:spacing w:after="0" w:line="1" w:lineRule="exact"/>
        <w:rPr>
          <w:rFonts w:ascii="Arial" w:cs="Arial" w:eastAsia="Arial" w:hAnsi="Arial"/>
          <w:sz w:val="19"/>
          <w:szCs w:val="19"/>
          <w:color w:val="auto"/>
        </w:rPr>
      </w:pPr>
    </w:p>
    <w:p>
      <w:pPr>
        <w:ind w:left="461" w:hanging="461"/>
        <w:spacing w:after="0"/>
        <w:tabs>
          <w:tab w:leader="none" w:pos="461" w:val="left"/>
        </w:tabs>
        <w:numPr>
          <w:ilvl w:val="0"/>
          <w:numId w:val="1"/>
        </w:numPr>
        <w:rPr>
          <w:rFonts w:ascii="Arial" w:cs="Arial" w:eastAsia="Arial" w:hAnsi="Arial"/>
          <w:sz w:val="19"/>
          <w:szCs w:val="19"/>
          <w:color w:val="auto"/>
        </w:rPr>
      </w:pPr>
      <w:r>
        <w:rPr>
          <w:rFonts w:ascii="Arial" w:cs="Arial" w:eastAsia="Arial" w:hAnsi="Arial"/>
          <w:sz w:val="19"/>
          <w:szCs w:val="19"/>
          <w:color w:val="auto"/>
        </w:rPr>
        <w:t>Represents 1,478,492 shares of common stock reserved for issuance under the 2019 ESPP.</w:t>
      </w:r>
    </w:p>
    <w:p>
      <w:pPr>
        <w:spacing w:after="0" w:line="9" w:lineRule="exact"/>
        <w:rPr>
          <w:rFonts w:ascii="Arial" w:cs="Arial" w:eastAsia="Arial" w:hAnsi="Arial"/>
          <w:sz w:val="19"/>
          <w:szCs w:val="19"/>
          <w:color w:val="auto"/>
        </w:rPr>
      </w:pPr>
    </w:p>
    <w:p>
      <w:pPr>
        <w:ind w:left="461" w:right="100" w:hanging="461"/>
        <w:spacing w:after="0" w:line="280" w:lineRule="auto"/>
        <w:tabs>
          <w:tab w:leader="none" w:pos="461"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in accordance with Rule 457(h) solely for the purpose of calculating the registration fee on the basis of 85% of $19.00, which is the initial public offering price set forth on the cover page of the Registrantâ€™s Prospectus dated February 6, 2019 relating to the Registrantâ€™s initial public offering. Pursuant to the 2019 ESPP, the purchase price of the shares of common stock reserved for issuance thereunder will be 85% of the lower of the fair market value of the common stock on (i) the first trading day of the offering period or (ii) the exercise date.</w:t>
      </w:r>
    </w:p>
    <w:p>
      <w:pPr>
        <w:ind w:left="461" w:right="220" w:hanging="461"/>
        <w:spacing w:after="0" w:line="280" w:lineRule="auto"/>
        <w:tabs>
          <w:tab w:leader="none" w:pos="461"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5,054,313 shares of common stock reserved for issuance pursuant to options outstanding under the 2017 Plan as of the date of this Registration Statement. To the extent that any shares subject to awards under the 2017 Plan expire or terminate on or after the termination of the 2017 Plan, or any shares previously issued pursuant to the 2017 Plan are forfeited or repurchased by the Registrant on or after the termination of the 2017 Plan, the shares of common stock subject to such awards will become available for issuance under the 2019 Plan.</w:t>
      </w:r>
    </w:p>
    <w:p>
      <w:pPr>
        <w:ind w:left="461" w:right="380" w:hanging="461"/>
        <w:spacing w:after="0" w:line="250" w:lineRule="auto"/>
        <w:tabs>
          <w:tab w:leader="none" w:pos="461" w:val="left"/>
        </w:tabs>
        <w:numPr>
          <w:ilvl w:val="0"/>
          <w:numId w:val="1"/>
        </w:numPr>
        <w:rPr>
          <w:rFonts w:ascii="Arial" w:cs="Arial" w:eastAsia="Arial" w:hAnsi="Arial"/>
          <w:sz w:val="19"/>
          <w:szCs w:val="19"/>
          <w:color w:val="auto"/>
        </w:rPr>
      </w:pPr>
      <w:r>
        <w:rPr>
          <w:rFonts w:ascii="Arial" w:cs="Arial" w:eastAsia="Arial" w:hAnsi="Arial"/>
          <w:sz w:val="19"/>
          <w:szCs w:val="19"/>
          <w:color w:val="auto"/>
        </w:rPr>
        <w:t>Estimated in accordance with Rule 457(h) solely for the purpose of calculating the registration fee on the basis of $8.94, the weighted average price per share of outstanding stock option awards under the 2017 Plan as of February 6, 2019.</w:t>
      </w:r>
    </w:p>
    <w:p>
      <w:pPr>
        <w:spacing w:after="0" w:line="1" w:lineRule="exact"/>
        <w:rPr>
          <w:rFonts w:ascii="Arial" w:cs="Arial" w:eastAsia="Arial" w:hAnsi="Arial"/>
          <w:sz w:val="19"/>
          <w:szCs w:val="19"/>
          <w:color w:val="auto"/>
        </w:rPr>
      </w:pPr>
    </w:p>
    <w:p>
      <w:pPr>
        <w:ind w:left="461" w:right="20" w:hanging="461"/>
        <w:spacing w:after="0" w:line="250" w:lineRule="auto"/>
        <w:tabs>
          <w:tab w:leader="none" w:pos="461" w:val="left"/>
        </w:tabs>
        <w:numPr>
          <w:ilvl w:val="0"/>
          <w:numId w:val="1"/>
        </w:numPr>
        <w:rPr>
          <w:rFonts w:ascii="Arial" w:cs="Arial" w:eastAsia="Arial" w:hAnsi="Arial"/>
          <w:sz w:val="19"/>
          <w:szCs w:val="19"/>
          <w:color w:val="auto"/>
        </w:rPr>
      </w:pPr>
      <w:r>
        <w:rPr>
          <w:rFonts w:ascii="Arial" w:cs="Arial" w:eastAsia="Arial" w:hAnsi="Arial"/>
          <w:sz w:val="19"/>
          <w:szCs w:val="19"/>
          <w:color w:val="auto"/>
        </w:rPr>
        <w:t>Represents 3,707,069 shares of restricted common stock issued under the 2017 Plan as of the date of this Registration Statement. To the extent that any shares subject to awards under the 2017 Plan expire or terminate on or after the termination of the 2017 Plan, or any shares previously issued pursuant to the 2017 Plan are forfeited or repurchased by the Registrant on or after the termination of the 2017 Plan, the shares of common stock subject to such awards will become available for issuance under the 2019 Plan.</w:t>
      </w:r>
    </w:p>
    <w:p>
      <w:pPr>
        <w:spacing w:after="0" w:line="2" w:lineRule="exact"/>
        <w:rPr>
          <w:rFonts w:ascii="Arial" w:cs="Arial" w:eastAsia="Arial" w:hAnsi="Arial"/>
          <w:sz w:val="19"/>
          <w:szCs w:val="19"/>
          <w:color w:val="auto"/>
        </w:rPr>
      </w:pPr>
    </w:p>
    <w:p>
      <w:pPr>
        <w:jc w:val="both"/>
        <w:ind w:left="461" w:right="240" w:hanging="461"/>
        <w:spacing w:after="0" w:line="255" w:lineRule="auto"/>
        <w:tabs>
          <w:tab w:leader="none" w:pos="461" w:val="left"/>
        </w:tabs>
        <w:numPr>
          <w:ilvl w:val="0"/>
          <w:numId w:val="1"/>
        </w:numPr>
        <w:rPr>
          <w:rFonts w:ascii="Arial" w:cs="Arial" w:eastAsia="Arial" w:hAnsi="Arial"/>
          <w:sz w:val="19"/>
          <w:szCs w:val="19"/>
          <w:color w:val="auto"/>
        </w:rPr>
      </w:pPr>
      <w:r>
        <w:rPr>
          <w:rFonts w:ascii="Arial" w:cs="Arial" w:eastAsia="Arial" w:hAnsi="Arial"/>
          <w:sz w:val="19"/>
          <w:szCs w:val="19"/>
          <w:color w:val="auto"/>
        </w:rPr>
        <w:t>Estimated in accordance with Rule 457(h) solely for the purpose of calculating the registration fee on the basis of $19.00 per share, which is the initial public offering price set forth on the cover page of the Registrantâ€™s Prospectus dated February 6, 2019 relating to the Registrantâ€™s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73894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192405</wp:posOffset>
            </wp:positionV>
            <wp:extent cx="73894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ectPr>
          <w:pgSz w:w="12240" w:h="15840" w:orient="portrait"/>
          <w:cols w:equalWidth="0" w:num="1">
            <w:col w:w="11641"/>
          </w:cols>
          <w:pgMar w:left="299" w:top="0" w:right="30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t>PART I</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INFORMATION REQUIRED IN THE PROSPECTUS</w:t>
      </w:r>
    </w:p>
    <w:p>
      <w:pPr>
        <w:spacing w:after="0" w:line="24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information specified in Item 1 and Item 2 of Part I of Form S-8 is omitted from this Registration Statement on Form S-8 (this</w:t>
      </w:r>
    </w:p>
    <w:p>
      <w:pPr>
        <w:spacing w:after="0" w:line="34" w:lineRule="exact"/>
        <w:rPr>
          <w:sz w:val="20"/>
          <w:szCs w:val="20"/>
          <w:color w:val="auto"/>
        </w:rPr>
      </w:pPr>
    </w:p>
    <w:p>
      <w:pPr>
        <w:spacing w:after="0"/>
        <w:tabs>
          <w:tab w:leader="none" w:pos="2320" w:val="left"/>
        </w:tabs>
        <w:rPr>
          <w:sz w:val="20"/>
          <w:szCs w:val="20"/>
          <w:color w:val="auto"/>
        </w:rPr>
      </w:pPr>
      <w:r>
        <w:rPr>
          <w:rFonts w:ascii="Arial" w:cs="Arial" w:eastAsia="Arial" w:hAnsi="Arial"/>
          <w:sz w:val="19"/>
          <w:szCs w:val="19"/>
          <w:color w:val="auto"/>
        </w:rPr>
        <w:t>â€œRegistration Statementâ€</w:t>
      </w:r>
      <w:r>
        <w:rPr>
          <w:sz w:val="20"/>
          <w:szCs w:val="20"/>
          <w:color w:val="auto"/>
        </w:rPr>
        <w:tab/>
      </w:r>
      <w:r>
        <w:rPr>
          <w:rFonts w:ascii="Arial" w:cs="Arial" w:eastAsia="Arial" w:hAnsi="Arial"/>
          <w:sz w:val="17"/>
          <w:szCs w:val="17"/>
          <w:color w:val="auto"/>
        </w:rPr>
        <w:t>) in accordance with the provisions of Rule 428 under the Securities Act and the introductory note to Part I of Form S-8.</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The documents containing the information specified in Part I of Form S-8 will be delivered to the participants in the equity benefit plans covered by this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Registration Statement as specified by Rule 428(b)(1) under the Securities Act.</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PART II</w:t>
      </w:r>
    </w:p>
    <w:p>
      <w:pPr>
        <w:spacing w:after="0" w:line="238" w:lineRule="exact"/>
        <w:rPr>
          <w:sz w:val="20"/>
          <w:szCs w:val="20"/>
          <w:color w:val="auto"/>
        </w:rPr>
      </w:pPr>
    </w:p>
    <w:p>
      <w:pPr>
        <w:ind w:left="3080"/>
        <w:spacing w:after="0"/>
        <w:rPr>
          <w:sz w:val="20"/>
          <w:szCs w:val="20"/>
          <w:color w:val="auto"/>
        </w:rPr>
      </w:pPr>
      <w:r>
        <w:rPr>
          <w:rFonts w:ascii="Arial" w:cs="Arial" w:eastAsia="Arial" w:hAnsi="Arial"/>
          <w:sz w:val="19"/>
          <w:szCs w:val="19"/>
          <w:b w:val="1"/>
          <w:bCs w:val="1"/>
          <w:color w:val="auto"/>
        </w:rPr>
        <w:t>INFORMATION REQUIRED IN REGISTRATION STATEMENT</w:t>
      </w:r>
    </w:p>
    <w:p>
      <w:pPr>
        <w:spacing w:after="0" w:line="266"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7"/>
          <w:szCs w:val="17"/>
          <w:b w:val="1"/>
          <w:bCs w:val="1"/>
          <w:color w:val="auto"/>
        </w:rPr>
        <w:t>Incorporation of Documents by Reference.</w:t>
      </w:r>
    </w:p>
    <w:p>
      <w:pPr>
        <w:spacing w:after="0" w:line="130" w:lineRule="exact"/>
        <w:rPr>
          <w:sz w:val="20"/>
          <w:szCs w:val="20"/>
          <w:color w:val="auto"/>
        </w:rPr>
      </w:pPr>
    </w:p>
    <w:p>
      <w:pPr>
        <w:ind w:right="180" w:firstLine="465"/>
        <w:spacing w:after="0" w:line="275" w:lineRule="auto"/>
        <w:rPr>
          <w:sz w:val="20"/>
          <w:szCs w:val="20"/>
          <w:color w:val="auto"/>
        </w:rPr>
      </w:pPr>
      <w:r>
        <w:rPr>
          <w:rFonts w:ascii="Arial" w:cs="Arial" w:eastAsia="Arial" w:hAnsi="Arial"/>
          <w:sz w:val="19"/>
          <w:szCs w:val="19"/>
          <w:color w:val="auto"/>
        </w:rPr>
        <w:t>Alector, Inc. (the â€œRegistrantâ€ ) hereby incorporates by reference into this Registration Statement the following documents previously filed with the Securities and Exchange Commission (the â€œCommissionâ€ ):</w:t>
      </w:r>
    </w:p>
    <w:p>
      <w:pPr>
        <w:spacing w:after="0" w:line="184" w:lineRule="exact"/>
        <w:rPr>
          <w:sz w:val="20"/>
          <w:szCs w:val="20"/>
          <w:color w:val="auto"/>
        </w:rPr>
      </w:pPr>
    </w:p>
    <w:p>
      <w:pPr>
        <w:jc w:val="both"/>
        <w:ind w:right="120" w:firstLine="465"/>
        <w:spacing w:after="0" w:line="263" w:lineRule="auto"/>
        <w:tabs>
          <w:tab w:leader="none" w:pos="734"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Registrantâ€™s Prospectus dated February 6, 2019, filed with the Commission pursuant to Rule 424(b) under the Securities Act, relating to the Registration Statement on Form S-1, as amended (File No. 333-229152), which contains the Registrantâ€™s audited financial statements for the latest fiscal year for which such statements have been filed; and</w:t>
      </w:r>
    </w:p>
    <w:p>
      <w:pPr>
        <w:spacing w:after="0" w:line="194" w:lineRule="exact"/>
        <w:rPr>
          <w:rFonts w:ascii="Arial" w:cs="Arial" w:eastAsia="Arial" w:hAnsi="Arial"/>
          <w:sz w:val="19"/>
          <w:szCs w:val="19"/>
          <w:color w:val="auto"/>
        </w:rPr>
      </w:pPr>
    </w:p>
    <w:p>
      <w:pPr>
        <w:ind w:left="740" w:hanging="275"/>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Registrantâ€™s Common Stock contained in the Companyâ€™s Registration Statement on Form 8-A (File No</w:t>
      </w:r>
    </w:p>
    <w:p>
      <w:pPr>
        <w:spacing w:after="0" w:line="34" w:lineRule="exact"/>
        <w:rPr>
          <w:sz w:val="20"/>
          <w:szCs w:val="20"/>
          <w:color w:val="auto"/>
        </w:rPr>
      </w:pPr>
    </w:p>
    <w:p>
      <w:pPr>
        <w:ind w:right="680"/>
        <w:spacing w:after="0" w:line="261" w:lineRule="auto"/>
        <w:rPr>
          <w:sz w:val="20"/>
          <w:szCs w:val="20"/>
          <w:color w:val="auto"/>
        </w:rPr>
      </w:pPr>
      <w:r>
        <w:rPr>
          <w:rFonts w:ascii="Arial" w:cs="Arial" w:eastAsia="Arial" w:hAnsi="Arial"/>
          <w:sz w:val="19"/>
          <w:szCs w:val="19"/>
          <w:color w:val="auto"/>
        </w:rPr>
        <w:t>001-38792) filed with the Commission on January 31, 2019, pursuant to Section 12(b) of the Securities Exchange Act of 1934, as amended (the â€œExchange Actâ€ ), including any amendment or report filed for the purpose of updating such description.</w:t>
      </w:r>
    </w:p>
    <w:p>
      <w:pPr>
        <w:spacing w:after="0" w:line="196" w:lineRule="exact"/>
        <w:rPr>
          <w:sz w:val="20"/>
          <w:szCs w:val="20"/>
          <w:color w:val="auto"/>
        </w:rPr>
      </w:pPr>
    </w:p>
    <w:p>
      <w:pPr>
        <w:ind w:right="40" w:firstLine="465"/>
        <w:spacing w:after="0" w:line="269" w:lineRule="auto"/>
        <w:rPr>
          <w:sz w:val="20"/>
          <w:szCs w:val="20"/>
          <w:color w:val="auto"/>
        </w:rPr>
      </w:pPr>
      <w:r>
        <w:rPr>
          <w:rFonts w:ascii="Arial" w:cs="Arial" w:eastAsia="Arial" w:hAnsi="Arial"/>
          <w:sz w:val="18"/>
          <w:szCs w:val="18"/>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45"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7"/>
          <w:szCs w:val="17"/>
          <w:b w:val="1"/>
          <w:bCs w:val="1"/>
          <w:color w:val="auto"/>
        </w:rPr>
        <w:t>Interests of Named Experts and Counsel.</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7"/>
          <w:szCs w:val="17"/>
          <w:b w:val="1"/>
          <w:bCs w:val="1"/>
          <w:color w:val="auto"/>
        </w:rPr>
        <w:t>Indemnification of Directors and Officers.</w:t>
      </w:r>
    </w:p>
    <w:p>
      <w:pPr>
        <w:spacing w:after="0" w:line="130" w:lineRule="exact"/>
        <w:rPr>
          <w:sz w:val="20"/>
          <w:szCs w:val="20"/>
          <w:color w:val="auto"/>
        </w:rPr>
      </w:pPr>
    </w:p>
    <w:p>
      <w:pPr>
        <w:ind w:firstLine="931"/>
        <w:spacing w:after="0" w:line="284" w:lineRule="auto"/>
        <w:rPr>
          <w:sz w:val="20"/>
          <w:szCs w:val="20"/>
          <w:color w:val="auto"/>
        </w:rPr>
      </w:pPr>
      <w:r>
        <w:rPr>
          <w:rFonts w:ascii="Arial" w:cs="Arial" w:eastAsia="Arial" w:hAnsi="Arial"/>
          <w:sz w:val="17"/>
          <w:szCs w:val="17"/>
          <w:color w:val="auto"/>
        </w:rPr>
        <w:t>Section 145 of the Delaware General Corporation Law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personâ€™s actions were unlawful. The Delaware General Corporation Law further provides that the indemnification permitted thereunder shall not be deemed exclusive of any other rights to which the directors and officers may be entitled under the corporationâ€™s bylaws, any agreement, a vote of stockholders or otherwise. The certificate of incorporation of the Registrant to be in effect upon the completion of this offering provides for the indemnification of the Registrantâ€™s directors and officers to the fullest extent permitted under the Delaware General Corporation Law. In addition, the bylaws of the Registrant to be in effect upon the completion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Registrantâ€™s request as a director, officer, employee or agent of another corporation, partnership, joint venture, trust or other enterprise, against expenses (including attorneyâ€™s fees), judgments, fines and amounts paid in settlement actually and reasonably incurred by such person in connection with such action, suit or proceeding, to the fullest extent permitted by applicable law.</w:t>
      </w:r>
    </w:p>
    <w:p>
      <w:pPr>
        <w:sectPr>
          <w:pgSz w:w="12240" w:h="15840" w:orient="portrait"/>
          <w:cols w:equalWidth="0" w:num="1">
            <w:col w:w="11620"/>
          </w:cols>
          <w:pgMar w:left="300" w:top="136" w:right="320" w:bottom="1440" w:gutter="0" w:footer="0" w:header="0"/>
        </w:sectPr>
      </w:pPr>
    </w:p>
    <w:bookmarkStart w:id="3" w:name="page4"/>
    <w:bookmarkEnd w:id="3"/>
    <w:p>
      <w:pPr>
        <w:ind w:right="20" w:firstLine="931"/>
        <w:spacing w:after="0" w:line="26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(1) for any breach of the directorâ€™s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Registrantâ€™s certificate of incorporation to be in effect upon the completion of this offering provides that the Registrantâ€™s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Registrantâ€™s directors shall be eliminated or limited to the fullest extent permitted by the Delaware General Corporation Law, as so amended.</w:t>
      </w:r>
    </w:p>
    <w:p>
      <w:pPr>
        <w:spacing w:after="0" w:line="194" w:lineRule="exact"/>
        <w:rPr>
          <w:sz w:val="20"/>
          <w:szCs w:val="20"/>
          <w:color w:val="auto"/>
        </w:rPr>
      </w:pPr>
    </w:p>
    <w:p>
      <w:pPr>
        <w:ind w:firstLine="931"/>
        <w:spacing w:after="0" w:line="256" w:lineRule="auto"/>
        <w:rPr>
          <w:sz w:val="20"/>
          <w:szCs w:val="20"/>
          <w:color w:val="auto"/>
        </w:rPr>
      </w:pPr>
      <w:r>
        <w:rPr>
          <w:rFonts w:ascii="Arial" w:cs="Arial" w:eastAsia="Arial" w:hAnsi="Arial"/>
          <w:sz w:val="19"/>
          <w:szCs w:val="19"/>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204" w:lineRule="exact"/>
        <w:rPr>
          <w:sz w:val="20"/>
          <w:szCs w:val="20"/>
          <w:color w:val="auto"/>
        </w:rPr>
      </w:pPr>
    </w:p>
    <w:p>
      <w:pPr>
        <w:ind w:right="220" w:firstLine="931"/>
        <w:spacing w:after="0" w:line="284" w:lineRule="auto"/>
        <w:rPr>
          <w:sz w:val="20"/>
          <w:szCs w:val="20"/>
          <w:color w:val="auto"/>
        </w:rPr>
      </w:pPr>
      <w:r>
        <w:rPr>
          <w:rFonts w:ascii="Arial" w:cs="Arial" w:eastAsia="Arial" w:hAnsi="Arial"/>
          <w:sz w:val="18"/>
          <w:szCs w:val="18"/>
          <w:color w:val="auto"/>
        </w:rPr>
        <w:t>As permitted by the Delaware General Corporation Law, the Registrant has entered into separate indemnification agreements with each of the Registrantâ€™s directors and certain of the Registrantâ€™s officers which require the Registrant, among other things, to indemnify them against certain liabilities which may arise by reason of their status as directors, officers or certain other employees.</w:t>
      </w:r>
    </w:p>
    <w:p>
      <w:pPr>
        <w:spacing w:after="0" w:line="178" w:lineRule="exact"/>
        <w:rPr>
          <w:sz w:val="20"/>
          <w:szCs w:val="20"/>
          <w:color w:val="auto"/>
        </w:rPr>
      </w:pPr>
    </w:p>
    <w:p>
      <w:pPr>
        <w:ind w:right="20" w:firstLine="931"/>
        <w:spacing w:after="0" w:line="256" w:lineRule="auto"/>
        <w:rPr>
          <w:sz w:val="20"/>
          <w:szCs w:val="20"/>
          <w:color w:val="auto"/>
        </w:rPr>
      </w:pPr>
      <w:r>
        <w:rPr>
          <w:rFonts w:ascii="Arial" w:cs="Arial" w:eastAsia="Arial" w:hAnsi="Arial"/>
          <w:sz w:val="19"/>
          <w:szCs w:val="19"/>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w:t>
      </w:r>
    </w:p>
    <w:p>
      <w:pPr>
        <w:spacing w:after="0" w:line="204" w:lineRule="exact"/>
        <w:rPr>
          <w:sz w:val="20"/>
          <w:szCs w:val="20"/>
          <w:color w:val="auto"/>
        </w:rPr>
      </w:pPr>
    </w:p>
    <w:p>
      <w:pPr>
        <w:ind w:right="20" w:firstLine="931"/>
        <w:spacing w:after="0" w:line="263" w:lineRule="auto"/>
        <w:rPr>
          <w:sz w:val="20"/>
          <w:szCs w:val="20"/>
          <w:color w:val="auto"/>
        </w:rPr>
      </w:pPr>
      <w:r>
        <w:rPr>
          <w:rFonts w:ascii="Arial" w:cs="Arial" w:eastAsia="Arial" w:hAnsi="Arial"/>
          <w:sz w:val="19"/>
          <w:szCs w:val="19"/>
          <w:color w:val="auto"/>
        </w:rPr>
        <w:t>These indemnification provisions and the indemnification agreements entered into between the Registrant and the Registrantâ€™s officers and directors may be sufficiently broad to permit indemnification of the Registrantâ€™s officers and directors for liabilities (including reimbursement of expenses incurred) arising under the Securities Act of 1933, as amended.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40" w:type="dxa"/>
            <w:vAlign w:val="bottom"/>
            <w:gridSpan w:val="2"/>
          </w:tcPr>
          <w:p>
            <w:pPr>
              <w:spacing w:after="0"/>
              <w:rPr>
                <w:sz w:val="20"/>
                <w:szCs w:val="20"/>
                <w:color w:val="auto"/>
              </w:rPr>
            </w:pPr>
            <w:r>
              <w:rPr>
                <w:rFonts w:ascii="Arial" w:cs="Arial" w:eastAsia="Arial" w:hAnsi="Arial"/>
                <w:sz w:val="19"/>
                <w:szCs w:val="19"/>
                <w:b w:val="1"/>
                <w:bCs w:val="1"/>
                <w:color w:val="auto"/>
              </w:rPr>
              <w:t>Item 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40" w:type="dxa"/>
            <w:vAlign w:val="bottom"/>
            <w:gridSpan w:val="11"/>
          </w:tcPr>
          <w:p>
            <w:pPr>
              <w:ind w:left="200"/>
              <w:spacing w:after="0"/>
              <w:rPr>
                <w:sz w:val="20"/>
                <w:szCs w:val="20"/>
                <w:color w:val="auto"/>
              </w:rPr>
            </w:pPr>
            <w:r>
              <w:rPr>
                <w:rFonts w:ascii="Arial" w:cs="Arial" w:eastAsia="Arial" w:hAnsi="Arial"/>
                <w:sz w:val="19"/>
                <w:szCs w:val="19"/>
                <w:b w:val="1"/>
                <w:bCs w:val="1"/>
                <w:color w:val="auto"/>
              </w:rPr>
              <w:t>Exemption from Registration Claimed.</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40" w:type="dxa"/>
            <w:vAlign w:val="bottom"/>
            <w:gridSpan w:val="11"/>
          </w:tcPr>
          <w:p>
            <w:pPr>
              <w:ind w:left="100"/>
              <w:spacing w:after="0"/>
              <w:rPr>
                <w:sz w:val="20"/>
                <w:szCs w:val="20"/>
                <w:color w:val="auto"/>
              </w:rPr>
            </w:pPr>
            <w:r>
              <w:rPr>
                <w:rFonts w:ascii="Arial" w:cs="Arial" w:eastAsia="Arial" w:hAnsi="Arial"/>
                <w:sz w:val="19"/>
                <w:szCs w:val="19"/>
                <w:color w:val="auto"/>
              </w:rPr>
              <w:t>Not applicable.</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3"/>
        </w:trPr>
        <w:tc>
          <w:tcPr>
            <w:tcW w:w="640" w:type="dxa"/>
            <w:vAlign w:val="bottom"/>
            <w:gridSpan w:val="2"/>
          </w:tcPr>
          <w:p>
            <w:pPr>
              <w:spacing w:after="0"/>
              <w:rPr>
                <w:sz w:val="20"/>
                <w:szCs w:val="20"/>
                <w:color w:val="auto"/>
              </w:rPr>
            </w:pPr>
            <w:r>
              <w:rPr>
                <w:rFonts w:ascii="Arial" w:cs="Arial" w:eastAsia="Arial" w:hAnsi="Arial"/>
                <w:sz w:val="19"/>
                <w:szCs w:val="19"/>
                <w:b w:val="1"/>
                <w:bCs w:val="1"/>
                <w:color w:val="auto"/>
              </w:rPr>
              <w:t>Item 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40" w:type="dxa"/>
            <w:vAlign w:val="bottom"/>
            <w:gridSpan w:val="11"/>
          </w:tcPr>
          <w:p>
            <w:pPr>
              <w:ind w:left="200"/>
              <w:spacing w:after="0"/>
              <w:rPr>
                <w:sz w:val="20"/>
                <w:szCs w:val="20"/>
                <w:color w:val="auto"/>
              </w:rPr>
            </w:pPr>
            <w:r>
              <w:rPr>
                <w:rFonts w:ascii="Arial" w:cs="Arial" w:eastAsia="Arial" w:hAnsi="Arial"/>
                <w:sz w:val="19"/>
                <w:szCs w:val="19"/>
                <w:b w:val="1"/>
                <w:bCs w:val="1"/>
                <w:color w:val="auto"/>
              </w:rPr>
              <w:t>Exhibits.</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6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Exhibit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5"/>
                <w:szCs w:val="15"/>
                <w:b w:val="1"/>
                <w:bCs w:val="1"/>
                <w:color w:val="auto"/>
              </w:rPr>
              <w:t>Incorporated by Reference</w:t>
            </w: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6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40" w:type="dxa"/>
            <w:vAlign w:val="bottom"/>
            <w:gridSpan w:val="2"/>
          </w:tcPr>
          <w:p>
            <w:pPr>
              <w:spacing w:after="0"/>
              <w:rPr>
                <w:sz w:val="20"/>
                <w:szCs w:val="20"/>
                <w:color w:val="auto"/>
              </w:rPr>
            </w:pPr>
            <w:r>
              <w:rPr>
                <w:rFonts w:ascii="Arial" w:cs="Arial" w:eastAsia="Arial" w:hAnsi="Arial"/>
                <w:sz w:val="15"/>
                <w:szCs w:val="15"/>
                <w:b w:val="1"/>
                <w:bCs w:val="1"/>
                <w:color w:val="auto"/>
              </w:rPr>
              <w:t>Number</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020" w:type="dxa"/>
            <w:vAlign w:val="bottom"/>
            <w:gridSpan w:val="10"/>
          </w:tcPr>
          <w:p>
            <w:pPr>
              <w:ind w:left="1100"/>
              <w:spacing w:after="0"/>
              <w:rPr>
                <w:sz w:val="20"/>
                <w:szCs w:val="20"/>
                <w:color w:val="auto"/>
              </w:rPr>
            </w:pPr>
            <w:r>
              <w:rPr>
                <w:rFonts w:ascii="Arial" w:cs="Arial" w:eastAsia="Arial" w:hAnsi="Arial"/>
                <w:sz w:val="15"/>
                <w:szCs w:val="15"/>
                <w:b w:val="1"/>
                <w:bCs w:val="1"/>
                <w:color w:val="auto"/>
              </w:rPr>
              <w:t>Description</w:t>
            </w:r>
          </w:p>
        </w:tc>
        <w:tc>
          <w:tcPr>
            <w:tcW w:w="82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w w:val="90"/>
              </w:rPr>
              <w:t>Form</w:t>
            </w:r>
          </w:p>
        </w:tc>
        <w:tc>
          <w:tcPr>
            <w:tcW w:w="1440" w:type="dxa"/>
            <w:vAlign w:val="bottom"/>
            <w:gridSpan w:val="2"/>
          </w:tcPr>
          <w:p>
            <w:pPr>
              <w:jc w:val="right"/>
              <w:ind w:right="700"/>
              <w:spacing w:after="0"/>
              <w:rPr>
                <w:sz w:val="20"/>
                <w:szCs w:val="20"/>
                <w:color w:val="auto"/>
              </w:rPr>
            </w:pPr>
            <w:r>
              <w:rPr>
                <w:rFonts w:ascii="Arial" w:cs="Arial" w:eastAsia="Arial" w:hAnsi="Arial"/>
                <w:sz w:val="15"/>
                <w:szCs w:val="15"/>
                <w:b w:val="1"/>
                <w:bCs w:val="1"/>
                <w:color w:val="auto"/>
              </w:rPr>
              <w:t>File No.</w:t>
            </w:r>
          </w:p>
        </w:tc>
        <w:tc>
          <w:tcPr>
            <w:tcW w:w="94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w w:val="91"/>
              </w:rPr>
              <w:t>Exhibit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w w:val="91"/>
              </w:rPr>
              <w:t>Filing Date</w:t>
            </w:r>
          </w:p>
        </w:tc>
        <w:tc>
          <w:tcPr>
            <w:tcW w:w="0" w:type="dxa"/>
            <w:vAlign w:val="bottom"/>
          </w:tcPr>
          <w:p>
            <w:pPr>
              <w:spacing w:after="0"/>
              <w:rPr>
                <w:sz w:val="1"/>
                <w:szCs w:val="1"/>
                <w:color w:val="auto"/>
              </w:rPr>
            </w:pPr>
          </w:p>
        </w:tc>
      </w:tr>
      <w:tr>
        <w:trPr>
          <w:trHeight w:val="174"/>
        </w:trPr>
        <w:tc>
          <w:tcPr>
            <w:tcW w:w="540" w:type="dxa"/>
            <w:vAlign w:val="bottom"/>
            <w:tcBorders>
              <w:top w:val="single" w:sz="8" w:color="auto"/>
            </w:tcBorders>
          </w:tcPr>
          <w:p>
            <w:pPr>
              <w:spacing w:after="0" w:line="174" w:lineRule="exact"/>
              <w:rPr>
                <w:sz w:val="20"/>
                <w:szCs w:val="20"/>
                <w:color w:val="auto"/>
              </w:rPr>
            </w:pPr>
            <w:r>
              <w:rPr>
                <w:rFonts w:ascii="Arial" w:cs="Arial" w:eastAsia="Arial" w:hAnsi="Arial"/>
                <w:sz w:val="19"/>
                <w:szCs w:val="19"/>
                <w:color w:val="auto"/>
              </w:rPr>
              <w:t>4.1</w:t>
            </w:r>
          </w:p>
        </w:tc>
        <w:tc>
          <w:tcPr>
            <w:tcW w:w="10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20" w:type="dxa"/>
            <w:vAlign w:val="bottom"/>
            <w:tcBorders>
              <w:top w:val="single" w:sz="8" w:color="auto"/>
              <w:bottom w:val="single" w:sz="8" w:color="0000EE"/>
            </w:tcBorders>
            <w:gridSpan w:val="3"/>
          </w:tcPr>
          <w:p>
            <w:pPr>
              <w:spacing w:after="0" w:line="174" w:lineRule="exact"/>
              <w:rPr>
                <w:rFonts w:ascii="Arial" w:cs="Arial" w:eastAsia="Arial" w:hAnsi="Arial"/>
                <w:sz w:val="19"/>
                <w:szCs w:val="19"/>
                <w:color w:val="0000EE"/>
                <w:w w:val="90"/>
              </w:rPr>
            </w:pPr>
            <w:hyperlink r:id="rId20">
              <w:r>
                <w:rPr>
                  <w:rFonts w:ascii="Arial" w:cs="Arial" w:eastAsia="Arial" w:hAnsi="Arial"/>
                  <w:sz w:val="19"/>
                  <w:szCs w:val="19"/>
                  <w:color w:val="0000EE"/>
                  <w:w w:val="90"/>
                </w:rPr>
                <w:t>Specimen common stock certificate of the Registrant</w:t>
              </w:r>
            </w:hyperlink>
          </w:p>
        </w:tc>
        <w:tc>
          <w:tcPr>
            <w:tcW w:w="2560" w:type="dxa"/>
            <w:vAlign w:val="bottom"/>
            <w:tcBorders>
              <w:top w:val="single" w:sz="8" w:color="auto"/>
            </w:tcBorders>
            <w:gridSpan w:val="8"/>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top w:val="single" w:sz="8" w:color="auto"/>
            </w:tcBorders>
          </w:tcPr>
          <w:p>
            <w:pPr>
              <w:jc w:val="right"/>
              <w:spacing w:after="0" w:line="174" w:lineRule="exact"/>
              <w:rPr>
                <w:sz w:val="20"/>
                <w:szCs w:val="20"/>
                <w:color w:val="auto"/>
              </w:rPr>
            </w:pPr>
            <w:r>
              <w:rPr>
                <w:rFonts w:ascii="Arial" w:cs="Arial" w:eastAsia="Arial" w:hAnsi="Arial"/>
                <w:sz w:val="19"/>
                <w:szCs w:val="19"/>
                <w:color w:val="auto"/>
              </w:rPr>
              <w:t>S-1</w:t>
            </w:r>
          </w:p>
        </w:tc>
        <w:tc>
          <w:tcPr>
            <w:tcW w:w="460" w:type="dxa"/>
            <w:vAlign w:val="bottom"/>
          </w:tcPr>
          <w:p>
            <w:pPr>
              <w:spacing w:after="0"/>
              <w:rPr>
                <w:sz w:val="15"/>
                <w:szCs w:val="15"/>
                <w:color w:val="auto"/>
              </w:rPr>
            </w:pPr>
          </w:p>
        </w:tc>
        <w:tc>
          <w:tcPr>
            <w:tcW w:w="980" w:type="dxa"/>
            <w:vAlign w:val="bottom"/>
            <w:tcBorders>
              <w:top w:val="single" w:sz="8" w:color="auto"/>
            </w:tcBorders>
          </w:tcPr>
          <w:p>
            <w:pPr>
              <w:jc w:val="right"/>
              <w:spacing w:after="0" w:line="174" w:lineRule="exact"/>
              <w:rPr>
                <w:sz w:val="20"/>
                <w:szCs w:val="20"/>
                <w:color w:val="auto"/>
              </w:rPr>
            </w:pPr>
            <w:r>
              <w:rPr>
                <w:rFonts w:ascii="Arial" w:cs="Arial" w:eastAsia="Arial" w:hAnsi="Arial"/>
                <w:sz w:val="19"/>
                <w:szCs w:val="19"/>
                <w:color w:val="auto"/>
                <w:w w:val="94"/>
              </w:rPr>
              <w:t>333-229152</w:t>
            </w:r>
          </w:p>
        </w:tc>
        <w:tc>
          <w:tcPr>
            <w:tcW w:w="460" w:type="dxa"/>
            <w:vAlign w:val="bottom"/>
          </w:tcPr>
          <w:p>
            <w:pPr>
              <w:spacing w:after="0"/>
              <w:rPr>
                <w:sz w:val="15"/>
                <w:szCs w:val="15"/>
                <w:color w:val="auto"/>
              </w:rPr>
            </w:pPr>
          </w:p>
        </w:tc>
        <w:tc>
          <w:tcPr>
            <w:tcW w:w="480" w:type="dxa"/>
            <w:vAlign w:val="bottom"/>
            <w:tcBorders>
              <w:top w:val="single" w:sz="8" w:color="auto"/>
            </w:tcBorders>
          </w:tcPr>
          <w:p>
            <w:pPr>
              <w:jc w:val="right"/>
              <w:spacing w:after="0" w:line="174" w:lineRule="exact"/>
              <w:rPr>
                <w:sz w:val="20"/>
                <w:szCs w:val="20"/>
                <w:color w:val="auto"/>
              </w:rPr>
            </w:pPr>
            <w:r>
              <w:rPr>
                <w:rFonts w:ascii="Arial" w:cs="Arial" w:eastAsia="Arial" w:hAnsi="Arial"/>
                <w:sz w:val="19"/>
                <w:szCs w:val="19"/>
                <w:color w:val="auto"/>
              </w:rPr>
              <w:t>4.2</w:t>
            </w:r>
          </w:p>
        </w:tc>
        <w:tc>
          <w:tcPr>
            <w:tcW w:w="460" w:type="dxa"/>
            <w:vAlign w:val="bottom"/>
          </w:tcPr>
          <w:p>
            <w:pPr>
              <w:spacing w:after="0"/>
              <w:rPr>
                <w:sz w:val="15"/>
                <w:szCs w:val="15"/>
                <w:color w:val="auto"/>
              </w:rPr>
            </w:pPr>
          </w:p>
        </w:tc>
        <w:tc>
          <w:tcPr>
            <w:tcW w:w="720" w:type="dxa"/>
            <w:vAlign w:val="bottom"/>
            <w:tcBorders>
              <w:top w:val="single" w:sz="8" w:color="auto"/>
            </w:tcBorders>
          </w:tcPr>
          <w:p>
            <w:pPr>
              <w:jc w:val="right"/>
              <w:spacing w:after="0" w:line="174" w:lineRule="exact"/>
              <w:rPr>
                <w:sz w:val="20"/>
                <w:szCs w:val="20"/>
                <w:color w:val="auto"/>
              </w:rPr>
            </w:pPr>
            <w:r>
              <w:rPr>
                <w:rFonts w:ascii="Arial" w:cs="Arial" w:eastAsia="Arial" w:hAnsi="Arial"/>
                <w:sz w:val="19"/>
                <w:szCs w:val="19"/>
                <w:color w:val="auto"/>
              </w:rPr>
              <w:t>1/7/19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line="208" w:lineRule="exact"/>
              <w:rPr>
                <w:sz w:val="20"/>
                <w:szCs w:val="20"/>
                <w:color w:val="auto"/>
              </w:rPr>
            </w:pPr>
            <w:r>
              <w:rPr>
                <w:rFonts w:ascii="Arial" w:cs="Arial" w:eastAsia="Arial" w:hAnsi="Arial"/>
                <w:sz w:val="19"/>
                <w:szCs w:val="19"/>
                <w:color w:val="auto"/>
              </w:rPr>
              <w:t>4.2</w:t>
            </w:r>
          </w:p>
        </w:tc>
        <w:tc>
          <w:tcPr>
            <w:tcW w:w="100" w:type="dxa"/>
            <w:vAlign w:val="bottom"/>
          </w:tcPr>
          <w:p>
            <w:pPr>
              <w:spacing w:after="0"/>
              <w:rPr>
                <w:sz w:val="18"/>
                <w:szCs w:val="18"/>
                <w:color w:val="auto"/>
              </w:rPr>
            </w:pPr>
          </w:p>
        </w:tc>
        <w:tc>
          <w:tcPr>
            <w:tcW w:w="6380" w:type="dxa"/>
            <w:vAlign w:val="bottom"/>
            <w:tcBorders>
              <w:bottom w:val="single" w:sz="8" w:color="0000EE"/>
            </w:tcBorders>
            <w:gridSpan w:val="10"/>
          </w:tcPr>
          <w:p>
            <w:pPr>
              <w:spacing w:after="0" w:line="208" w:lineRule="exact"/>
              <w:rPr>
                <w:rFonts w:ascii="Arial" w:cs="Arial" w:eastAsia="Arial" w:hAnsi="Arial"/>
                <w:sz w:val="19"/>
                <w:szCs w:val="19"/>
                <w:color w:val="0000EE"/>
                <w:w w:val="89"/>
              </w:rPr>
            </w:pPr>
            <w:hyperlink r:id="rId21">
              <w:r>
                <w:rPr>
                  <w:rFonts w:ascii="Arial" w:cs="Arial" w:eastAsia="Arial" w:hAnsi="Arial"/>
                  <w:sz w:val="19"/>
                  <w:szCs w:val="19"/>
                  <w:color w:val="0000EE"/>
                  <w:w w:val="89"/>
                </w:rPr>
                <w:t>2017 Stock Option and Grant Plan, as amended, and forms of agreement thereunder</w:t>
              </w:r>
            </w:hyperlink>
          </w:p>
        </w:tc>
        <w:tc>
          <w:tcPr>
            <w:tcW w:w="460" w:type="dxa"/>
            <w:vAlign w:val="bottom"/>
            <w:gridSpan w:val="3"/>
          </w:tcPr>
          <w:p>
            <w:pPr>
              <w:spacing w:after="0"/>
              <w:rPr>
                <w:sz w:val="18"/>
                <w:szCs w:val="18"/>
                <w:color w:val="auto"/>
              </w:rPr>
            </w:pPr>
          </w:p>
        </w:tc>
        <w:tc>
          <w:tcPr>
            <w:tcW w:w="820" w:type="dxa"/>
            <w:vAlign w:val="bottom"/>
            <w:gridSpan w:val="2"/>
          </w:tcPr>
          <w:p>
            <w:pPr>
              <w:jc w:val="right"/>
              <w:ind w:right="460"/>
              <w:spacing w:after="0" w:line="208" w:lineRule="exact"/>
              <w:rPr>
                <w:sz w:val="20"/>
                <w:szCs w:val="20"/>
                <w:color w:val="auto"/>
              </w:rPr>
            </w:pPr>
            <w:r>
              <w:rPr>
                <w:rFonts w:ascii="Arial" w:cs="Arial" w:eastAsia="Arial" w:hAnsi="Arial"/>
                <w:sz w:val="19"/>
                <w:szCs w:val="19"/>
                <w:color w:val="auto"/>
              </w:rPr>
              <w:t>S-1</w:t>
            </w:r>
          </w:p>
        </w:tc>
        <w:tc>
          <w:tcPr>
            <w:tcW w:w="1440" w:type="dxa"/>
            <w:vAlign w:val="bottom"/>
            <w:gridSpan w:val="2"/>
          </w:tcPr>
          <w:p>
            <w:pPr>
              <w:jc w:val="right"/>
              <w:ind w:right="460"/>
              <w:spacing w:after="0" w:line="208" w:lineRule="exact"/>
              <w:rPr>
                <w:sz w:val="20"/>
                <w:szCs w:val="20"/>
                <w:color w:val="auto"/>
              </w:rPr>
            </w:pPr>
            <w:r>
              <w:rPr>
                <w:rFonts w:ascii="Arial" w:cs="Arial" w:eastAsia="Arial" w:hAnsi="Arial"/>
                <w:sz w:val="19"/>
                <w:szCs w:val="19"/>
                <w:color w:val="auto"/>
                <w:w w:val="94"/>
              </w:rPr>
              <w:t>333-229152</w:t>
            </w:r>
          </w:p>
        </w:tc>
        <w:tc>
          <w:tcPr>
            <w:tcW w:w="940" w:type="dxa"/>
            <w:vAlign w:val="bottom"/>
            <w:gridSpan w:val="2"/>
          </w:tcPr>
          <w:p>
            <w:pPr>
              <w:jc w:val="right"/>
              <w:ind w:right="460"/>
              <w:spacing w:after="0" w:line="208" w:lineRule="exact"/>
              <w:rPr>
                <w:sz w:val="20"/>
                <w:szCs w:val="20"/>
                <w:color w:val="auto"/>
              </w:rPr>
            </w:pPr>
            <w:r>
              <w:rPr>
                <w:rFonts w:ascii="Arial" w:cs="Arial" w:eastAsia="Arial" w:hAnsi="Arial"/>
                <w:sz w:val="19"/>
                <w:szCs w:val="19"/>
                <w:color w:val="auto"/>
              </w:rPr>
              <w:t>10.2</w:t>
            </w:r>
          </w:p>
        </w:tc>
        <w:tc>
          <w:tcPr>
            <w:tcW w:w="7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1/7/19</w:t>
            </w:r>
          </w:p>
        </w:tc>
        <w:tc>
          <w:tcPr>
            <w:tcW w:w="0" w:type="dxa"/>
            <w:vAlign w:val="bottom"/>
          </w:tcPr>
          <w:p>
            <w:pPr>
              <w:spacing w:after="0"/>
              <w:rPr>
                <w:sz w:val="1"/>
                <w:szCs w:val="1"/>
                <w:color w:val="auto"/>
              </w:rPr>
            </w:pPr>
          </w:p>
        </w:tc>
      </w:tr>
      <w:tr>
        <w:trPr>
          <w:trHeight w:val="208"/>
        </w:trPr>
        <w:tc>
          <w:tcPr>
            <w:tcW w:w="540" w:type="dxa"/>
            <w:vAlign w:val="bottom"/>
          </w:tcPr>
          <w:p>
            <w:pPr>
              <w:spacing w:after="0" w:line="208" w:lineRule="exact"/>
              <w:rPr>
                <w:sz w:val="20"/>
                <w:szCs w:val="20"/>
                <w:color w:val="auto"/>
              </w:rPr>
            </w:pPr>
            <w:r>
              <w:rPr>
                <w:rFonts w:ascii="Arial" w:cs="Arial" w:eastAsia="Arial" w:hAnsi="Arial"/>
                <w:sz w:val="19"/>
                <w:szCs w:val="19"/>
                <w:color w:val="auto"/>
              </w:rPr>
              <w:t>4.3</w:t>
            </w:r>
          </w:p>
        </w:tc>
        <w:tc>
          <w:tcPr>
            <w:tcW w:w="100" w:type="dxa"/>
            <w:vAlign w:val="bottom"/>
          </w:tcPr>
          <w:p>
            <w:pPr>
              <w:spacing w:after="0"/>
              <w:rPr>
                <w:sz w:val="18"/>
                <w:szCs w:val="18"/>
                <w:color w:val="auto"/>
              </w:rPr>
            </w:pPr>
          </w:p>
        </w:tc>
        <w:tc>
          <w:tcPr>
            <w:tcW w:w="6840" w:type="dxa"/>
            <w:vAlign w:val="bottom"/>
            <w:gridSpan w:val="13"/>
          </w:tcPr>
          <w:p>
            <w:pPr>
              <w:spacing w:after="0" w:line="208" w:lineRule="exact"/>
              <w:rPr>
                <w:rFonts w:ascii="Arial" w:cs="Arial" w:eastAsia="Arial" w:hAnsi="Arial"/>
                <w:sz w:val="19"/>
                <w:szCs w:val="19"/>
                <w:color w:val="0000EE"/>
              </w:rPr>
            </w:pPr>
            <w:hyperlink r:id="rId22">
              <w:r>
                <w:rPr>
                  <w:rFonts w:ascii="Arial" w:cs="Arial" w:eastAsia="Arial" w:hAnsi="Arial"/>
                  <w:sz w:val="19"/>
                  <w:szCs w:val="19"/>
                  <w:color w:val="0000EE"/>
                </w:rPr>
                <w:t>2019 Equity Incentive Plan and forms of agreements thereunder</w:t>
              </w:r>
            </w:hyperlink>
          </w:p>
        </w:tc>
        <w:tc>
          <w:tcPr>
            <w:tcW w:w="820" w:type="dxa"/>
            <w:vAlign w:val="bottom"/>
            <w:gridSpan w:val="2"/>
          </w:tcPr>
          <w:p>
            <w:pPr>
              <w:jc w:val="right"/>
              <w:ind w:right="460"/>
              <w:spacing w:after="0" w:line="208" w:lineRule="exact"/>
              <w:rPr>
                <w:sz w:val="20"/>
                <w:szCs w:val="20"/>
                <w:color w:val="auto"/>
              </w:rPr>
            </w:pPr>
            <w:r>
              <w:rPr>
                <w:rFonts w:ascii="Arial" w:cs="Arial" w:eastAsia="Arial" w:hAnsi="Arial"/>
                <w:sz w:val="19"/>
                <w:szCs w:val="19"/>
                <w:color w:val="auto"/>
              </w:rPr>
              <w:t>S-1</w:t>
            </w:r>
          </w:p>
        </w:tc>
        <w:tc>
          <w:tcPr>
            <w:tcW w:w="1440" w:type="dxa"/>
            <w:vAlign w:val="bottom"/>
            <w:gridSpan w:val="2"/>
          </w:tcPr>
          <w:p>
            <w:pPr>
              <w:jc w:val="right"/>
              <w:ind w:right="460"/>
              <w:spacing w:after="0" w:line="208" w:lineRule="exact"/>
              <w:rPr>
                <w:sz w:val="20"/>
                <w:szCs w:val="20"/>
                <w:color w:val="auto"/>
              </w:rPr>
            </w:pPr>
            <w:r>
              <w:rPr>
                <w:rFonts w:ascii="Arial" w:cs="Arial" w:eastAsia="Arial" w:hAnsi="Arial"/>
                <w:sz w:val="19"/>
                <w:szCs w:val="19"/>
                <w:color w:val="auto"/>
                <w:w w:val="94"/>
              </w:rPr>
              <w:t>333-229152</w:t>
            </w:r>
          </w:p>
        </w:tc>
        <w:tc>
          <w:tcPr>
            <w:tcW w:w="940" w:type="dxa"/>
            <w:vAlign w:val="bottom"/>
            <w:gridSpan w:val="2"/>
          </w:tcPr>
          <w:p>
            <w:pPr>
              <w:jc w:val="right"/>
              <w:ind w:right="460"/>
              <w:spacing w:after="0" w:line="208" w:lineRule="exact"/>
              <w:rPr>
                <w:sz w:val="20"/>
                <w:szCs w:val="20"/>
                <w:color w:val="auto"/>
              </w:rPr>
            </w:pPr>
            <w:r>
              <w:rPr>
                <w:rFonts w:ascii="Arial" w:cs="Arial" w:eastAsia="Arial" w:hAnsi="Arial"/>
                <w:sz w:val="19"/>
                <w:szCs w:val="19"/>
                <w:color w:val="auto"/>
              </w:rPr>
              <w:t>10.3</w:t>
            </w:r>
          </w:p>
        </w:tc>
        <w:tc>
          <w:tcPr>
            <w:tcW w:w="7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1/7/19</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 w:type="dxa"/>
            <w:vAlign w:val="bottom"/>
          </w:tcPr>
          <w:p>
            <w:pPr>
              <w:spacing w:after="0" w:line="208" w:lineRule="exact"/>
              <w:rPr>
                <w:sz w:val="20"/>
                <w:szCs w:val="20"/>
                <w:color w:val="auto"/>
              </w:rPr>
            </w:pPr>
            <w:r>
              <w:rPr>
                <w:rFonts w:ascii="Arial" w:cs="Arial" w:eastAsia="Arial" w:hAnsi="Arial"/>
                <w:sz w:val="19"/>
                <w:szCs w:val="19"/>
                <w:color w:val="auto"/>
              </w:rPr>
              <w:t>4.4</w:t>
            </w:r>
          </w:p>
        </w:tc>
        <w:tc>
          <w:tcPr>
            <w:tcW w:w="100" w:type="dxa"/>
            <w:vAlign w:val="bottom"/>
          </w:tcPr>
          <w:p>
            <w:pPr>
              <w:spacing w:after="0"/>
              <w:rPr>
                <w:sz w:val="18"/>
                <w:szCs w:val="18"/>
                <w:color w:val="auto"/>
              </w:rPr>
            </w:pPr>
          </w:p>
        </w:tc>
        <w:tc>
          <w:tcPr>
            <w:tcW w:w="6840" w:type="dxa"/>
            <w:vAlign w:val="bottom"/>
            <w:gridSpan w:val="13"/>
          </w:tcPr>
          <w:p>
            <w:pPr>
              <w:spacing w:after="0" w:line="208" w:lineRule="exact"/>
              <w:rPr>
                <w:rFonts w:ascii="Arial" w:cs="Arial" w:eastAsia="Arial" w:hAnsi="Arial"/>
                <w:sz w:val="19"/>
                <w:szCs w:val="19"/>
                <w:color w:val="0000EE"/>
              </w:rPr>
            </w:pPr>
            <w:hyperlink r:id="rId23">
              <w:r>
                <w:rPr>
                  <w:rFonts w:ascii="Arial" w:cs="Arial" w:eastAsia="Arial" w:hAnsi="Arial"/>
                  <w:sz w:val="19"/>
                  <w:szCs w:val="19"/>
                  <w:color w:val="0000EE"/>
                </w:rPr>
                <w:t>2019 Employee Stock Purchase Plan and form of agreement thereunder</w:t>
              </w:r>
            </w:hyperlink>
          </w:p>
        </w:tc>
        <w:tc>
          <w:tcPr>
            <w:tcW w:w="820" w:type="dxa"/>
            <w:vAlign w:val="bottom"/>
            <w:gridSpan w:val="2"/>
          </w:tcPr>
          <w:p>
            <w:pPr>
              <w:jc w:val="right"/>
              <w:ind w:right="460"/>
              <w:spacing w:after="0" w:line="208" w:lineRule="exact"/>
              <w:rPr>
                <w:sz w:val="20"/>
                <w:szCs w:val="20"/>
                <w:color w:val="auto"/>
              </w:rPr>
            </w:pPr>
            <w:r>
              <w:rPr>
                <w:rFonts w:ascii="Arial" w:cs="Arial" w:eastAsia="Arial" w:hAnsi="Arial"/>
                <w:sz w:val="19"/>
                <w:szCs w:val="19"/>
                <w:color w:val="auto"/>
              </w:rPr>
              <w:t>S-1</w:t>
            </w:r>
          </w:p>
        </w:tc>
        <w:tc>
          <w:tcPr>
            <w:tcW w:w="1440" w:type="dxa"/>
            <w:vAlign w:val="bottom"/>
            <w:gridSpan w:val="2"/>
          </w:tcPr>
          <w:p>
            <w:pPr>
              <w:jc w:val="right"/>
              <w:ind w:right="460"/>
              <w:spacing w:after="0" w:line="208" w:lineRule="exact"/>
              <w:rPr>
                <w:sz w:val="20"/>
                <w:szCs w:val="20"/>
                <w:color w:val="auto"/>
              </w:rPr>
            </w:pPr>
            <w:r>
              <w:rPr>
                <w:rFonts w:ascii="Arial" w:cs="Arial" w:eastAsia="Arial" w:hAnsi="Arial"/>
                <w:sz w:val="19"/>
                <w:szCs w:val="19"/>
                <w:color w:val="auto"/>
                <w:w w:val="94"/>
              </w:rPr>
              <w:t>333-229152</w:t>
            </w:r>
          </w:p>
        </w:tc>
        <w:tc>
          <w:tcPr>
            <w:tcW w:w="940" w:type="dxa"/>
            <w:vAlign w:val="bottom"/>
            <w:gridSpan w:val="2"/>
          </w:tcPr>
          <w:p>
            <w:pPr>
              <w:jc w:val="right"/>
              <w:ind w:right="460"/>
              <w:spacing w:after="0" w:line="208" w:lineRule="exact"/>
              <w:rPr>
                <w:sz w:val="20"/>
                <w:szCs w:val="20"/>
                <w:color w:val="auto"/>
              </w:rPr>
            </w:pPr>
            <w:r>
              <w:rPr>
                <w:rFonts w:ascii="Arial" w:cs="Arial" w:eastAsia="Arial" w:hAnsi="Arial"/>
                <w:sz w:val="19"/>
                <w:szCs w:val="19"/>
                <w:color w:val="auto"/>
              </w:rPr>
              <w:t>10.4</w:t>
            </w:r>
          </w:p>
        </w:tc>
        <w:tc>
          <w:tcPr>
            <w:tcW w:w="7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1/7/19</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 w:type="dxa"/>
            <w:vAlign w:val="bottom"/>
          </w:tcPr>
          <w:p>
            <w:pPr>
              <w:spacing w:after="0" w:line="208" w:lineRule="exact"/>
              <w:rPr>
                <w:sz w:val="20"/>
                <w:szCs w:val="20"/>
                <w:color w:val="auto"/>
              </w:rPr>
            </w:pPr>
            <w:r>
              <w:rPr>
                <w:rFonts w:ascii="Arial" w:cs="Arial" w:eastAsia="Arial" w:hAnsi="Arial"/>
                <w:sz w:val="19"/>
                <w:szCs w:val="19"/>
                <w:color w:val="auto"/>
              </w:rPr>
              <w:t>5.1</w:t>
            </w:r>
          </w:p>
        </w:tc>
        <w:tc>
          <w:tcPr>
            <w:tcW w:w="100" w:type="dxa"/>
            <w:vAlign w:val="bottom"/>
          </w:tcPr>
          <w:p>
            <w:pPr>
              <w:spacing w:after="0"/>
              <w:rPr>
                <w:sz w:val="18"/>
                <w:szCs w:val="18"/>
                <w:color w:val="auto"/>
              </w:rPr>
            </w:pPr>
          </w:p>
        </w:tc>
        <w:tc>
          <w:tcPr>
            <w:tcW w:w="5580" w:type="dxa"/>
            <w:vAlign w:val="bottom"/>
            <w:tcBorders>
              <w:bottom w:val="single" w:sz="8" w:color="0000EE"/>
            </w:tcBorders>
            <w:gridSpan w:val="9"/>
          </w:tcPr>
          <w:p>
            <w:pPr>
              <w:spacing w:after="0" w:line="208" w:lineRule="exact"/>
              <w:rPr>
                <w:sz w:val="20"/>
                <w:szCs w:val="20"/>
                <w:color w:val="auto"/>
              </w:rPr>
            </w:pPr>
            <w:r>
              <w:rPr>
                <w:rFonts w:ascii="Arial" w:cs="Arial" w:eastAsia="Arial" w:hAnsi="Arial"/>
                <w:sz w:val="19"/>
                <w:szCs w:val="19"/>
                <w:color w:val="0000EE"/>
                <w:w w:val="92"/>
              </w:rPr>
              <w:t>Opinion of Wilson Sonsini Goodrich  &amp; Rosati, Professional Corporation</w:t>
            </w:r>
          </w:p>
        </w:tc>
        <w:tc>
          <w:tcPr>
            <w:tcW w:w="1260" w:type="dxa"/>
            <w:vAlign w:val="bottom"/>
            <w:gridSpan w:val="4"/>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line="208" w:lineRule="exact"/>
              <w:rPr>
                <w:sz w:val="20"/>
                <w:szCs w:val="20"/>
                <w:color w:val="auto"/>
              </w:rPr>
            </w:pPr>
            <w:r>
              <w:rPr>
                <w:rFonts w:ascii="Arial" w:cs="Arial" w:eastAsia="Arial" w:hAnsi="Arial"/>
                <w:sz w:val="19"/>
                <w:szCs w:val="19"/>
                <w:color w:val="auto"/>
              </w:rPr>
              <w:t>23.1</w:t>
            </w:r>
          </w:p>
        </w:tc>
        <w:tc>
          <w:tcPr>
            <w:tcW w:w="100" w:type="dxa"/>
            <w:vAlign w:val="bottom"/>
          </w:tcPr>
          <w:p>
            <w:pPr>
              <w:spacing w:after="0"/>
              <w:rPr>
                <w:sz w:val="18"/>
                <w:szCs w:val="18"/>
                <w:color w:val="auto"/>
              </w:rPr>
            </w:pPr>
          </w:p>
        </w:tc>
        <w:tc>
          <w:tcPr>
            <w:tcW w:w="6840" w:type="dxa"/>
            <w:vAlign w:val="bottom"/>
            <w:gridSpan w:val="13"/>
          </w:tcPr>
          <w:p>
            <w:pPr>
              <w:spacing w:after="0" w:line="208" w:lineRule="exact"/>
              <w:rPr>
                <w:sz w:val="20"/>
                <w:szCs w:val="20"/>
                <w:color w:val="auto"/>
              </w:rPr>
            </w:pPr>
            <w:r>
              <w:rPr>
                <w:rFonts w:ascii="Arial" w:cs="Arial" w:eastAsia="Arial" w:hAnsi="Arial"/>
                <w:sz w:val="19"/>
                <w:szCs w:val="19"/>
                <w:color w:val="0000EE"/>
              </w:rPr>
              <w:t>Consent of Independent Registered Public Accounting Firm</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 w:type="dxa"/>
            <w:vAlign w:val="bottom"/>
          </w:tcPr>
          <w:p>
            <w:pPr>
              <w:spacing w:after="0" w:line="208" w:lineRule="exact"/>
              <w:rPr>
                <w:sz w:val="20"/>
                <w:szCs w:val="20"/>
                <w:color w:val="auto"/>
              </w:rPr>
            </w:pPr>
            <w:r>
              <w:rPr>
                <w:rFonts w:ascii="Arial" w:cs="Arial" w:eastAsia="Arial" w:hAnsi="Arial"/>
                <w:sz w:val="19"/>
                <w:szCs w:val="19"/>
                <w:color w:val="auto"/>
              </w:rPr>
              <w:t>23.2</w:t>
            </w:r>
          </w:p>
        </w:tc>
        <w:tc>
          <w:tcPr>
            <w:tcW w:w="100" w:type="dxa"/>
            <w:vAlign w:val="bottom"/>
          </w:tcPr>
          <w:p>
            <w:pPr>
              <w:spacing w:after="0"/>
              <w:rPr>
                <w:sz w:val="18"/>
                <w:szCs w:val="18"/>
                <w:color w:val="auto"/>
              </w:rPr>
            </w:pPr>
          </w:p>
        </w:tc>
        <w:tc>
          <w:tcPr>
            <w:tcW w:w="6840" w:type="dxa"/>
            <w:vAlign w:val="bottom"/>
            <w:gridSpan w:val="13"/>
          </w:tcPr>
          <w:p>
            <w:pPr>
              <w:spacing w:after="0" w:line="208" w:lineRule="exact"/>
              <w:rPr>
                <w:sz w:val="20"/>
                <w:szCs w:val="20"/>
                <w:color w:val="auto"/>
              </w:rPr>
            </w:pPr>
            <w:r>
              <w:rPr>
                <w:rFonts w:ascii="Arial" w:cs="Arial" w:eastAsia="Arial" w:hAnsi="Arial"/>
                <w:sz w:val="19"/>
                <w:szCs w:val="19"/>
                <w:color w:val="0000EE"/>
                <w:w w:val="97"/>
              </w:rPr>
              <w:t>Consent of Wilson Sonsini Goodrich  &amp; Rosati, Professional Corporation (contained</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20" w:type="dxa"/>
            <w:vAlign w:val="bottom"/>
            <w:tcBorders>
              <w:top w:val="single" w:sz="8" w:color="0000EE"/>
              <w:bottom w:val="single" w:sz="8" w:color="0000EE"/>
            </w:tcBorders>
          </w:tcPr>
          <w:p>
            <w:pPr>
              <w:spacing w:after="0" w:line="208" w:lineRule="exact"/>
              <w:rPr>
                <w:sz w:val="20"/>
                <w:szCs w:val="20"/>
                <w:color w:val="auto"/>
              </w:rPr>
            </w:pPr>
            <w:r>
              <w:rPr>
                <w:rFonts w:ascii="Arial" w:cs="Arial" w:eastAsia="Arial" w:hAnsi="Arial"/>
                <w:sz w:val="19"/>
                <w:szCs w:val="19"/>
                <w:color w:val="0000EE"/>
                <w:w w:val="91"/>
              </w:rPr>
              <w:t>in Exhibit 5.1 hereto)</w:t>
            </w:r>
          </w:p>
        </w:tc>
        <w:tc>
          <w:tcPr>
            <w:tcW w:w="4600" w:type="dxa"/>
            <w:vAlign w:val="bottom"/>
            <w:tcBorders>
              <w:top w:val="single" w:sz="8" w:color="0000EE"/>
            </w:tcBorders>
            <w:gridSpan w:val="8"/>
          </w:tcPr>
          <w:p>
            <w:pPr>
              <w:spacing w:after="0"/>
              <w:rPr>
                <w:sz w:val="18"/>
                <w:szCs w:val="18"/>
                <w:color w:val="auto"/>
              </w:rPr>
            </w:pPr>
          </w:p>
        </w:tc>
        <w:tc>
          <w:tcPr>
            <w:tcW w:w="42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line="208" w:lineRule="exact"/>
              <w:rPr>
                <w:sz w:val="20"/>
                <w:szCs w:val="20"/>
                <w:color w:val="auto"/>
              </w:rPr>
            </w:pPr>
            <w:r>
              <w:rPr>
                <w:rFonts w:ascii="Arial" w:cs="Arial" w:eastAsia="Arial" w:hAnsi="Arial"/>
                <w:sz w:val="19"/>
                <w:szCs w:val="19"/>
                <w:color w:val="auto"/>
              </w:rPr>
              <w:t>24.1</w:t>
            </w:r>
          </w:p>
        </w:tc>
        <w:tc>
          <w:tcPr>
            <w:tcW w:w="100" w:type="dxa"/>
            <w:vAlign w:val="bottom"/>
          </w:tcPr>
          <w:p>
            <w:pPr>
              <w:spacing w:after="0"/>
              <w:rPr>
                <w:sz w:val="18"/>
                <w:szCs w:val="18"/>
                <w:color w:val="auto"/>
              </w:rPr>
            </w:pPr>
          </w:p>
        </w:tc>
        <w:tc>
          <w:tcPr>
            <w:tcW w:w="4240" w:type="dxa"/>
            <w:vAlign w:val="bottom"/>
            <w:tcBorders>
              <w:bottom w:val="single" w:sz="8" w:color="0000EE"/>
            </w:tcBorders>
            <w:gridSpan w:val="5"/>
          </w:tcPr>
          <w:p>
            <w:pPr>
              <w:spacing w:after="0" w:line="208" w:lineRule="exact"/>
              <w:rPr>
                <w:rFonts w:ascii="Arial" w:cs="Arial" w:eastAsia="Arial" w:hAnsi="Arial"/>
                <w:sz w:val="19"/>
                <w:szCs w:val="19"/>
                <w:color w:val="0000EE"/>
                <w:w w:val="90"/>
              </w:rPr>
            </w:pPr>
            <w:hyperlink w:anchor="page6">
              <w:r>
                <w:rPr>
                  <w:rFonts w:ascii="Arial" w:cs="Arial" w:eastAsia="Arial" w:hAnsi="Arial"/>
                  <w:sz w:val="19"/>
                  <w:szCs w:val="19"/>
                  <w:color w:val="0000EE"/>
                  <w:w w:val="90"/>
                </w:rPr>
                <w:t>Power of Attorney (contained on signature page hereto)</w:t>
              </w:r>
            </w:hyperlink>
          </w:p>
        </w:tc>
        <w:tc>
          <w:tcPr>
            <w:tcW w:w="2600" w:type="dxa"/>
            <w:vAlign w:val="bottom"/>
            <w:gridSpan w:val="8"/>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2240" w:h="15840" w:orient="portrait"/>
          <w:cols w:equalWidth="0" w:num="1">
            <w:col w:w="11640"/>
          </w:cols>
          <w:pgMar w:left="300" w:top="142" w:right="300" w:bottom="1440" w:gutter="0" w:footer="0" w:header="0"/>
        </w:sectPr>
      </w:pPr>
    </w:p>
    <w:bookmarkStart w:id="4" w:name="page5"/>
    <w:bookmarkEnd w:id="4"/>
    <w:p>
      <w:pPr>
        <w:ind w:left="1"/>
        <w:spacing w:after="0"/>
        <w:tabs>
          <w:tab w:leader="none" w:pos="1020" w:val="left"/>
        </w:tabs>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668260" cy="40005"/>
                    </a:xfrm>
                    <a:prstGeom prst="rect">
                      <a:avLst/>
                    </a:prstGeom>
                    <a:noFill/>
                  </pic:spPr>
                </pic:pic>
              </a:graphicData>
            </a:graphic>
          </wp:anchor>
        </w:drawing>
        <w:t>Item 9.</w:t>
      </w:r>
      <w:r>
        <w:rPr>
          <w:sz w:val="20"/>
          <w:szCs w:val="20"/>
          <w:color w:val="auto"/>
        </w:rPr>
        <w:tab/>
      </w:r>
      <w:r>
        <w:rPr>
          <w:rFonts w:ascii="Arial" w:cs="Arial" w:eastAsia="Arial" w:hAnsi="Arial"/>
          <w:sz w:val="17"/>
          <w:szCs w:val="17"/>
          <w:b w:val="1"/>
          <w:bCs w:val="1"/>
          <w:color w:val="auto"/>
        </w:rPr>
        <w:t>Undertakings.</w:t>
      </w:r>
    </w:p>
    <w:p>
      <w:pPr>
        <w:spacing w:after="0" w:line="144" w:lineRule="exact"/>
        <w:rPr>
          <w:sz w:val="20"/>
          <w:szCs w:val="20"/>
          <w:color w:val="auto"/>
        </w:rPr>
      </w:pPr>
    </w:p>
    <w:p>
      <w:pPr>
        <w:ind w:left="461" w:hanging="461"/>
        <w:spacing w:after="0"/>
        <w:tabs>
          <w:tab w:leader="none" w:pos="461"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undersigned Registrant hereby undertakes that:</w:t>
      </w:r>
    </w:p>
    <w:p>
      <w:pPr>
        <w:spacing w:after="0" w:line="138" w:lineRule="exact"/>
        <w:rPr>
          <w:rFonts w:ascii="Arial" w:cs="Arial" w:eastAsia="Arial" w:hAnsi="Arial"/>
          <w:sz w:val="19"/>
          <w:szCs w:val="19"/>
          <w:color w:val="auto"/>
        </w:rPr>
      </w:pPr>
    </w:p>
    <w:p>
      <w:pPr>
        <w:ind w:left="921" w:hanging="464"/>
        <w:spacing w:after="0"/>
        <w:tabs>
          <w:tab w:leader="none" w:pos="921" w:val="left"/>
        </w:tabs>
        <w:numPr>
          <w:ilvl w:val="1"/>
          <w:numId w:val="3"/>
        </w:numPr>
        <w:rPr>
          <w:rFonts w:ascii="Arial" w:cs="Arial" w:eastAsia="Arial" w:hAnsi="Arial"/>
          <w:sz w:val="19"/>
          <w:szCs w:val="19"/>
          <w:color w:val="auto"/>
        </w:rPr>
      </w:pPr>
      <w:r>
        <w:rPr>
          <w:rFonts w:ascii="Arial" w:cs="Arial" w:eastAsia="Arial" w:hAnsi="Arial"/>
          <w:sz w:val="19"/>
          <w:szCs w:val="19"/>
          <w:color w:val="auto"/>
        </w:rPr>
        <w:t>It will file, during any period in which offers or sales are being made, a post-effective amendment to this Registration Statement:</w:t>
      </w:r>
    </w:p>
    <w:p>
      <w:pPr>
        <w:spacing w:after="0" w:line="138" w:lineRule="exact"/>
        <w:rPr>
          <w:rFonts w:ascii="Arial" w:cs="Arial" w:eastAsia="Arial" w:hAnsi="Arial"/>
          <w:sz w:val="19"/>
          <w:szCs w:val="19"/>
          <w:color w:val="auto"/>
        </w:rPr>
      </w:pPr>
    </w:p>
    <w:p>
      <w:pPr>
        <w:ind w:left="1501" w:hanging="574"/>
        <w:spacing w:after="0"/>
        <w:tabs>
          <w:tab w:leader="none" w:pos="1501" w:val="left"/>
        </w:tabs>
        <w:numPr>
          <w:ilvl w:val="2"/>
          <w:numId w:val="3"/>
        </w:numPr>
        <w:rPr>
          <w:rFonts w:ascii="Arial" w:cs="Arial" w:eastAsia="Arial" w:hAnsi="Arial"/>
          <w:sz w:val="19"/>
          <w:szCs w:val="19"/>
          <w:color w:val="auto"/>
        </w:rPr>
      </w:pPr>
      <w:r>
        <w:rPr>
          <w:rFonts w:ascii="Arial" w:cs="Arial" w:eastAsia="Arial" w:hAnsi="Arial"/>
          <w:sz w:val="19"/>
          <w:szCs w:val="19"/>
          <w:color w:val="auto"/>
        </w:rPr>
        <w:t>To include any prospectus required by Section 10(a)(3) of the Securities Act;</w:t>
      </w:r>
    </w:p>
    <w:p>
      <w:pPr>
        <w:spacing w:after="0" w:line="138" w:lineRule="exact"/>
        <w:rPr>
          <w:rFonts w:ascii="Arial" w:cs="Arial" w:eastAsia="Arial" w:hAnsi="Arial"/>
          <w:sz w:val="19"/>
          <w:szCs w:val="19"/>
          <w:color w:val="auto"/>
        </w:rPr>
      </w:pPr>
    </w:p>
    <w:p>
      <w:pPr>
        <w:ind w:left="1501" w:right="100" w:hanging="574"/>
        <w:spacing w:after="0" w:line="288" w:lineRule="auto"/>
        <w:tabs>
          <w:tab w:leader="none" w:pos="1501"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w:t>
      </w:r>
    </w:p>
    <w:p>
      <w:pPr>
        <w:ind w:left="1501" w:right="80"/>
        <w:spacing w:after="0" w:line="270" w:lineRule="auto"/>
        <w:rPr>
          <w:sz w:val="20"/>
          <w:szCs w:val="20"/>
          <w:color w:val="auto"/>
        </w:rPr>
      </w:pPr>
      <w:r>
        <w:rPr>
          <w:rFonts w:ascii="Arial" w:cs="Arial" w:eastAsia="Arial" w:hAnsi="Arial"/>
          <w:sz w:val="18"/>
          <w:szCs w:val="18"/>
          <w:color w:val="auto"/>
        </w:rPr>
        <w:t>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â€œCalculation of Registration Feeâ€ table in the effective registration statement; and</w:t>
      </w:r>
    </w:p>
    <w:p>
      <w:pPr>
        <w:spacing w:after="0" w:line="92" w:lineRule="exact"/>
        <w:rPr>
          <w:sz w:val="20"/>
          <w:szCs w:val="20"/>
          <w:color w:val="auto"/>
        </w:rPr>
      </w:pPr>
    </w:p>
    <w:p>
      <w:pPr>
        <w:ind w:left="1501" w:right="80" w:hanging="574"/>
        <w:spacing w:after="0" w:line="275" w:lineRule="auto"/>
        <w:tabs>
          <w:tab w:leader="none" w:pos="1501" w:val="left"/>
        </w:tabs>
        <w:numPr>
          <w:ilvl w:val="0"/>
          <w:numId w:val="4"/>
        </w:numPr>
        <w:rPr>
          <w:rFonts w:ascii="Arial" w:cs="Arial" w:eastAsia="Arial" w:hAnsi="Arial"/>
          <w:sz w:val="19"/>
          <w:szCs w:val="19"/>
          <w:color w:val="auto"/>
        </w:rPr>
      </w:pPr>
      <w:r>
        <w:rPr>
          <w:rFonts w:ascii="Arial" w:cs="Arial" w:eastAsia="Arial" w:hAnsi="Arial"/>
          <w:sz w:val="19"/>
          <w:szCs w:val="19"/>
          <w:color w:val="auto"/>
        </w:rPr>
        <w:t>To include any material information with respect to the plan of distribution not previously disclosed in the Registration Statement or any material change to such information in the Registration Statement.</w:t>
      </w:r>
    </w:p>
    <w:p>
      <w:pPr>
        <w:spacing w:after="0" w:line="184" w:lineRule="exact"/>
        <w:rPr>
          <w:sz w:val="20"/>
          <w:szCs w:val="20"/>
          <w:color w:val="auto"/>
        </w:rPr>
      </w:pPr>
    </w:p>
    <w:p>
      <w:pPr>
        <w:ind w:left="1" w:right="140"/>
        <w:spacing w:after="0" w:line="263"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paragraphs (A)(1)(i) and (A)(1)(ii) do not apply if the information required to be included in a post-effective amendment by</w:t>
      </w:r>
      <w:r>
        <w:rPr>
          <w:rFonts w:ascii="Arial" w:cs="Arial" w:eastAsia="Arial" w:hAnsi="Arial"/>
          <w:sz w:val="19"/>
          <w:szCs w:val="19"/>
          <w:i w:val="1"/>
          <w:iCs w:val="1"/>
          <w:color w:val="auto"/>
        </w:rPr>
        <w:t xml:space="preserve"> </w:t>
      </w:r>
      <w:r>
        <w:rPr>
          <w:rFonts w:ascii="Arial" w:cs="Arial" w:eastAsia="Arial" w:hAnsi="Arial"/>
          <w:sz w:val="19"/>
          <w:szCs w:val="19"/>
          <w:color w:val="auto"/>
        </w:rPr>
        <w:t>those paragraphs is contained in periodic reports filed with or furnished to the Commission by the Registrant pursuant to Section 13 or Section 15(d) of the Exchange Act that are incorporated by reference in this Registration Statement.</w:t>
      </w:r>
    </w:p>
    <w:p>
      <w:pPr>
        <w:spacing w:after="0" w:line="95" w:lineRule="exact"/>
        <w:rPr>
          <w:sz w:val="20"/>
          <w:szCs w:val="20"/>
          <w:color w:val="auto"/>
        </w:rPr>
      </w:pPr>
    </w:p>
    <w:p>
      <w:pPr>
        <w:ind w:left="921" w:hanging="464"/>
        <w:spacing w:after="0" w:line="263" w:lineRule="auto"/>
        <w:tabs>
          <w:tab w:leader="none" w:pos="921" w:val="left"/>
        </w:tabs>
        <w:numPr>
          <w:ilvl w:val="1"/>
          <w:numId w:val="5"/>
        </w:numPr>
        <w:rPr>
          <w:rFonts w:ascii="Arial" w:cs="Arial" w:eastAsia="Arial" w:hAnsi="Arial"/>
          <w:sz w:val="19"/>
          <w:szCs w:val="19"/>
          <w:color w:val="auto"/>
        </w:rPr>
      </w:pPr>
      <w:r>
        <w:rPr>
          <w:rFonts w:ascii="Arial" w:cs="Arial" w:eastAsia="Arial" w:hAnsi="Arial"/>
          <w:sz w:val="19"/>
          <w:szCs w:val="19"/>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94" w:lineRule="exact"/>
        <w:rPr>
          <w:rFonts w:ascii="Arial" w:cs="Arial" w:eastAsia="Arial" w:hAnsi="Arial"/>
          <w:sz w:val="19"/>
          <w:szCs w:val="19"/>
          <w:color w:val="auto"/>
        </w:rPr>
      </w:pPr>
    </w:p>
    <w:p>
      <w:pPr>
        <w:ind w:left="921" w:right="240" w:hanging="464"/>
        <w:spacing w:after="0" w:line="275" w:lineRule="auto"/>
        <w:tabs>
          <w:tab w:leader="none" w:pos="921" w:val="left"/>
        </w:tabs>
        <w:numPr>
          <w:ilvl w:val="1"/>
          <w:numId w:val="5"/>
        </w:numPr>
        <w:rPr>
          <w:rFonts w:ascii="Arial" w:cs="Arial" w:eastAsia="Arial" w:hAnsi="Arial"/>
          <w:sz w:val="19"/>
          <w:szCs w:val="19"/>
          <w:color w:val="auto"/>
        </w:rPr>
      </w:pPr>
      <w:r>
        <w:rPr>
          <w:rFonts w:ascii="Arial" w:cs="Arial" w:eastAsia="Arial" w:hAnsi="Arial"/>
          <w:sz w:val="19"/>
          <w:szCs w:val="19"/>
          <w:color w:val="auto"/>
        </w:rPr>
        <w:t>It will remove from registration by means of a post-effective amendment any of the securities being registered which remain unsold at the termination of the offering.</w:t>
      </w:r>
    </w:p>
    <w:p>
      <w:pPr>
        <w:spacing w:after="0" w:line="84" w:lineRule="exact"/>
        <w:rPr>
          <w:rFonts w:ascii="Arial" w:cs="Arial" w:eastAsia="Arial" w:hAnsi="Arial"/>
          <w:sz w:val="19"/>
          <w:szCs w:val="19"/>
          <w:color w:val="auto"/>
        </w:rPr>
      </w:pPr>
    </w:p>
    <w:p>
      <w:pPr>
        <w:ind w:left="461" w:right="100" w:hanging="461"/>
        <w:spacing w:after="0" w:line="256" w:lineRule="auto"/>
        <w:tabs>
          <w:tab w:leader="none" w:pos="461"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undersigned Registrant hereby undertakes that, for purposes of determining any liability under the Securities Act, each filing of the Registrantâ€™s annual report pursuant to Section 13(a) or Section 15(d) of the Exchange Act (and, where applicable, each filing of an employee benefit planâ€™s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3" w:lineRule="exact"/>
        <w:rPr>
          <w:rFonts w:ascii="Arial" w:cs="Arial" w:eastAsia="Arial" w:hAnsi="Arial"/>
          <w:sz w:val="19"/>
          <w:szCs w:val="19"/>
          <w:color w:val="auto"/>
        </w:rPr>
      </w:pPr>
    </w:p>
    <w:p>
      <w:pPr>
        <w:ind w:left="461" w:right="80" w:hanging="461"/>
        <w:spacing w:after="0" w:line="270" w:lineRule="auto"/>
        <w:tabs>
          <w:tab w:leader="none" w:pos="46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2240" w:h="15840" w:orient="portrait"/>
          <w:cols w:equalWidth="0" w:num="1">
            <w:col w:w="11641"/>
          </w:cols>
          <w:pgMar w:left="299" w:top="136" w:right="300" w:bottom="1440" w:gutter="0" w:footer="0" w:header="0"/>
        </w:sectPr>
      </w:pPr>
    </w:p>
    <w:bookmarkStart w:id="5" w:name="page6"/>
    <w:bookmarkEnd w:id="5"/>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SIGNATURES</w:t>
      </w:r>
    </w:p>
    <w:p>
      <w:pPr>
        <w:spacing w:after="0" w:line="244" w:lineRule="exact"/>
        <w:rPr>
          <w:sz w:val="20"/>
          <w:szCs w:val="20"/>
          <w:color w:val="auto"/>
        </w:rPr>
      </w:pPr>
    </w:p>
    <w:p>
      <w:pPr>
        <w:ind w:right="380" w:firstLine="465"/>
        <w:spacing w:after="0" w:line="28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the 7</w:t>
      </w:r>
      <w:r>
        <w:rPr>
          <w:rFonts w:ascii="Arial" w:cs="Arial" w:eastAsia="Arial" w:hAnsi="Arial"/>
          <w:sz w:val="15"/>
          <w:szCs w:val="15"/>
          <w:color w:val="auto"/>
        </w:rPr>
        <w:t>th</w:t>
      </w:r>
      <w:r>
        <w:rPr>
          <w:rFonts w:ascii="Arial" w:cs="Arial" w:eastAsia="Arial" w:hAnsi="Arial"/>
          <w:sz w:val="18"/>
          <w:szCs w:val="18"/>
          <w:color w:val="auto"/>
        </w:rPr>
        <w:t xml:space="preserve"> day of February 2019.</w:t>
      </w:r>
    </w:p>
    <w:p>
      <w:pPr>
        <w:spacing w:after="0" w:line="200" w:lineRule="exact"/>
        <w:rPr>
          <w:sz w:val="20"/>
          <w:szCs w:val="20"/>
          <w:color w:val="auto"/>
        </w:rPr>
      </w:pPr>
    </w:p>
    <w:p>
      <w:pPr>
        <w:ind w:left="6980"/>
        <w:spacing w:after="0"/>
        <w:rPr>
          <w:sz w:val="20"/>
          <w:szCs w:val="20"/>
          <w:color w:val="auto"/>
        </w:rPr>
      </w:pPr>
      <w:r>
        <w:rPr>
          <w:rFonts w:ascii="Arial" w:cs="Arial" w:eastAsia="Arial" w:hAnsi="Arial"/>
          <w:sz w:val="19"/>
          <w:szCs w:val="19"/>
          <w:b w:val="1"/>
          <w:bCs w:val="1"/>
          <w:color w:val="auto"/>
        </w:rPr>
        <w:t>ALECTOR, INC.</w:t>
      </w:r>
    </w:p>
    <w:p>
      <w:pPr>
        <w:spacing w:after="0" w:line="244"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By:  /s/ Arnon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4681220</wp:posOffset>
            </wp:positionH>
            <wp:positionV relativeFrom="paragraph">
              <wp:posOffset>15240</wp:posOffset>
            </wp:positionV>
            <wp:extent cx="27076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2707640" cy="8890"/>
                    </a:xfrm>
                    <a:prstGeom prst="rect">
                      <a:avLst/>
                    </a:prstGeom>
                    <a:noFill/>
                  </pic:spPr>
                </pic:pic>
              </a:graphicData>
            </a:graphic>
          </wp:anchor>
        </w:drawing>
      </w:r>
    </w:p>
    <w:p>
      <w:pPr>
        <w:spacing w:after="0" w:line="18" w:lineRule="exact"/>
        <w:rPr>
          <w:sz w:val="20"/>
          <w:szCs w:val="20"/>
          <w:color w:val="auto"/>
        </w:rPr>
      </w:pPr>
    </w:p>
    <w:p>
      <w:pPr>
        <w:ind w:left="7380"/>
        <w:spacing w:after="0"/>
        <w:rPr>
          <w:sz w:val="20"/>
          <w:szCs w:val="20"/>
          <w:color w:val="auto"/>
        </w:rPr>
      </w:pPr>
      <w:r>
        <w:rPr>
          <w:rFonts w:ascii="Arial" w:cs="Arial" w:eastAsia="Arial" w:hAnsi="Arial"/>
          <w:sz w:val="19"/>
          <w:szCs w:val="19"/>
          <w:color w:val="auto"/>
        </w:rPr>
        <w:t>Arnon Rosenthal, Ph.D.</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9"/>
          <w:szCs w:val="19"/>
          <w:i w:val="1"/>
          <w:iCs w:val="1"/>
          <w:color w:val="auto"/>
        </w:rPr>
        <w:t>Co-Founder and Chief Executive Officer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44" w:lineRule="exact"/>
        <w:rPr>
          <w:sz w:val="20"/>
          <w:szCs w:val="20"/>
          <w:color w:val="auto"/>
        </w:rPr>
      </w:pPr>
    </w:p>
    <w:p>
      <w:pPr>
        <w:ind w:firstLine="465"/>
        <w:spacing w:after="0" w:line="289" w:lineRule="auto"/>
        <w:rPr>
          <w:sz w:val="20"/>
          <w:szCs w:val="20"/>
          <w:color w:val="auto"/>
        </w:rPr>
      </w:pPr>
      <w:r>
        <w:rPr>
          <w:rFonts w:ascii="Arial" w:cs="Arial" w:eastAsia="Arial" w:hAnsi="Arial"/>
          <w:sz w:val="17"/>
          <w:szCs w:val="17"/>
          <w:i w:val="1"/>
          <w:iCs w:val="1"/>
          <w:color w:val="auto"/>
        </w:rPr>
        <w:t>KNOW ALL PERSONS BY THESE PRESENTS</w:t>
      </w:r>
      <w:r>
        <w:rPr>
          <w:rFonts w:ascii="Arial" w:cs="Arial" w:eastAsia="Arial" w:hAnsi="Arial"/>
          <w:sz w:val="17"/>
          <w:szCs w:val="17"/>
          <w:color w:val="auto"/>
        </w:rPr>
        <w:t>, that each person whose signature appears below hereby constitutes and appoints Arnon Rosenthal,</w:t>
      </w:r>
      <w:r>
        <w:rPr>
          <w:rFonts w:ascii="Arial" w:cs="Arial" w:eastAsia="Arial" w:hAnsi="Arial"/>
          <w:sz w:val="17"/>
          <w:szCs w:val="17"/>
          <w:i w:val="1"/>
          <w:iCs w:val="1"/>
          <w:color w:val="auto"/>
        </w:rPr>
        <w:t xml:space="preserve"> </w:t>
      </w:r>
      <w:r>
        <w:rPr>
          <w:rFonts w:ascii="Arial" w:cs="Arial" w:eastAsia="Arial" w:hAnsi="Arial"/>
          <w:sz w:val="17"/>
          <w:szCs w:val="17"/>
          <w:color w:val="auto"/>
        </w:rPr>
        <w:t>Ph.D., Sabah Oney, Ph.D., and Calvin Yu, and each of them, as his or her true and lawful attorney-in-fact and agent with full power of substitution, for him or her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might or could do in person, hereby ratifying and confirming all that said attorney-in-fact, proxy and agent, or his or her substitute, may lawfully do or cause to be done by virtue hereof.</w:t>
      </w:r>
    </w:p>
    <w:p>
      <w:pPr>
        <w:spacing w:after="0" w:line="178" w:lineRule="exact"/>
        <w:rPr>
          <w:sz w:val="20"/>
          <w:szCs w:val="20"/>
          <w:color w:val="auto"/>
        </w:rPr>
      </w:pPr>
    </w:p>
    <w:p>
      <w:pPr>
        <w:ind w:right="40" w:firstLine="465"/>
        <w:spacing w:after="0" w:line="275" w:lineRule="auto"/>
        <w:rPr>
          <w:sz w:val="20"/>
          <w:szCs w:val="20"/>
          <w:color w:val="auto"/>
        </w:rPr>
      </w:pPr>
      <w:r>
        <w:rPr>
          <w:rFonts w:ascii="Arial" w:cs="Arial" w:eastAsia="Arial" w:hAnsi="Arial"/>
          <w:sz w:val="19"/>
          <w:szCs w:val="19"/>
          <w:color w:val="auto"/>
        </w:rPr>
        <w:t>Pursuant to the requirements of the Securities Act of 1933, this registration statement on Form S-8 has been signed by the following persons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40" w:type="dxa"/>
            <w:vAlign w:val="bottom"/>
            <w:tcBorders>
              <w:bottom w:val="single" w:sz="8" w:color="auto"/>
            </w:tcBorders>
          </w:tcPr>
          <w:p>
            <w:pPr>
              <w:ind w:left="1860"/>
              <w:spacing w:after="0"/>
              <w:rPr>
                <w:sz w:val="20"/>
                <w:szCs w:val="20"/>
                <w:color w:val="auto"/>
              </w:rPr>
            </w:pPr>
            <w:r>
              <w:rPr>
                <w:rFonts w:ascii="Arial" w:cs="Arial" w:eastAsia="Arial" w:hAnsi="Arial"/>
                <w:sz w:val="15"/>
                <w:szCs w:val="15"/>
                <w:b w:val="1"/>
                <w:bCs w:val="1"/>
                <w:color w:val="auto"/>
              </w:rPr>
              <w:t>Signature</w:t>
            </w:r>
          </w:p>
        </w:tc>
        <w:tc>
          <w:tcPr>
            <w:tcW w:w="100" w:type="dxa"/>
            <w:vAlign w:val="bottom"/>
          </w:tcPr>
          <w:p>
            <w:pPr>
              <w:spacing w:after="0"/>
              <w:rPr>
                <w:sz w:val="15"/>
                <w:szCs w:val="15"/>
                <w:color w:val="auto"/>
              </w:rPr>
            </w:pPr>
          </w:p>
        </w:tc>
        <w:tc>
          <w:tcPr>
            <w:tcW w:w="5200" w:type="dxa"/>
            <w:vAlign w:val="bottom"/>
            <w:tcBorders>
              <w:bottom w:val="single" w:sz="8" w:color="auto"/>
            </w:tcBorders>
          </w:tcPr>
          <w:p>
            <w:pPr>
              <w:ind w:left="2460"/>
              <w:spacing w:after="0"/>
              <w:rPr>
                <w:sz w:val="20"/>
                <w:szCs w:val="20"/>
                <w:color w:val="auto"/>
              </w:rPr>
            </w:pPr>
            <w:r>
              <w:rPr>
                <w:rFonts w:ascii="Arial" w:cs="Arial" w:eastAsia="Arial" w:hAnsi="Arial"/>
                <w:sz w:val="15"/>
                <w:szCs w:val="15"/>
                <w:b w:val="1"/>
                <w:bCs w:val="1"/>
                <w:color w:val="auto"/>
              </w:rPr>
              <w:t>Title</w:t>
            </w:r>
          </w:p>
        </w:tc>
        <w:tc>
          <w:tcPr>
            <w:tcW w:w="220" w:type="dxa"/>
            <w:vAlign w:val="bottom"/>
          </w:tcPr>
          <w:p>
            <w:pPr>
              <w:spacing w:after="0"/>
              <w:rPr>
                <w:sz w:val="15"/>
                <w:szCs w:val="15"/>
                <w:color w:val="auto"/>
              </w:rPr>
            </w:pPr>
          </w:p>
        </w:tc>
        <w:tc>
          <w:tcPr>
            <w:tcW w:w="1780" w:type="dxa"/>
            <w:vAlign w:val="bottom"/>
            <w:tcBorders>
              <w:bottom w:val="single" w:sz="8" w:color="auto"/>
            </w:tcBorders>
          </w:tcPr>
          <w:p>
            <w:pPr>
              <w:ind w:left="740"/>
              <w:spacing w:after="0"/>
              <w:rPr>
                <w:sz w:val="20"/>
                <w:szCs w:val="20"/>
                <w:color w:val="auto"/>
              </w:rPr>
            </w:pPr>
            <w:r>
              <w:rPr>
                <w:rFonts w:ascii="Arial" w:cs="Arial" w:eastAsia="Arial" w:hAnsi="Arial"/>
                <w:sz w:val="15"/>
                <w:szCs w:val="15"/>
                <w:b w:val="1"/>
                <w:bCs w:val="1"/>
                <w:color w:val="auto"/>
              </w:rPr>
              <w:t>Date</w:t>
            </w:r>
          </w:p>
        </w:tc>
      </w:tr>
      <w:tr>
        <w:trPr>
          <w:trHeight w:val="464"/>
        </w:trPr>
        <w:tc>
          <w:tcPr>
            <w:tcW w:w="43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Arnon Rosenthal</w:t>
            </w:r>
          </w:p>
        </w:tc>
        <w:tc>
          <w:tcPr>
            <w:tcW w:w="10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Arial" w:cs="Arial" w:eastAsia="Arial" w:hAnsi="Arial"/>
                <w:sz w:val="19"/>
                <w:szCs w:val="19"/>
                <w:color w:val="auto"/>
              </w:rPr>
              <w:t>Chief Executive Officer and Director</w:t>
            </w:r>
          </w:p>
        </w:tc>
        <w:tc>
          <w:tcPr>
            <w:tcW w:w="22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9"/>
                <w:szCs w:val="19"/>
                <w:color w:val="auto"/>
              </w:rPr>
              <w:t>February 7, 2019</w:t>
            </w:r>
          </w:p>
        </w:tc>
      </w:tr>
      <w:tr>
        <w:trPr>
          <w:trHeight w:val="237"/>
        </w:trPr>
        <w:tc>
          <w:tcPr>
            <w:tcW w:w="4340" w:type="dxa"/>
            <w:vAlign w:val="bottom"/>
          </w:tcPr>
          <w:p>
            <w:pPr>
              <w:spacing w:after="0"/>
              <w:rPr>
                <w:sz w:val="20"/>
                <w:szCs w:val="20"/>
                <w:color w:val="auto"/>
              </w:rPr>
            </w:pPr>
            <w:r>
              <w:rPr>
                <w:rFonts w:ascii="Arial" w:cs="Arial" w:eastAsia="Arial" w:hAnsi="Arial"/>
                <w:sz w:val="19"/>
                <w:szCs w:val="19"/>
                <w:color w:val="auto"/>
              </w:rPr>
              <w:t>Arnon Rosenthal, Ph.D.</w:t>
            </w:r>
          </w:p>
        </w:tc>
        <w:tc>
          <w:tcPr>
            <w:tcW w:w="10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9"/>
                <w:szCs w:val="19"/>
                <w:i w:val="1"/>
                <w:iCs w:val="1"/>
                <w:color w:val="auto"/>
              </w:rPr>
              <w:t>(Principal Executive Officer)</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6"/>
        </w:trPr>
        <w:tc>
          <w:tcPr>
            <w:tcW w:w="43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Calvin Yu</w:t>
            </w:r>
          </w:p>
        </w:tc>
        <w:tc>
          <w:tcPr>
            <w:tcW w:w="10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Arial" w:cs="Arial" w:eastAsia="Arial" w:hAnsi="Arial"/>
                <w:sz w:val="19"/>
                <w:szCs w:val="19"/>
                <w:color w:val="auto"/>
              </w:rPr>
              <w:t>Vice President, Finance</w:t>
            </w:r>
          </w:p>
        </w:tc>
        <w:tc>
          <w:tcPr>
            <w:tcW w:w="22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9"/>
                <w:szCs w:val="19"/>
                <w:color w:val="auto"/>
              </w:rPr>
              <w:t>February 7, 2019</w:t>
            </w:r>
          </w:p>
        </w:tc>
      </w:tr>
      <w:tr>
        <w:trPr>
          <w:trHeight w:val="237"/>
        </w:trPr>
        <w:tc>
          <w:tcPr>
            <w:tcW w:w="4340" w:type="dxa"/>
            <w:vAlign w:val="bottom"/>
          </w:tcPr>
          <w:p>
            <w:pPr>
              <w:spacing w:after="0"/>
              <w:rPr>
                <w:sz w:val="20"/>
                <w:szCs w:val="20"/>
                <w:color w:val="auto"/>
              </w:rPr>
            </w:pPr>
            <w:r>
              <w:rPr>
                <w:rFonts w:ascii="Arial" w:cs="Arial" w:eastAsia="Arial" w:hAnsi="Arial"/>
                <w:sz w:val="19"/>
                <w:szCs w:val="19"/>
                <w:color w:val="auto"/>
              </w:rPr>
              <w:t>Calvin Yu</w:t>
            </w:r>
          </w:p>
        </w:tc>
        <w:tc>
          <w:tcPr>
            <w:tcW w:w="10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Principal Financial and Accounting Officer</w:t>
            </w:r>
            <w:r>
              <w:rPr>
                <w:rFonts w:ascii="Arial" w:cs="Arial" w:eastAsia="Arial" w:hAnsi="Arial"/>
                <w:sz w:val="19"/>
                <w:szCs w:val="19"/>
                <w:color w:val="auto"/>
              </w:rPr>
              <w:t>)</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7"/>
        </w:trPr>
        <w:tc>
          <w:tcPr>
            <w:tcW w:w="43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Tillman Gerngross</w:t>
            </w:r>
          </w:p>
        </w:tc>
        <w:tc>
          <w:tcPr>
            <w:tcW w:w="10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Arial" w:cs="Arial" w:eastAsia="Arial" w:hAnsi="Arial"/>
                <w:sz w:val="19"/>
                <w:szCs w:val="19"/>
                <w:color w:val="auto"/>
              </w:rPr>
              <w:t>Chairperson of the Board</w:t>
            </w:r>
          </w:p>
        </w:tc>
        <w:tc>
          <w:tcPr>
            <w:tcW w:w="22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9"/>
                <w:szCs w:val="19"/>
                <w:color w:val="auto"/>
              </w:rPr>
              <w:t>February 7, 2019</w:t>
            </w:r>
          </w:p>
        </w:tc>
      </w:tr>
      <w:tr>
        <w:trPr>
          <w:trHeight w:val="236"/>
        </w:trPr>
        <w:tc>
          <w:tcPr>
            <w:tcW w:w="4340" w:type="dxa"/>
            <w:vAlign w:val="bottom"/>
          </w:tcPr>
          <w:p>
            <w:pPr>
              <w:spacing w:after="0"/>
              <w:rPr>
                <w:sz w:val="20"/>
                <w:szCs w:val="20"/>
                <w:color w:val="auto"/>
              </w:rPr>
            </w:pPr>
            <w:r>
              <w:rPr>
                <w:rFonts w:ascii="Arial" w:cs="Arial" w:eastAsia="Arial" w:hAnsi="Arial"/>
                <w:sz w:val="19"/>
                <w:szCs w:val="19"/>
                <w:color w:val="auto"/>
              </w:rPr>
              <w:t>Tillman Gerngross, Ph.D.</w:t>
            </w:r>
          </w:p>
        </w:tc>
        <w:tc>
          <w:tcPr>
            <w:tcW w:w="1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685"/>
        </w:trPr>
        <w:tc>
          <w:tcPr>
            <w:tcW w:w="43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Carl Gordon</w:t>
            </w:r>
          </w:p>
        </w:tc>
        <w:tc>
          <w:tcPr>
            <w:tcW w:w="10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Arial" w:cs="Arial" w:eastAsia="Arial" w:hAnsi="Arial"/>
                <w:sz w:val="19"/>
                <w:szCs w:val="19"/>
                <w:color w:val="auto"/>
              </w:rPr>
              <w:t>Director</w:t>
            </w:r>
          </w:p>
        </w:tc>
        <w:tc>
          <w:tcPr>
            <w:tcW w:w="22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9"/>
                <w:szCs w:val="19"/>
                <w:color w:val="auto"/>
              </w:rPr>
              <w:t>February 7, 2019</w:t>
            </w:r>
          </w:p>
        </w:tc>
      </w:tr>
      <w:tr>
        <w:trPr>
          <w:trHeight w:val="236"/>
        </w:trPr>
        <w:tc>
          <w:tcPr>
            <w:tcW w:w="4340" w:type="dxa"/>
            <w:vAlign w:val="bottom"/>
          </w:tcPr>
          <w:p>
            <w:pPr>
              <w:spacing w:after="0"/>
              <w:rPr>
                <w:sz w:val="20"/>
                <w:szCs w:val="20"/>
                <w:color w:val="auto"/>
              </w:rPr>
            </w:pPr>
            <w:r>
              <w:rPr>
                <w:rFonts w:ascii="Arial" w:cs="Arial" w:eastAsia="Arial" w:hAnsi="Arial"/>
                <w:sz w:val="19"/>
                <w:szCs w:val="19"/>
                <w:color w:val="auto"/>
              </w:rPr>
              <w:t>Carl Gordon, Ph.D., CFA</w:t>
            </w:r>
          </w:p>
        </w:tc>
        <w:tc>
          <w:tcPr>
            <w:tcW w:w="1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7"/>
        </w:trPr>
        <w:tc>
          <w:tcPr>
            <w:tcW w:w="43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Louis J. Lavigne, Jr.</w:t>
            </w:r>
          </w:p>
        </w:tc>
        <w:tc>
          <w:tcPr>
            <w:tcW w:w="10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Arial" w:cs="Arial" w:eastAsia="Arial" w:hAnsi="Arial"/>
                <w:sz w:val="19"/>
                <w:szCs w:val="19"/>
                <w:color w:val="auto"/>
              </w:rPr>
              <w:t>Director</w:t>
            </w:r>
          </w:p>
        </w:tc>
        <w:tc>
          <w:tcPr>
            <w:tcW w:w="22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9"/>
                <w:szCs w:val="19"/>
                <w:color w:val="auto"/>
              </w:rPr>
              <w:t>February 7, 2019</w:t>
            </w:r>
          </w:p>
        </w:tc>
      </w:tr>
      <w:tr>
        <w:trPr>
          <w:trHeight w:val="236"/>
        </w:trPr>
        <w:tc>
          <w:tcPr>
            <w:tcW w:w="4340" w:type="dxa"/>
            <w:vAlign w:val="bottom"/>
          </w:tcPr>
          <w:p>
            <w:pPr>
              <w:spacing w:after="0"/>
              <w:rPr>
                <w:sz w:val="20"/>
                <w:szCs w:val="20"/>
                <w:color w:val="auto"/>
              </w:rPr>
            </w:pPr>
            <w:r>
              <w:rPr>
                <w:rFonts w:ascii="Arial" w:cs="Arial" w:eastAsia="Arial" w:hAnsi="Arial"/>
                <w:sz w:val="19"/>
                <w:szCs w:val="19"/>
                <w:color w:val="auto"/>
              </w:rPr>
              <w:t>Louis J. Lavigne, Jr.</w:t>
            </w:r>
          </w:p>
        </w:tc>
        <w:tc>
          <w:tcPr>
            <w:tcW w:w="1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7"/>
        </w:trPr>
        <w:tc>
          <w:tcPr>
            <w:tcW w:w="43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Terry McGuire</w:t>
            </w:r>
          </w:p>
        </w:tc>
        <w:tc>
          <w:tcPr>
            <w:tcW w:w="10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Arial" w:cs="Arial" w:eastAsia="Arial" w:hAnsi="Arial"/>
                <w:sz w:val="19"/>
                <w:szCs w:val="19"/>
                <w:color w:val="auto"/>
              </w:rPr>
              <w:t>Director</w:t>
            </w:r>
          </w:p>
        </w:tc>
        <w:tc>
          <w:tcPr>
            <w:tcW w:w="22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9"/>
                <w:szCs w:val="19"/>
                <w:color w:val="auto"/>
              </w:rPr>
              <w:t>February 7, 2019</w:t>
            </w:r>
          </w:p>
        </w:tc>
      </w:tr>
      <w:tr>
        <w:trPr>
          <w:trHeight w:val="236"/>
        </w:trPr>
        <w:tc>
          <w:tcPr>
            <w:tcW w:w="4340" w:type="dxa"/>
            <w:vAlign w:val="bottom"/>
          </w:tcPr>
          <w:p>
            <w:pPr>
              <w:spacing w:after="0"/>
              <w:rPr>
                <w:sz w:val="20"/>
                <w:szCs w:val="20"/>
                <w:color w:val="auto"/>
              </w:rPr>
            </w:pPr>
            <w:r>
              <w:rPr>
                <w:rFonts w:ascii="Arial" w:cs="Arial" w:eastAsia="Arial" w:hAnsi="Arial"/>
                <w:sz w:val="19"/>
                <w:szCs w:val="19"/>
                <w:color w:val="auto"/>
              </w:rPr>
              <w:t>Terry McGuire</w:t>
            </w:r>
          </w:p>
        </w:tc>
        <w:tc>
          <w:tcPr>
            <w:tcW w:w="1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7"/>
        </w:trPr>
        <w:tc>
          <w:tcPr>
            <w:tcW w:w="43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Richard Scheller</w:t>
            </w:r>
          </w:p>
        </w:tc>
        <w:tc>
          <w:tcPr>
            <w:tcW w:w="10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Arial" w:cs="Arial" w:eastAsia="Arial" w:hAnsi="Arial"/>
                <w:sz w:val="19"/>
                <w:szCs w:val="19"/>
                <w:color w:val="auto"/>
              </w:rPr>
              <w:t>Director</w:t>
            </w:r>
          </w:p>
        </w:tc>
        <w:tc>
          <w:tcPr>
            <w:tcW w:w="22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9"/>
                <w:szCs w:val="19"/>
                <w:color w:val="auto"/>
              </w:rPr>
              <w:t>February 7, 2019</w:t>
            </w:r>
          </w:p>
        </w:tc>
      </w:tr>
      <w:tr>
        <w:trPr>
          <w:trHeight w:val="236"/>
        </w:trPr>
        <w:tc>
          <w:tcPr>
            <w:tcW w:w="4340" w:type="dxa"/>
            <w:vAlign w:val="bottom"/>
          </w:tcPr>
          <w:p>
            <w:pPr>
              <w:spacing w:after="0"/>
              <w:rPr>
                <w:sz w:val="20"/>
                <w:szCs w:val="20"/>
                <w:color w:val="auto"/>
              </w:rPr>
            </w:pPr>
            <w:r>
              <w:rPr>
                <w:rFonts w:ascii="Arial" w:cs="Arial" w:eastAsia="Arial" w:hAnsi="Arial"/>
                <w:sz w:val="19"/>
                <w:szCs w:val="19"/>
                <w:color w:val="auto"/>
              </w:rPr>
              <w:t>Richard Scheller, Ph.D.</w:t>
            </w:r>
          </w:p>
        </w:tc>
        <w:tc>
          <w:tcPr>
            <w:tcW w:w="1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7"/>
        </w:trPr>
        <w:tc>
          <w:tcPr>
            <w:tcW w:w="43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David Wehner</w:t>
            </w:r>
          </w:p>
        </w:tc>
        <w:tc>
          <w:tcPr>
            <w:tcW w:w="10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Arial" w:cs="Arial" w:eastAsia="Arial" w:hAnsi="Arial"/>
                <w:sz w:val="19"/>
                <w:szCs w:val="19"/>
                <w:color w:val="auto"/>
              </w:rPr>
              <w:t>Director</w:t>
            </w:r>
          </w:p>
        </w:tc>
        <w:tc>
          <w:tcPr>
            <w:tcW w:w="22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9"/>
                <w:szCs w:val="19"/>
                <w:color w:val="auto"/>
              </w:rPr>
              <w:t>February 7, 2019</w:t>
            </w:r>
          </w:p>
        </w:tc>
      </w:tr>
      <w:tr>
        <w:trPr>
          <w:trHeight w:val="236"/>
        </w:trPr>
        <w:tc>
          <w:tcPr>
            <w:tcW w:w="4340" w:type="dxa"/>
            <w:vAlign w:val="bottom"/>
          </w:tcPr>
          <w:p>
            <w:pPr>
              <w:spacing w:after="0"/>
              <w:rPr>
                <w:sz w:val="20"/>
                <w:szCs w:val="20"/>
                <w:color w:val="auto"/>
              </w:rPr>
            </w:pPr>
            <w:r>
              <w:rPr>
                <w:rFonts w:ascii="Arial" w:cs="Arial" w:eastAsia="Arial" w:hAnsi="Arial"/>
                <w:sz w:val="19"/>
                <w:szCs w:val="19"/>
                <w:color w:val="auto"/>
              </w:rPr>
              <w:t>David Wehner</w:t>
            </w:r>
          </w:p>
        </w:tc>
        <w:tc>
          <w:tcPr>
            <w:tcW w:w="1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ectPr>
          <w:pgSz w:w="12240" w:h="15840" w:orient="portrait"/>
          <w:cols w:equalWidth="0" w:num="1">
            <w:col w:w="11640"/>
          </w:cols>
          <w:pgMar w:left="300" w:top="136" w:right="300" w:bottom="1440" w:gutter="0" w:footer="0" w:header="0"/>
        </w:sectPr>
      </w:pPr>
    </w:p>
    <w:bookmarkStart w:id="6" w:name="page7"/>
    <w:bookmarkEnd w:id="6"/>
    <w:p>
      <w:pPr>
        <w:jc w:val="right"/>
        <w:spacing w:after="0"/>
        <w:rPr>
          <w:sz w:val="20"/>
          <w:szCs w:val="20"/>
          <w:color w:val="auto"/>
        </w:rPr>
      </w:pPr>
      <w:r>
        <w:rPr>
          <w:rFonts w:ascii="Arial" w:cs="Arial" w:eastAsia="Arial" w:hAnsi="Arial"/>
          <w:sz w:val="19"/>
          <w:szCs w:val="19"/>
          <w:b w:val="1"/>
          <w:bCs w:val="1"/>
          <w:color w:val="auto"/>
        </w:rPr>
        <w:t>Exhibit 5.1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February 7, 2019</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Alector, Inc.</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151 Oyster Point Blvd. Suite 300</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South San Francisco, California 94080 (415) 231-5660</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Re: Registration Statement on Form S-8</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124" w:lineRule="exact"/>
        <w:rPr>
          <w:sz w:val="20"/>
          <w:szCs w:val="20"/>
          <w:color w:val="auto"/>
        </w:rPr>
      </w:pPr>
    </w:p>
    <w:p>
      <w:pPr>
        <w:ind w:right="80" w:firstLine="465"/>
        <w:spacing w:after="0" w:line="254" w:lineRule="auto"/>
        <w:rPr>
          <w:sz w:val="20"/>
          <w:szCs w:val="20"/>
          <w:color w:val="auto"/>
        </w:rPr>
      </w:pPr>
      <w:r>
        <w:rPr>
          <w:rFonts w:ascii="Arial" w:cs="Arial" w:eastAsia="Arial" w:hAnsi="Arial"/>
          <w:sz w:val="19"/>
          <w:szCs w:val="19"/>
          <w:color w:val="auto"/>
        </w:rPr>
        <w:t>We have examined the Registration Statement on Form S-8 (the â€œRegistration Statementâ€ ) to be filed by Alector, Inc., a Delaware corporation, with the Securities and Exchange Commission on or about the date hereof, in connection with the registration under the Securities Act of 1933, as amended, of (i) 7,510,532 shares of Common Stock reserved for issuance pursuant to the 2019 Equity Incentive Plan, (ii) 316,100 shares of Common Stock which are subject to currently outstanding options under the 2019 Equity Incentive Plan, (iii) 1,478,492 shares of Common Stock reserved for issuance pursuant to the 2019 Employee Stock Purchase Plan, (iv) 5,054,313 shares of Common Stock which are subject to currently outstanding options under the 2017 Stock Option and Grant Plan, as amended and (v) 3,707,069 shares of restricted Common Stock issued under the 2017 Stock Option and Grant Plan, as amended (which plans are referred to herein as the â€œPlansâ€ and which shares of Common Stock are referred to herein as the â€œSharesâ€ ).</w:t>
      </w:r>
    </w:p>
    <w:p>
      <w:pPr>
        <w:spacing w:after="0" w:line="204" w:lineRule="exact"/>
        <w:rPr>
          <w:sz w:val="20"/>
          <w:szCs w:val="20"/>
          <w:color w:val="auto"/>
        </w:rPr>
      </w:pPr>
    </w:p>
    <w:p>
      <w:pPr>
        <w:ind w:right="120" w:firstLine="465"/>
        <w:spacing w:after="0" w:line="304" w:lineRule="auto"/>
        <w:rPr>
          <w:sz w:val="20"/>
          <w:szCs w:val="20"/>
          <w:color w:val="auto"/>
        </w:rPr>
      </w:pPr>
      <w:r>
        <w:rPr>
          <w:rFonts w:ascii="Arial" w:cs="Arial" w:eastAsia="Arial" w:hAnsi="Arial"/>
          <w:sz w:val="18"/>
          <w:szCs w:val="18"/>
          <w:color w:val="auto"/>
        </w:rPr>
        <w:t>On the basis of the foregoing, and in reliance thereon, we are of the opinion that the Shares, when issued and sold in the manner referred to in the Plans and pursuant to the agreements that accompany the Plans, will be legally and validly issued, fully paid, and nonassessable.</w:t>
      </w:r>
    </w:p>
    <w:p>
      <w:pPr>
        <w:spacing w:after="0" w:line="160" w:lineRule="exact"/>
        <w:rPr>
          <w:sz w:val="20"/>
          <w:szCs w:val="20"/>
          <w:color w:val="auto"/>
        </w:rPr>
      </w:pPr>
    </w:p>
    <w:p>
      <w:pPr>
        <w:ind w:right="40" w:firstLine="465"/>
        <w:spacing w:after="0" w:line="275" w:lineRule="auto"/>
        <w:rPr>
          <w:sz w:val="20"/>
          <w:szCs w:val="20"/>
          <w:color w:val="auto"/>
        </w:rPr>
      </w:pPr>
      <w:r>
        <w:rPr>
          <w:rFonts w:ascii="Arial" w:cs="Arial" w:eastAsia="Arial" w:hAnsi="Arial"/>
          <w:sz w:val="19"/>
          <w:szCs w:val="19"/>
          <w:color w:val="auto"/>
        </w:rPr>
        <w:t>We consent to the use of this opinion as an exhibit to the Registration Statement, and further consent to the use of our name wherever appearing in the Registration Statement and any amendments thereto.</w:t>
      </w:r>
    </w:p>
    <w:p>
      <w:pPr>
        <w:spacing w:after="0" w:line="212"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Very truly yours,</w:t>
      </w:r>
    </w:p>
    <w:p>
      <w:pPr>
        <w:spacing w:after="0" w:line="238"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/s/ Wilson Sonsini Goodrich &amp; Rosati, P.C.</w:t>
      </w:r>
    </w:p>
    <w:p>
      <w:pPr>
        <w:spacing w:after="0" w:line="238"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WILSON SONSINI GOODRICH &amp; ROSATI</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Professional Corporation</w:t>
      </w:r>
    </w:p>
    <w:p>
      <w:pPr>
        <w:sectPr>
          <w:pgSz w:w="12240" w:h="15840" w:orient="portrait"/>
          <w:cols w:equalWidth="0" w:num="1">
            <w:col w:w="11640"/>
          </w:cols>
          <w:pgMar w:left="300" w:top="0" w:right="300" w:bottom="1440" w:gutter="0" w:footer="0" w:header="0"/>
        </w:sectPr>
      </w:pPr>
    </w:p>
    <w:bookmarkStart w:id="7" w:name="page8"/>
    <w:bookmarkEnd w:id="7"/>
    <w:p>
      <w:pPr>
        <w:jc w:val="right"/>
        <w:spacing w:after="0"/>
        <w:rPr>
          <w:sz w:val="20"/>
          <w:szCs w:val="20"/>
          <w:color w:val="auto"/>
        </w:rPr>
      </w:pPr>
      <w:r>
        <w:rPr>
          <w:rFonts w:ascii="Arial" w:cs="Arial" w:eastAsia="Arial" w:hAnsi="Arial"/>
          <w:sz w:val="19"/>
          <w:szCs w:val="19"/>
          <w:b w:val="1"/>
          <w:bCs w:val="1"/>
          <w:color w:val="auto"/>
        </w:rPr>
        <w:t>Exhibit 23.1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44"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We consent to the incorporation by reference in the Registration Statement (Form S-8) pertaining to the 2019 Equity Incentive Plan, the 2019 Employee Stock Purchase Plan, and the 2017 Stock Option and Grant Plan of Alector, Inc. of our report dated October 12, 2018, with respect to the consolidated financial statements of Alector, Inc. for the years ended December 31, 2016 and 2017 included in its Registration Statement on Form S-1 filed with the Securities and Exchange Commission.</w:t>
      </w:r>
    </w:p>
    <w:p>
      <w:pPr>
        <w:spacing w:after="0" w:line="198" w:lineRule="exact"/>
        <w:rPr>
          <w:sz w:val="20"/>
          <w:szCs w:val="20"/>
          <w:color w:val="auto"/>
        </w:rPr>
      </w:pPr>
    </w:p>
    <w:p>
      <w:pPr>
        <w:ind w:left="1520"/>
        <w:spacing w:after="0"/>
        <w:rPr>
          <w:sz w:val="20"/>
          <w:szCs w:val="20"/>
          <w:color w:val="auto"/>
        </w:rPr>
      </w:pPr>
      <w:r>
        <w:rPr>
          <w:rFonts w:ascii="Arial" w:cs="Arial" w:eastAsia="Arial" w:hAnsi="Arial"/>
          <w:sz w:val="19"/>
          <w:szCs w:val="19"/>
          <w:color w:val="auto"/>
        </w:rPr>
        <w:t>/s/ Ernst &amp; Young LLP</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San Jose, California</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February 5, 2019</w:t>
      </w:r>
    </w:p>
    <w:sectPr>
      <w:pgSz w:w="12240" w:h="15840" w:orient="portrait"/>
      <w:cols w:equalWidth="0" w:num="1">
        <w:col w:w="11640"/>
      </w:cols>
      <w:pgMar w:left="300" w:top="0" w:right="3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lowerRoman"/>
      <w:start w:val="3"/>
    </w:lvl>
  </w:abstractNum>
  <w:abstractNum w:abstractNumId="4">
    <w:nsid w:val="3D1B58BA"/>
    <w:multiLevelType w:val="hybridMultilevel"/>
    <w:lvl w:ilvl="0">
      <w:lvlJc w:val="left"/>
      <w:lvlText w:val="%1"/>
      <w:numFmt w:val="upperLetter"/>
      <w:start w:val="1"/>
    </w:lvl>
    <w:lvl w:ilvl="1">
      <w:lvlJc w:val="left"/>
      <w:lvlText w:val="(%2)"/>
      <w:numFmt w:val="decimal"/>
      <w:start w:val="2"/>
    </w:lvl>
  </w:abstractNum>
  <w:abstractNum w:abstractNumId="5">
    <w:nsid w:val="507ED7AB"/>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0" Type="http://schemas.openxmlformats.org/officeDocument/2006/relationships/hyperlink" Target="http://www.sec.gov/Archives/edgar/data/1653087/000119312519003772/d550248dex42.htm" TargetMode="External"/><Relationship Id="rId21" Type="http://schemas.openxmlformats.org/officeDocument/2006/relationships/hyperlink" Target="http://www.sec.gov/Archives/edgar/data/1653087/000119312519003772/d550248dex102.htm" TargetMode="External"/><Relationship Id="rId22" Type="http://schemas.openxmlformats.org/officeDocument/2006/relationships/hyperlink" Target="http://www.sec.gov/Archives/edgar/data/1653087/000119312519003772/d550248dex103.htm" TargetMode="External"/><Relationship Id="rId23" Type="http://schemas.openxmlformats.org/officeDocument/2006/relationships/hyperlink" Target="http://www.sec.gov/Archives/edgar/data/1653087/000119312519003772/d550248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2019-12-15T15:56:14Z</dcterms:created>
  <dcterms:modified xsi:type="dcterms:W3CDTF">2019-12-15T15:56:14Z</dcterms:modified>
</cp:coreProperties>
</file>