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-646430</wp:posOffset>
            </wp:positionV>
            <wp:extent cx="59055" cy="659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4077335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27305</wp:posOffset>
            </wp:positionV>
            <wp:extent cx="6989445" cy="4933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SCHELLER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ALECTOR,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OYSTER POINT BLVD., SUITE 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Alector,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07/15/2023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which vest as to 50% of the shares on September 1, 2023, as to 25% of the shares on December 1, 2023, and as to the remaining shares on March 1, 2024, provided the Reporting Person continues to serve as a consultant under the terms of the consulting agreement between the Reporting Person and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Grasso,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14133" TargetMode="External"/><Relationship Id="rId12" Type="http://schemas.openxmlformats.org/officeDocument/2006/relationships/hyperlink" Target="http://www.sec.gov/cgi-bin/browse-edgar?action=getcompany&amp;CIK=0001653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2024-02-14T18:50:11Z</dcterms:created>
  <dcterms:modified xsi:type="dcterms:W3CDTF">2024-02-14T18:50:11Z</dcterms:modified>
</cp:coreProperties>
</file>