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As filed with the Securities and Exchange Commission on February 28, 2023</w:t>
      </w:r>
    </w:p>
    <w:p>
      <w:pPr>
        <w:spacing w:after="0" w:line="27" w:lineRule="exact"/>
        <w:rPr>
          <w:sz w:val="24"/>
          <w:szCs w:val="24"/>
          <w:color w:val="auto"/>
        </w:rPr>
      </w:pPr>
    </w:p>
    <w:p>
      <w:pPr>
        <w:ind w:left="89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REGISTRATION STATEMENT</w:t>
      </w:r>
    </w:p>
    <w:p>
      <w:pPr>
        <w:jc w:val="center"/>
        <w:ind w:right="-2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ALECTOR,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82-2933343</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8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131 Oyster Point Blvd., Suite 600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(415) 231-5660</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Arnon Rosenthal, Ph.D.</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Alector, Inc.</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131 Oyster Point Blvd., Suite 600</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(415) 231-5660</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Kenneth A. Clark</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Michael E. Coke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Wilson Sonsini Goodrich &amp; Rosati, P.C.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166"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40"/>
          </w:cols>
          <w:pgMar w:left="320" w:top="230" w:right="539" w:bottom="77" w:gutter="0" w:footer="0" w:header="0"/>
        </w:sectPr>
      </w:pPr>
    </w:p>
    <w:bookmarkStart w:id="1" w:name="page2"/>
    <w:bookmarkEnd w:id="1"/>
    <w:p>
      <w:pPr>
        <w:ind w:right="1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p>
      <w:pPr>
        <w:jc w:val="both"/>
        <w:ind w:right="72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February 28,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ALECTOR,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184785</wp:posOffset>
            </wp:positionV>
            <wp:extent cx="2966085" cy="891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608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Up to $400,000,000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3 OF THIS PROSPECTUS AND IN ANY SIMILAR SECTION CONTAINED IN OR INCORPORATED BY REFERENCE HEREIN OR IN THE APPLICABLE PROSPECTUS SUPPLEMENT CONCERNING FACTORS YOU SHOULD CONSIDER BEFORE INVESTING IN OUR SECURITIES.</w:t>
      </w:r>
    </w:p>
    <w:p>
      <w:pPr>
        <w:spacing w:after="0" w:line="18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“ALEC.” On February 27, 2023, the last reported sale price of our common stock on Nasdaq was $8.72 per share.</w:t>
      </w:r>
    </w:p>
    <w:p>
      <w:pPr>
        <w:spacing w:after="0" w:line="166"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960"/>
        <w:spacing w:after="0"/>
        <w:tabs>
          <w:tab w:leader="none" w:pos="67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2023.</w:t>
      </w:r>
    </w:p>
    <w:p>
      <w:pPr>
        <w:sectPr>
          <w:pgSz w:w="11900" w:h="16838" w:orient="portrait"/>
          <w:cols w:equalWidth="0" w:num="1">
            <w:col w:w="11100"/>
          </w:cols>
          <w:pgMar w:left="320" w:top="459" w:right="4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8000" w:type="dxa"/>
            <w:vAlign w:val="bottom"/>
            <w:gridSpan w:val="16"/>
          </w:tcPr>
          <w:p>
            <w:pPr>
              <w:spacing w:after="0" w:line="190" w:lineRule="exact"/>
              <w:rPr>
                <w:sz w:val="20"/>
                <w:szCs w:val="20"/>
                <w:color w:val="auto"/>
              </w:rPr>
            </w:pPr>
            <w:r>
              <w:rPr>
                <w:rFonts w:ascii="Arial" w:cs="Arial" w:eastAsia="Arial" w:hAnsi="Arial"/>
                <w:sz w:val="18"/>
                <w:szCs w:val="18"/>
                <w:color w:val="0000EE"/>
              </w:rPr>
              <w:t>ABOUT THIS PROSPECTUS</w:t>
            </w:r>
          </w:p>
        </w:tc>
        <w:tc>
          <w:tcPr>
            <w:tcW w:w="29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THE COMPANY</w:t>
            </w:r>
          </w:p>
        </w:tc>
        <w:tc>
          <w:tcPr>
            <w:tcW w:w="940" w:type="dxa"/>
            <w:vAlign w:val="bottom"/>
            <w:tcBorders>
              <w:top w:val="single" w:sz="8" w:color="0000EE"/>
            </w:tcBorders>
            <w:gridSpan w:val="5"/>
          </w:tcPr>
          <w:p>
            <w:pPr>
              <w:spacing w:after="0"/>
              <w:rPr>
                <w:sz w:val="17"/>
                <w:szCs w:val="17"/>
                <w:color w:val="auto"/>
              </w:rPr>
            </w:pP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000" w:type="dxa"/>
            <w:vAlign w:val="bottom"/>
            <w:gridSpan w:val="16"/>
          </w:tcPr>
          <w:p>
            <w:pPr>
              <w:spacing w:after="0" w:line="196" w:lineRule="exact"/>
              <w:rPr>
                <w:sz w:val="20"/>
                <w:szCs w:val="20"/>
                <w:color w:val="auto"/>
              </w:rPr>
            </w:pPr>
            <w:r>
              <w:rPr>
                <w:rFonts w:ascii="Arial" w:cs="Arial" w:eastAsia="Arial" w:hAnsi="Arial"/>
                <w:sz w:val="18"/>
                <w:szCs w:val="18"/>
                <w:color w:val="0000EE"/>
              </w:rPr>
              <w:t>RISK FACTORS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6"/>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000" w:type="dxa"/>
            <w:vAlign w:val="bottom"/>
            <w:gridSpan w:val="16"/>
          </w:tcPr>
          <w:p>
            <w:pPr>
              <w:spacing w:after="0" w:line="196" w:lineRule="exact"/>
              <w:rPr>
                <w:sz w:val="20"/>
                <w:szCs w:val="20"/>
                <w:color w:val="auto"/>
              </w:rPr>
            </w:pPr>
            <w:r>
              <w:rPr>
                <w:rFonts w:ascii="Arial" w:cs="Arial" w:eastAsia="Arial" w:hAnsi="Arial"/>
                <w:sz w:val="18"/>
                <w:szCs w:val="18"/>
                <w:color w:val="0000EE"/>
              </w:rPr>
              <w:t>DESCRIPTION OF SECURITIES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6"/>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5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550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000" w:type="dxa"/>
            <w:vAlign w:val="bottom"/>
            <w:gridSpan w:val="16"/>
          </w:tcPr>
          <w:p>
            <w:pPr>
              <w:spacing w:after="0" w:line="196" w:lineRule="exact"/>
              <w:rPr>
                <w:sz w:val="20"/>
                <w:szCs w:val="20"/>
                <w:color w:val="auto"/>
              </w:rPr>
            </w:pPr>
            <w:r>
              <w:rPr>
                <w:rFonts w:ascii="Arial" w:cs="Arial" w:eastAsia="Arial" w:hAnsi="Arial"/>
                <w:sz w:val="18"/>
                <w:szCs w:val="18"/>
                <w:color w:val="0000EE"/>
              </w:rPr>
              <w:t>DESCRIPTION OF PURCHASE CONTRACTS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1520" w:type="dxa"/>
            <w:vAlign w:val="bottom"/>
            <w:tcBorders>
              <w:top w:val="single" w:sz="8" w:color="0000EE"/>
            </w:tcBorders>
            <w:gridSpan w:val="6"/>
          </w:tcPr>
          <w:p>
            <w:pPr>
              <w:spacing w:after="0"/>
              <w:rPr>
                <w:sz w:val="17"/>
                <w:szCs w:val="17"/>
                <w:color w:val="auto"/>
              </w:rPr>
            </w:pPr>
          </w:p>
        </w:tc>
        <w:tc>
          <w:tcPr>
            <w:tcW w:w="44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000" w:type="dxa"/>
            <w:vAlign w:val="bottom"/>
            <w:gridSpan w:val="16"/>
          </w:tcPr>
          <w:p>
            <w:pPr>
              <w:spacing w:after="0" w:line="196" w:lineRule="exact"/>
              <w:rPr>
                <w:sz w:val="20"/>
                <w:szCs w:val="20"/>
                <w:color w:val="auto"/>
              </w:rPr>
            </w:pPr>
            <w:r>
              <w:rPr>
                <w:rFonts w:ascii="Arial" w:cs="Arial" w:eastAsia="Arial" w:hAnsi="Arial"/>
                <w:sz w:val="18"/>
                <w:szCs w:val="18"/>
                <w:color w:val="0000EE"/>
              </w:rPr>
              <w:t>PLAN OF DISTRIBUTION</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3"/>
          </w:tcPr>
          <w:p>
            <w:pPr>
              <w:spacing w:after="0"/>
              <w:rPr>
                <w:sz w:val="17"/>
                <w:szCs w:val="17"/>
                <w:color w:val="auto"/>
              </w:rPr>
            </w:pPr>
          </w:p>
        </w:tc>
        <w:tc>
          <w:tcPr>
            <w:tcW w:w="59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8000" w:type="dxa"/>
            <w:vAlign w:val="bottom"/>
            <w:gridSpan w:val="16"/>
          </w:tcPr>
          <w:p>
            <w:pPr>
              <w:spacing w:after="0" w:line="196" w:lineRule="exact"/>
              <w:rPr>
                <w:sz w:val="20"/>
                <w:szCs w:val="20"/>
                <w:color w:val="auto"/>
              </w:rPr>
            </w:pPr>
            <w:r>
              <w:rPr>
                <w:rFonts w:ascii="Arial" w:cs="Arial" w:eastAsia="Arial" w:hAnsi="Arial"/>
                <w:sz w:val="18"/>
                <w:szCs w:val="18"/>
                <w:color w:val="0000EE"/>
              </w:rPr>
              <w:t>EXPERTS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6"/>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3800" w:type="dxa"/>
            <w:vAlign w:val="bottom"/>
            <w:gridSpan w:val="1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(the “SEC”)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w:t>
      </w:r>
    </w:p>
    <w:p>
      <w:pPr>
        <w:spacing w:after="0" w:line="18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7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When we refer to “Alector,” “we,” “our,” “us” and the “Company” in this prospectus, we mean Alector, Inc., unless the context indicates otherwise or unless otherwise specified. When we refer to “you,” we mean the holders of the applicable series of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are a clinical stage biopharmaceutical company pioneering immuno-neurology, a novel therapeutic approach for the treatment of neurodegeneration. Immuno-neurology targets immune dysfunction as a root cause of multiple pathologies that are drivers of degenerative brain disorders. We are developing therapies designed to counteract these pathologies simultaneously by restoring healthy immune function to the brain. Supporting our scientific approach, our research and drug discovery platform enables us to advance a broad portfolio of product candidates, validated by human genetics, which we believe will improve the probability of technical success over shorter development timelines. As a result, we have identified over 100 immune system targets. Three product candidates, latozinemab (also referred to as AL001), AL002, and AL101 are in clinical development, and we continue to develop our preclinical and research pipeline. We are advancing our clinical product candidates and research pipeline with our existing resources and in collaboration with our partners, Glaxo Wellcome UK Limited, a subsidiary of GlaxoSmithKline plc and AbbVie Biotechnology, Ltd.</w:t>
      </w:r>
    </w:p>
    <w:p>
      <w:pPr>
        <w:spacing w:after="0" w:line="16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were initially formed as a limited liability company in Delaware in May 2013 under the name Alector LLC and completed our restructuring to a corporation in October 2017 under the name Alector, Inc. Our principal executive offices are located at 131 Oyster Point Blvd., Suite 600, South San Francisco, California 94080. Our telephone number is (415) 231-5660. Our website address is www.alector.com. We also use our website as a means of disclosing material non-public information and for complying with our disclosure obligations under Regulation FD. Information contained on or accessible through our website is not a part of this prospectus and is not incorporated by reference herein, and the inclusion of our website address in this prospectus is an inactive textual reference only.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This prospectus, each prospectus supplement and the information incorporated by reference in this prospectus and each prospectus supplement contain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89" w:lineRule="exact"/>
        <w:rPr>
          <w:sz w:val="20"/>
          <w:szCs w:val="20"/>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relating to the development and manufacturing of our product candidates and research programs, including additional indications that we may pursue;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collaborations with third parties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diseases we are targeting and the number of patients that will enroll in our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plans relating to commercializing our product candidates, if approved, including the geographic areas of focus and sales strategy;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diseases we are targeting;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special designations, such as orphan drug designation, for our product candidates for various diseases;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clinical trials of our product candidates, and for the manufacture of our product candidates for preclinical studies and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 especially in light of a competitive hiring and compensation environment;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additional financing needs;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performance, including potential volatility in our stock price;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coronavirus (COVID-19) pandemic, including recent and new variants,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inflation;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sufficiency of our existing cash and cash equivalents to fund our future operating expenses and capital expenditure requirements.</w:t>
      </w:r>
    </w:p>
    <w:p>
      <w:pPr>
        <w:spacing w:after="0" w:line="237"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39"/>
          </w:cols>
          <w:pgMar w:left="320" w:top="459"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common stock, par value $0.0001 per share,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preferred stock, par value $0.0001 per share,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debt securities, which may be senior or subordinated, and which may be convertible into our common stock or be non-convertible;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shares of our common stock or preferred stock or other securities from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units representing two or more of the foregoing securities.</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will set forth in the applicable prospectus supplement and/or free writing prospectus a description of any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were filed with the SEC and referenced in the exhibits to our registration statement, of which this prospectus forms a part.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Our authorized capital stock consists of 200,000,000 shares of common stock, par value $0.0001 per share, and 20,000,000 shares of convertible preferred stock, par value $0.0001 per share. All of our outstanding shares of common stock are fully paid and non-assessable.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common stock is listed on the Nasdaq Global Select Market (“Nasdaq”) under the symbol “ALEC.” The transfer agent and registrar for our common stock is American Stock Transfer &amp; Trust Company, LLC. The transfer agent and registrar’s address is 6201 15th Avenue, Brooklyn, New York 11219.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Our board of directors has the authority, without further action by the stockholders, to issue up to 20,000,000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of Certain Stockholders</w:t>
      </w:r>
    </w:p>
    <w:p>
      <w:pPr>
        <w:spacing w:after="0" w:line="121"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Under our registration rights agreement, as amended, certain holders of shares of common stock or their transferees have the right to require us to register the offer and sale of their shares, or to include their shares in any registration statement we file, in each case as described below.</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Certain holders of shares of our common stock are entitled to certain demand registration rights. The holders of at least 25% of the shares (or a lesser percent for which the anticipated aggregate offering price would be at least $15 million)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public offering price of which, before deducting underwriting discounts and commissions, is at least $15 million. These demand registration rights are subject to specified conditions and limitations, including the right of the underwriters to limit the number of shares included in any such registration under certain circumstances. If we determine that it would be seriously detrimental to us and our stockholders to effect such a demand registration, we have the right to defer such registration, not more than once in any twelve month period, for a period of up to 60 days.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Certain holders of shares of our common stock are entitled to certain Form S-3 registration rights. At any time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$3 million. These stockholders may make an unlimited number of requests for registration on a registration statement on Form S-3. However, we will not be required to effect a registration on Form S-3 if we have effected two such registrations within the twelve month period preceding the date of the request. Additionally, if we determine that it would be seriously detrimental to us and our stockholders to effect such a demand registration, we have the right to defer such registration, not more than once in any twelve month period, for a period of up to 60 days.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Certain holders of shares of our common stock are entitled to certain “piggyback” registration rights. If we propose to register the offer and sale of shares of our common stock under the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(1) a registration related to any employee benefit plan or a corporate reorganization or other transaction covered by Rule 145 promulgated under the Securities Act, (2) a registration in which the only stock being registered is common stock issuable upon conversion of debt securities also being registered, or (3) a registration on any form that does not include substantially the same information as would be required to be included in a registration statement covering the sale of our common stock, the holders of these shares are entitled to notice of the registration and have the right, subject to certain limitations, to include their shares in the registration.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will pay all expenses relating to any demand registrations, Form S-3 registrations, and piggyback registrations, subject to specified exceptions.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The registration rights terminate upon the earliest of (1) the date that is five years after the closing of our initial public offering and (2) a deemed liquidation event (as defined in our amended and restated certificate of incorporation, in effect prior to the completion of our initial public offering).</w:t>
      </w:r>
    </w:p>
    <w:p>
      <w:pPr>
        <w:spacing w:after="0" w:line="228"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58"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Our amended and restated certificate of incorporation provides that our board of directors is divided into three classes, designated Class I, Class II, and Class III. Each class is an equal number of directors, as nearly as possible, consisting of one-third of the total number of directors constituting the entire board of directors. The term of initial Class I directors terminated on the date of the 2022 annual meeting, the term of the initial Class II directors terminated on the date of the 2020 annual meeting, and the term of the initial Class III directors terminated on the date of the 2021 annual meeting. At each annual meeting of stockholders, successors to the class of directors whose term expires at that annual meeting will be elected for a three-year term.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amended and restated certificate of incorporation provides that stockholders do not have the right to cumulate votes in the election of directors.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provides that, except as otherwise required by law, special meetings of the stockholders may be called only by the Chairperson of our board of directors, the Chief Executive Officer, the President, or our board of directors acting pursuant to a resolution adopted by a majority of the board of directors.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Our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Delaware General Corporation Law (“DGCL”). Our amended and restated bylaws may be adopted, amended, altered, or repealed by stockholders only upon approval of at least majority of the voting power of all the then outstanding shares of the common stock, except for any amendment of certain provisions set forth in the bylaws,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right="400"/>
        <w:spacing w:after="0" w:line="301" w:lineRule="auto"/>
        <w:rPr>
          <w:sz w:val="20"/>
          <w:szCs w:val="20"/>
          <w:color w:val="auto"/>
        </w:rPr>
      </w:pPr>
      <w:r>
        <w:rPr>
          <w:rFonts w:ascii="Arial" w:cs="Arial" w:eastAsia="Arial" w:hAnsi="Arial"/>
          <w:sz w:val="16"/>
          <w:szCs w:val="16"/>
          <w:color w:val="auto"/>
        </w:rPr>
        <w:t>Our authorized but unissued shares of common stock and preferred stock are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or if the Court of Chancery does not have jurisdiction, the federal district court for the District of Delaware, is the exclusive forum for (i) any derivative action or proceeding brought on behalf of us, (ii) any action asserting a claim of breach of a fiduciary duty owed by any director, officer, or other employee to us or our stockholders, (iii) any action arising pursuant to any provision of the DGCL or our certificate of incorporation or bylaws (as either may be amended from time to time), or (iv) any action asserting a claim governed by the internal affairs doctrine, except, in each case, (A) any claim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Although our amended and restated bylaws contain the exclusive of forum provisions described above, it is possible that a court could find that such provision is inapplicable for a particular claim or action or that such provision is unenforceable, and our stockholders will not be deemed to have waived our compliance with the federal securities laws and the rules and regulations thereunder.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6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7"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9"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65"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142" w:lineRule="exact"/>
        <w:rPr>
          <w:rFonts w:ascii="Arial" w:cs="Arial" w:eastAsia="Arial" w:hAnsi="Arial"/>
          <w:sz w:val="17"/>
          <w:szCs w:val="17"/>
          <w:color w:val="auto"/>
        </w:rPr>
      </w:pPr>
    </w:p>
    <w:p>
      <w:pPr>
        <w:ind w:left="1080" w:right="22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Debt Securities and Book-Entry System</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76" w:lineRule="exact"/>
        <w:rPr>
          <w:sz w:val="20"/>
          <w:szCs w:val="20"/>
          <w:color w:val="auto"/>
        </w:rPr>
      </w:pPr>
    </w:p>
    <w:p>
      <w:pPr>
        <w:ind w:left="1080" w:right="6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30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4"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5"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68" w:lineRule="exact"/>
        <w:rPr>
          <w:sz w:val="20"/>
          <w:szCs w:val="20"/>
          <w:color w:val="auto"/>
        </w:rPr>
      </w:pPr>
    </w:p>
    <w:p>
      <w:pPr>
        <w:ind w:left="120" w:right="4900"/>
        <w:spacing w:after="0" w:line="377" w:lineRule="auto"/>
        <w:rPr>
          <w:sz w:val="20"/>
          <w:szCs w:val="20"/>
          <w:color w:val="auto"/>
        </w:rPr>
      </w:pPr>
      <w:r>
        <w:rPr>
          <w:rFonts w:ascii="Arial" w:cs="Arial" w:eastAsia="Arial" w:hAnsi="Arial"/>
          <w:sz w:val="18"/>
          <w:szCs w:val="18"/>
          <w:b w:val="1"/>
          <w:bCs w:val="1"/>
          <w:color w:val="auto"/>
        </w:rPr>
        <w:t xml:space="preserve">Defeasance of Debt Securities and Certain Covenants in Certain Circumstances </w:t>
      </w:r>
      <w:r>
        <w:rPr>
          <w:rFonts w:ascii="Arial" w:cs="Arial" w:eastAsia="Arial" w:hAnsi="Arial"/>
          <w:sz w:val="18"/>
          <w:szCs w:val="18"/>
          <w:b w:val="1"/>
          <w:bCs w:val="1"/>
          <w:i w:val="1"/>
          <w:iCs w:val="1"/>
          <w:color w:val="auto"/>
        </w:rPr>
        <w:t>Legal Defeasance</w:t>
      </w:r>
    </w:p>
    <w:p>
      <w:pPr>
        <w:spacing w:after="0" w:line="2"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Defeasance of Certain Covenants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indenture provides that, unless otherwise provided by the terms of the applicable series of debt securities, upon compliance with certain conditions:</w:t>
      </w:r>
    </w:p>
    <w:p>
      <w:pPr>
        <w:spacing w:after="0" w:line="154" w:lineRule="exact"/>
        <w:rPr>
          <w:sz w:val="20"/>
          <w:szCs w:val="20"/>
          <w:color w:val="auto"/>
        </w:rPr>
      </w:pPr>
    </w:p>
    <w:p>
      <w:pPr>
        <w:ind w:left="1080" w:right="2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refer to this as covenant defeasance. The conditions include:</w:t>
      </w:r>
    </w:p>
    <w:p>
      <w:pPr>
        <w:spacing w:after="0" w:line="131" w:lineRule="exact"/>
        <w:rPr>
          <w:sz w:val="20"/>
          <w:szCs w:val="20"/>
          <w:color w:val="auto"/>
        </w:rPr>
      </w:pPr>
    </w:p>
    <w:p>
      <w:pPr>
        <w:ind w:left="1080" w:right="100" w:hanging="424"/>
        <w:spacing w:after="0" w:line="273"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83"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to which we are a party;</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applicable series of debt securities shall have occurred or is continuing on the date of such deposit; and</w:t>
      </w:r>
    </w:p>
    <w:p>
      <w:pPr>
        <w:spacing w:after="0" w:line="75" w:lineRule="exact"/>
        <w:rPr>
          <w:rFonts w:ascii="Arial" w:cs="Arial" w:eastAsia="Arial" w:hAnsi="Arial"/>
          <w:sz w:val="18"/>
          <w:szCs w:val="18"/>
          <w:color w:val="auto"/>
        </w:rPr>
      </w:pPr>
    </w:p>
    <w:p>
      <w:pPr>
        <w:ind w:left="1080" w:right="40" w:hanging="424"/>
        <w:spacing w:after="0" w:line="293"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issue warrants to purchase common stock or preferred stock. We may offer warrants separately or together with one or more additional warrants, common stock, preferred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as applicable:</w:t>
      </w:r>
    </w:p>
    <w:p>
      <w:pPr>
        <w:spacing w:after="0" w:line="93"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designation and terms of the common stock or preferred stock,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common stock, or preferred stock will be separately transferable;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antidilution provisions,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320" w:top="459" w:right="5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6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8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76" w:lineRule="exact"/>
        <w:rPr>
          <w:sz w:val="20"/>
          <w:szCs w:val="20"/>
          <w:color w:val="auto"/>
        </w:rPr>
      </w:pPr>
    </w:p>
    <w:p>
      <w:pPr>
        <w:ind w:left="1080" w:right="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requirement for us to make periodic payments to holders or vice versa, and whether the payments are unsecured or pre-funded;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30"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320" w:top="459" w:right="5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may issue units comprising two or more securities described in this prospectus in any combination. For example, we might issue units consisting of a combination of common stock and warrants to purchase preferred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7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included in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9"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We may sell the securities from time to time pursuant to underwritten public offerings, direct sales to the public, “at the market” offerings, negotiated transactions, block trades or a combination of these methods. We may sell the offered securities from time to time:</w:t>
      </w:r>
    </w:p>
    <w:p>
      <w:pPr>
        <w:spacing w:after="0" w:line="52"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320" w:top="459" w:right="7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Alector, Inc.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2022, and the effectiveness of our internal control over financial reporting as of December 31, 2022,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www.alector.com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February 28, 2023;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51">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January 31, 2019, including any amendments thereto or reports filed for the purposes of updating this description.</w:t>
      </w:r>
    </w:p>
    <w:p>
      <w:pPr>
        <w:spacing w:after="0" w:line="170" w:lineRule="exact"/>
        <w:rPr>
          <w:rFonts w:ascii="Arial" w:cs="Arial" w:eastAsia="Arial" w:hAnsi="Arial"/>
          <w:sz w:val="18"/>
          <w:szCs w:val="18"/>
          <w:color w:val="auto"/>
        </w:rPr>
      </w:pPr>
    </w:p>
    <w:p>
      <w:pPr>
        <w:ind w:left="120" w:right="80"/>
        <w:spacing w:after="0" w:line="290" w:lineRule="auto"/>
        <w:rPr>
          <w:sz w:val="20"/>
          <w:szCs w:val="20"/>
          <w:color w:val="auto"/>
        </w:rPr>
      </w:pPr>
      <w:r>
        <w:rPr>
          <w:rFonts w:ascii="Arial" w:cs="Arial" w:eastAsia="Arial" w:hAnsi="Arial"/>
          <w:sz w:val="16"/>
          <w:szCs w:val="16"/>
          <w:color w:val="auto"/>
        </w:rPr>
        <w:t>Any documents we file with the SEC pursuant to Section 13(a), 13(c), 14 or 15(d) of the Exchange Act after the date of the initial registration statement of which this prospectus forms a part and prior to the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65"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Alector,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131 Oyster Point Blvd., Suite 600</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(415) 231-5660</w:t>
      </w:r>
    </w:p>
    <w:p>
      <w:pPr>
        <w:spacing w:after="0" w:line="211" w:lineRule="exact"/>
        <w:rPr>
          <w:rFonts w:ascii="Arial" w:cs="Arial" w:eastAsia="Arial" w:hAnsi="Arial"/>
          <w:sz w:val="18"/>
          <w:szCs w:val="18"/>
          <w:color w:val="auto"/>
        </w:rPr>
      </w:pPr>
    </w:p>
    <w:p>
      <w:pPr>
        <w:ind w:left="120" w:right="160"/>
        <w:spacing w:after="0" w:line="277"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0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following is an estimate (other than the SEC registration fee) of the expenses (all of which are to be paid by the registrant) that we may incur in connection with the securities being registered hereby.</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44,080</w:t>
            </w:r>
          </w:p>
        </w:tc>
        <w:tc>
          <w:tcPr>
            <w:tcW w:w="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Legal fees and expenses (including Blue Sky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Transfer agent, trustee and warrant agent and depository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260" w:hanging="316"/>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accordingly cannot be estimated at this time.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68"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w:t>
      </w:r>
    </w:p>
    <w:p>
      <w:pPr>
        <w:ind w:left="120" w:right="80" w:hanging="4"/>
        <w:spacing w:after="0" w:line="290" w:lineRule="auto"/>
        <w:tabs>
          <w:tab w:leader="none" w:pos="3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6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ectPr>
          <w:pgSz w:w="11900" w:h="16838" w:orient="portrait"/>
          <w:cols w:equalWidth="0" w:num="1">
            <w:col w:w="11080"/>
          </w:cols>
          <w:pgMar w:left="320" w:top="459" w:right="4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18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registrant has purchased and expects to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8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also the undertakings set out in response to Item 17 herein.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380" w:hanging="264"/>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120" w:right="260" w:hanging="4"/>
        <w:spacing w:after="0" w:line="263" w:lineRule="auto"/>
        <w:tabs>
          <w:tab w:leader="none" w:pos="3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3" w:lineRule="exact"/>
        <w:rPr>
          <w:rFonts w:ascii="Arial" w:cs="Arial" w:eastAsia="Arial" w:hAnsi="Arial"/>
          <w:sz w:val="18"/>
          <w:szCs w:val="18"/>
          <w:color w:val="auto"/>
        </w:rPr>
      </w:pPr>
    </w:p>
    <w:p>
      <w:pPr>
        <w:ind w:left="120" w:right="320" w:hanging="4"/>
        <w:spacing w:after="0" w:line="277" w:lineRule="auto"/>
        <w:tabs>
          <w:tab w:leader="none" w:pos="4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7" w:lineRule="exact"/>
        <w:rPr>
          <w:sz w:val="20"/>
          <w:szCs w:val="20"/>
          <w:color w:val="auto"/>
        </w:rPr>
      </w:pPr>
    </w:p>
    <w:p>
      <w:pPr>
        <w:ind w:left="120" w:right="60" w:hanging="4"/>
        <w:spacing w:after="0" w:line="263"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20" w:hanging="4"/>
        <w:spacing w:after="0" w:line="277"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 That, for the purpose of determining liability under the Securities Act of 1933 to any purchaser:</w:t>
      </w:r>
    </w:p>
    <w:p>
      <w:pPr>
        <w:spacing w:after="0" w:line="117" w:lineRule="exact"/>
        <w:rPr>
          <w:sz w:val="20"/>
          <w:szCs w:val="20"/>
          <w:color w:val="auto"/>
        </w:rPr>
      </w:pPr>
    </w:p>
    <w:p>
      <w:pPr>
        <w:ind w:left="120" w:right="380" w:hanging="4"/>
        <w:spacing w:after="0" w:line="277" w:lineRule="auto"/>
        <w:tabs>
          <w:tab w:leader="none" w:pos="4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20" w:hanging="4"/>
        <w:spacing w:after="0" w:line="254" w:lineRule="auto"/>
        <w:tabs>
          <w:tab w:leader="none" w:pos="4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w:t>
      </w:r>
    </w:p>
    <w:p>
      <w:pPr>
        <w:spacing w:after="0" w:line="195"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7" w:lineRule="exact"/>
        <w:rPr>
          <w:sz w:val="20"/>
          <w:szCs w:val="20"/>
          <w:color w:val="auto"/>
        </w:rPr>
      </w:pPr>
    </w:p>
    <w:p>
      <w:pPr>
        <w:ind w:left="120" w:right="260" w:hanging="4"/>
        <w:spacing w:after="0" w:line="257"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120" w:right="180" w:hanging="4"/>
        <w:spacing w:after="0" w:line="277" w:lineRule="auto"/>
        <w:tabs>
          <w:tab w:leader="none" w:pos="3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520" w:hanging="4"/>
        <w:spacing w:after="0" w:line="277" w:lineRule="auto"/>
        <w:tabs>
          <w:tab w:leader="none" w:pos="4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prepared by or on behalf of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420" w:hanging="304"/>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225" w:lineRule="exact"/>
        <w:rPr>
          <w:sz w:val="20"/>
          <w:szCs w:val="20"/>
          <w:color w:val="auto"/>
        </w:rPr>
      </w:pPr>
    </w:p>
    <w:p>
      <w:pPr>
        <w:ind w:left="120" w:right="40" w:hanging="4"/>
        <w:spacing w:after="0" w:line="308" w:lineRule="auto"/>
        <w:tabs>
          <w:tab w:leader="none" w:pos="3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46" w:lineRule="exact"/>
        <w:rPr>
          <w:sz w:val="20"/>
          <w:szCs w:val="20"/>
          <w:color w:val="auto"/>
        </w:rPr>
      </w:pPr>
    </w:p>
    <w:p>
      <w:pPr>
        <w:ind w:left="120" w:right="40" w:hanging="4"/>
        <w:spacing w:after="0" w:line="257" w:lineRule="auto"/>
        <w:tabs>
          <w:tab w:leader="none" w:pos="3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120" w:right="20" w:hanging="4"/>
        <w:spacing w:after="0" w:line="271" w:lineRule="auto"/>
        <w:tabs>
          <w:tab w:leader="none" w:pos="36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140"/>
          </w:cols>
          <w:pgMar w:left="320" w:top="459"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633"/>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06"/>
        </w:trPr>
        <w:tc>
          <w:tcPr>
            <w:tcW w:w="6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120" w:type="dxa"/>
            <w:vAlign w:val="bottom"/>
            <w:gridSpan w:val="10"/>
          </w:tcPr>
          <w:p>
            <w:pPr>
              <w:ind w:left="120"/>
              <w:spacing w:after="0"/>
              <w:rPr>
                <w:sz w:val="20"/>
                <w:szCs w:val="20"/>
                <w:color w:val="auto"/>
              </w:rPr>
            </w:pPr>
            <w:r>
              <w:rPr>
                <w:rFonts w:ascii="Arial" w:cs="Arial" w:eastAsia="Arial" w:hAnsi="Arial"/>
                <w:sz w:val="14"/>
                <w:szCs w:val="14"/>
                <w:b w:val="1"/>
                <w:bCs w:val="1"/>
                <w:color w:val="auto"/>
              </w:rPr>
              <w:t>Description</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Form</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File No.</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Exhibit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11"/>
        </w:trPr>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706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Form of Underwriting Agreement.</w:t>
            </w: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7180" w:type="dxa"/>
            <w:vAlign w:val="bottom"/>
            <w:gridSpan w:val="15"/>
          </w:tcPr>
          <w:p>
            <w:pPr>
              <w:spacing w:after="0"/>
              <w:rPr>
                <w:rFonts w:ascii="Arial" w:cs="Arial" w:eastAsia="Arial" w:hAnsi="Arial"/>
                <w:sz w:val="18"/>
                <w:szCs w:val="18"/>
                <w:color w:val="0000EE"/>
              </w:rPr>
            </w:pPr>
            <w:hyperlink r:id="rId57">
              <w:r>
                <w:rPr>
                  <w:rFonts w:ascii="Arial" w:cs="Arial" w:eastAsia="Arial" w:hAnsi="Arial"/>
                  <w:sz w:val="18"/>
                  <w:szCs w:val="18"/>
                  <w:color w:val="0000EE"/>
                </w:rPr>
                <w:t>Amended and Restated Certificate of Incorporation of the Registrant.</w:t>
              </w:r>
            </w:hyperlink>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001-38792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2/11/2019</w:t>
            </w: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4980" w:type="dxa"/>
            <w:vAlign w:val="bottom"/>
            <w:tcBorders>
              <w:top w:val="single" w:sz="8" w:color="0000EE"/>
            </w:tcBorders>
            <w:gridSpan w:val="9"/>
          </w:tcPr>
          <w:p>
            <w:pPr>
              <w:spacing w:after="0"/>
              <w:rPr>
                <w:rFonts w:ascii="Arial" w:cs="Arial" w:eastAsia="Arial" w:hAnsi="Arial"/>
                <w:sz w:val="18"/>
                <w:szCs w:val="18"/>
                <w:color w:val="0000EE"/>
              </w:rPr>
            </w:pPr>
            <w:hyperlink r:id="rId58">
              <w:r>
                <w:rPr>
                  <w:rFonts w:ascii="Arial" w:cs="Arial" w:eastAsia="Arial" w:hAnsi="Arial"/>
                  <w:sz w:val="18"/>
                  <w:szCs w:val="18"/>
                  <w:color w:val="0000EE"/>
                </w:rPr>
                <w:t>Amended and Restated Bylaws of the Registrant.</w:t>
              </w:r>
            </w:hyperlink>
          </w:p>
        </w:tc>
        <w:tc>
          <w:tcPr>
            <w:tcW w:w="2200" w:type="dxa"/>
            <w:vAlign w:val="bottom"/>
            <w:gridSpan w:val="6"/>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001-38792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6800" w:type="dxa"/>
            <w:vAlign w:val="bottom"/>
            <w:tcBorders>
              <w:bottom w:val="single" w:sz="8" w:color="0000EE"/>
            </w:tcBorders>
            <w:gridSpan w:val="13"/>
          </w:tcPr>
          <w:p>
            <w:pPr>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Amended and Restated Registration Rights Agreement among the Registrant and certain of its</w:t>
              </w:r>
            </w:hyperlink>
          </w:p>
        </w:tc>
        <w:tc>
          <w:tcPr>
            <w:tcW w:w="3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stockholders, dated April 26, 2018.</w:t>
              </w:r>
            </w:hyperlink>
          </w:p>
        </w:tc>
        <w:tc>
          <w:tcPr>
            <w:tcW w:w="4640" w:type="dxa"/>
            <w:vAlign w:val="bottom"/>
            <w:gridSpan w:val="11"/>
          </w:tcPr>
          <w:p>
            <w:pPr>
              <w:spacing w:after="0"/>
              <w:rPr>
                <w:sz w:val="17"/>
                <w:szCs w:val="17"/>
                <w:color w:val="auto"/>
              </w:rPr>
            </w:pPr>
          </w:p>
        </w:tc>
        <w:tc>
          <w:tcPr>
            <w:tcW w:w="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S-1</w:t>
            </w:r>
          </w:p>
        </w:tc>
        <w:tc>
          <w:tcPr>
            <w:tcW w:w="11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5"/>
              </w:rPr>
              <w:t>333-229152</w:t>
            </w:r>
          </w:p>
        </w:tc>
        <w:tc>
          <w:tcPr>
            <w:tcW w:w="6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4.1</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1/7/2019</w:t>
            </w: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7180" w:type="dxa"/>
            <w:vAlign w:val="bottom"/>
            <w:gridSpan w:val="15"/>
          </w:tcPr>
          <w:p>
            <w:pPr>
              <w:spacing w:after="0"/>
              <w:rPr>
                <w:rFonts w:ascii="Arial" w:cs="Arial" w:eastAsia="Arial" w:hAnsi="Arial"/>
                <w:sz w:val="18"/>
                <w:szCs w:val="18"/>
                <w:color w:val="0000EE"/>
              </w:rPr>
            </w:pPr>
            <w:hyperlink r:id="rId60">
              <w:r>
                <w:rPr>
                  <w:rFonts w:ascii="Arial" w:cs="Arial" w:eastAsia="Arial" w:hAnsi="Arial"/>
                  <w:sz w:val="18"/>
                  <w:szCs w:val="18"/>
                  <w:color w:val="0000EE"/>
                </w:rPr>
                <w:t>Specimen common stock certificate of the Registrant.</w:t>
              </w:r>
            </w:hyperlink>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S-1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333-229152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800" w:type="dxa"/>
            <w:vAlign w:val="bottom"/>
          </w:tcPr>
          <w:p>
            <w:pPr>
              <w:jc w:val="right"/>
              <w:spacing w:after="0"/>
              <w:rPr>
                <w:sz w:val="20"/>
                <w:szCs w:val="20"/>
                <w:color w:val="auto"/>
              </w:rPr>
            </w:pPr>
            <w:r>
              <w:rPr>
                <w:rFonts w:ascii="Arial" w:cs="Arial" w:eastAsia="Arial" w:hAnsi="Arial"/>
                <w:sz w:val="18"/>
                <w:szCs w:val="18"/>
                <w:color w:val="auto"/>
              </w:rPr>
              <w:t>1/7/2019</w:t>
            </w: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3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Description of securities of the Registrant.</w:t>
              </w:r>
            </w:hyperlink>
          </w:p>
        </w:tc>
        <w:tc>
          <w:tcPr>
            <w:tcW w:w="800" w:type="dxa"/>
            <w:vAlign w:val="bottom"/>
            <w:tcBorders>
              <w:top w:val="single" w:sz="8" w:color="0000EE"/>
            </w:tcBorders>
            <w:gridSpan w:val="2"/>
          </w:tcPr>
          <w:p>
            <w:pPr>
              <w:spacing w:after="0"/>
              <w:rPr>
                <w:sz w:val="24"/>
                <w:szCs w:val="24"/>
                <w:color w:val="auto"/>
              </w:rPr>
            </w:pPr>
          </w:p>
        </w:tc>
        <w:tc>
          <w:tcPr>
            <w:tcW w:w="3320" w:type="dxa"/>
            <w:vAlign w:val="bottom"/>
            <w:gridSpan w:val="8"/>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001-38792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2/25/2021</w:t>
            </w: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7180" w:type="dxa"/>
            <w:vAlign w:val="bottom"/>
            <w:gridSpan w:val="15"/>
          </w:tcPr>
          <w:p>
            <w:pPr>
              <w:spacing w:after="0"/>
              <w:rPr>
                <w:sz w:val="20"/>
                <w:szCs w:val="20"/>
                <w:color w:val="auto"/>
              </w:rPr>
            </w:pPr>
            <w:r>
              <w:rPr>
                <w:rFonts w:ascii="Arial" w:cs="Arial" w:eastAsia="Arial" w:hAnsi="Arial"/>
                <w:sz w:val="18"/>
                <w:szCs w:val="18"/>
                <w:color w:val="0000EE"/>
              </w:rPr>
              <w:t>Form of Indenture.</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3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Form of Note.</w:t>
            </w:r>
          </w:p>
        </w:tc>
        <w:tc>
          <w:tcPr>
            <w:tcW w:w="582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7180" w:type="dxa"/>
            <w:vAlign w:val="bottom"/>
            <w:gridSpan w:val="15"/>
          </w:tcPr>
          <w:p>
            <w:pPr>
              <w:spacing w:after="0"/>
              <w:rPr>
                <w:sz w:val="20"/>
                <w:szCs w:val="20"/>
                <w:color w:val="auto"/>
              </w:rPr>
            </w:pPr>
            <w:r>
              <w:rPr>
                <w:rFonts w:ascii="Arial" w:cs="Arial" w:eastAsia="Arial" w:hAnsi="Arial"/>
                <w:sz w:val="18"/>
                <w:szCs w:val="18"/>
                <w:color w:val="auto"/>
              </w:rPr>
              <w:t>Form of Warrant.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4"/>
                <w:szCs w:val="24"/>
                <w:color w:val="auto"/>
              </w:rPr>
            </w:pPr>
          </w:p>
        </w:tc>
        <w:tc>
          <w:tcPr>
            <w:tcW w:w="7180" w:type="dxa"/>
            <w:vAlign w:val="bottom"/>
            <w:gridSpan w:val="15"/>
          </w:tcPr>
          <w:p>
            <w:pPr>
              <w:spacing w:after="0"/>
              <w:rPr>
                <w:sz w:val="20"/>
                <w:szCs w:val="20"/>
                <w:color w:val="auto"/>
              </w:rPr>
            </w:pPr>
            <w:r>
              <w:rPr>
                <w:rFonts w:ascii="Arial" w:cs="Arial" w:eastAsia="Arial" w:hAnsi="Arial"/>
                <w:sz w:val="18"/>
                <w:szCs w:val="18"/>
                <w:color w:val="auto"/>
              </w:rPr>
              <w:t>Form of Warrant Agreement.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7180" w:type="dxa"/>
            <w:vAlign w:val="bottom"/>
            <w:gridSpan w:val="15"/>
          </w:tcPr>
          <w:p>
            <w:pPr>
              <w:spacing w:after="0"/>
              <w:rPr>
                <w:sz w:val="20"/>
                <w:szCs w:val="20"/>
                <w:color w:val="auto"/>
              </w:rPr>
            </w:pPr>
            <w:r>
              <w:rPr>
                <w:rFonts w:ascii="Arial" w:cs="Arial" w:eastAsia="Arial" w:hAnsi="Arial"/>
                <w:sz w:val="18"/>
                <w:szCs w:val="18"/>
                <w:color w:val="auto"/>
              </w:rPr>
              <w:t>Form of Purchase Contract Agreement.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7180" w:type="dxa"/>
            <w:vAlign w:val="bottom"/>
            <w:gridSpan w:val="15"/>
          </w:tcPr>
          <w:p>
            <w:pPr>
              <w:spacing w:after="0"/>
              <w:rPr>
                <w:sz w:val="20"/>
                <w:szCs w:val="20"/>
                <w:color w:val="auto"/>
              </w:rPr>
            </w:pPr>
            <w:r>
              <w:rPr>
                <w:rFonts w:ascii="Arial" w:cs="Arial" w:eastAsia="Arial" w:hAnsi="Arial"/>
                <w:sz w:val="18"/>
                <w:szCs w:val="18"/>
                <w:color w:val="auto"/>
              </w:rPr>
              <w:t>Form of Unit Agreement.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7180" w:type="dxa"/>
            <w:vAlign w:val="bottom"/>
            <w:gridSpan w:val="15"/>
          </w:tcPr>
          <w:p>
            <w:pPr>
              <w:spacing w:after="0"/>
              <w:rPr>
                <w:sz w:val="20"/>
                <w:szCs w:val="20"/>
                <w:color w:val="auto"/>
              </w:rPr>
            </w:pPr>
            <w:r>
              <w:rPr>
                <w:rFonts w:ascii="Arial" w:cs="Arial" w:eastAsia="Arial" w:hAnsi="Arial"/>
                <w:sz w:val="18"/>
                <w:szCs w:val="18"/>
                <w:color w:val="0000EE"/>
              </w:rPr>
              <w:t>Opinion of Wilson Sonsini Goodrich &amp; Rosati, Professional Corporation.</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52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19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180" w:type="dxa"/>
            <w:vAlign w:val="bottom"/>
            <w:gridSpan w:val="6"/>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4"/>
                <w:szCs w:val="24"/>
                <w:color w:val="auto"/>
              </w:rPr>
            </w:pPr>
          </w:p>
        </w:tc>
        <w:tc>
          <w:tcPr>
            <w:tcW w:w="7180" w:type="dxa"/>
            <w:vAlign w:val="bottom"/>
            <w:gridSpan w:val="15"/>
          </w:tcPr>
          <w:p>
            <w:pPr>
              <w:spacing w:after="0"/>
              <w:rPr>
                <w:sz w:val="20"/>
                <w:szCs w:val="20"/>
                <w:color w:val="auto"/>
              </w:rPr>
            </w:pPr>
            <w:r>
              <w:rPr>
                <w:rFonts w:ascii="Arial" w:cs="Arial" w:eastAsia="Arial" w:hAnsi="Arial"/>
                <w:sz w:val="18"/>
                <w:szCs w:val="18"/>
                <w:color w:val="0000EE"/>
                <w:w w:val="98"/>
              </w:rPr>
              <w:t>Consent of Wilson Sonsini Goodrich &amp; Rosati, Professional Corporation (included in Exhibit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5.</w:t>
            </w:r>
            <w:r>
              <w:rPr>
                <w:rFonts w:ascii="Arial" w:cs="Arial" w:eastAsia="Arial" w:hAnsi="Arial"/>
                <w:sz w:val="18"/>
                <w:szCs w:val="18"/>
                <w:u w:val="single" w:color="auto"/>
                <w:color w:val="0000EE"/>
                <w:w w:val="88"/>
              </w:rPr>
              <w:t>1)</w:t>
            </w:r>
            <w:r>
              <w:rPr>
                <w:rFonts w:ascii="Arial" w:cs="Arial" w:eastAsia="Arial" w:hAnsi="Arial"/>
                <w:sz w:val="18"/>
                <w:szCs w:val="18"/>
                <w:color w:val="0000EE"/>
                <w:w w:val="88"/>
              </w:rPr>
              <w:t>.</w:t>
            </w:r>
          </w:p>
        </w:tc>
        <w:tc>
          <w:tcPr>
            <w:tcW w:w="8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4"/>
                <w:szCs w:val="24"/>
                <w:color w:val="auto"/>
              </w:rPr>
            </w:pPr>
          </w:p>
        </w:tc>
        <w:tc>
          <w:tcPr>
            <w:tcW w:w="7180" w:type="dxa"/>
            <w:vAlign w:val="bottom"/>
            <w:gridSpan w:val="15"/>
          </w:tcPr>
          <w:p>
            <w:pPr>
              <w:spacing w:after="0"/>
              <w:rPr>
                <w:sz w:val="20"/>
                <w:szCs w:val="20"/>
                <w:color w:val="auto"/>
              </w:rPr>
            </w:pPr>
            <w:r>
              <w:rPr>
                <w:rFonts w:ascii="Arial" w:cs="Arial" w:eastAsia="Arial" w:hAnsi="Arial"/>
                <w:sz w:val="18"/>
                <w:szCs w:val="18"/>
                <w:color w:val="0000EE"/>
              </w:rPr>
              <w:t>Powers of Attorney (incorporated by reference to the signature page hereto).</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320" w:type="dxa"/>
            <w:vAlign w:val="bottom"/>
            <w:gridSpan w:val="9"/>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7180" w:type="dxa"/>
            <w:vAlign w:val="bottom"/>
            <w:gridSpan w:val="15"/>
          </w:tcPr>
          <w:p>
            <w:pPr>
              <w:spacing w:after="0"/>
              <w:rPr>
                <w:sz w:val="20"/>
                <w:szCs w:val="20"/>
                <w:color w:val="auto"/>
              </w:rPr>
            </w:pPr>
            <w:r>
              <w:rPr>
                <w:rFonts w:ascii="Arial" w:cs="Arial" w:eastAsia="Arial" w:hAnsi="Arial"/>
                <w:sz w:val="18"/>
                <w:szCs w:val="18"/>
                <w:color w:val="auto"/>
                <w:w w:val="95"/>
              </w:rPr>
              <w:t>Statement of Eligibility on Form T-1 under the Trust Indenture Act of 1939, as amended, of the</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80" w:type="dxa"/>
            <w:vAlign w:val="bottom"/>
            <w:gridSpan w:val="15"/>
          </w:tcPr>
          <w:p>
            <w:pPr>
              <w:spacing w:after="0"/>
              <w:rPr>
                <w:sz w:val="20"/>
                <w:szCs w:val="20"/>
                <w:color w:val="auto"/>
              </w:rPr>
            </w:pPr>
            <w:r>
              <w:rPr>
                <w:rFonts w:ascii="Arial" w:cs="Arial" w:eastAsia="Arial" w:hAnsi="Arial"/>
                <w:sz w:val="18"/>
                <w:szCs w:val="18"/>
                <w:color w:val="auto"/>
              </w:rPr>
              <w:t>trustee under the indenture filed as Exhibit 4.4 above.</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spacing w:after="0"/>
              <w:rPr>
                <w:sz w:val="20"/>
                <w:szCs w:val="20"/>
                <w:color w:val="auto"/>
              </w:rPr>
            </w:pPr>
            <w:r>
              <w:rPr>
                <w:rFonts w:ascii="Arial" w:cs="Arial" w:eastAsia="Arial" w:hAnsi="Arial"/>
                <w:sz w:val="18"/>
                <w:szCs w:val="18"/>
                <w:color w:val="auto"/>
                <w:w w:val="87"/>
              </w:rPr>
              <w:t>107.1#</w:t>
            </w:r>
          </w:p>
        </w:tc>
        <w:tc>
          <w:tcPr>
            <w:tcW w:w="180" w:type="dxa"/>
            <w:vAlign w:val="bottom"/>
          </w:tcPr>
          <w:p>
            <w:pPr>
              <w:spacing w:after="0"/>
              <w:rPr>
                <w:sz w:val="24"/>
                <w:szCs w:val="24"/>
                <w:color w:val="auto"/>
              </w:rPr>
            </w:pPr>
          </w:p>
        </w:tc>
        <w:tc>
          <w:tcPr>
            <w:tcW w:w="7180" w:type="dxa"/>
            <w:vAlign w:val="bottom"/>
            <w:gridSpan w:val="15"/>
          </w:tcPr>
          <w:p>
            <w:pPr>
              <w:spacing w:after="0"/>
              <w:rPr>
                <w:sz w:val="20"/>
                <w:szCs w:val="20"/>
                <w:color w:val="auto"/>
              </w:rPr>
            </w:pPr>
            <w:r>
              <w:rPr>
                <w:rFonts w:ascii="Arial" w:cs="Arial" w:eastAsia="Arial" w:hAnsi="Arial"/>
                <w:sz w:val="18"/>
                <w:szCs w:val="18"/>
                <w:color w:val="0000EE"/>
              </w:rPr>
              <w:t>Filing Fee Table</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To be filed pursuant to Section 305(b)(2) of the Trust Indenture Act of 1939.</w:t>
      </w:r>
    </w:p>
    <w:p>
      <w:pPr>
        <w:sectPr>
          <w:pgSz w:w="11900" w:h="16838" w:orient="portrait"/>
          <w:cols w:equalWidth="0" w:num="1">
            <w:col w:w="11080"/>
          </w:cols>
          <w:pgMar w:left="320" w:top="459"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the 28th day of February, 2023.</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ALECTOR,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Arnon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Arnon Rosenthal, Ph.D.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Co-founder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Arnon Rosenthal, Ph.D., Sara Kenkare-Mitra, Ph.D. and Marc Grasso, M.D. or any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as amended,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8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18"/>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Arnon Rosenthal</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Co-founder, Chief Executive Officer and Director</w:t>
            </w:r>
          </w:p>
        </w:tc>
        <w:tc>
          <w:tcPr>
            <w:tcW w:w="176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Arnon Rosenthal, Ph.D.</w:t>
            </w:r>
          </w:p>
        </w:tc>
        <w:tc>
          <w:tcPr>
            <w:tcW w:w="508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Grasso</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Marc Grasso, M.D.</w:t>
            </w:r>
          </w:p>
        </w:tc>
        <w:tc>
          <w:tcPr>
            <w:tcW w:w="508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Tillman Gerngross</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Chairperson of the Board</w:t>
            </w:r>
          </w:p>
        </w:tc>
        <w:tc>
          <w:tcPr>
            <w:tcW w:w="176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Tillman Gerngross,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Garofalo</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Elizabeth Garofalo,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Paula Hammond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Paula Hammond,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J. Lavigne, Jr.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Louis J. Lavigne, Jr.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Terry McGuire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Terry McGuire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Scheller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Richard Scheller,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Wehner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David Wehner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Kristine Yaffe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Kristine Yaffe,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ALECTOR,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jc w:val="center"/>
        <w:ind w:right="1020"/>
        <w:spacing w:after="0"/>
        <w:tabs>
          <w:tab w:leader="none" w:pos="20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6"/>
          <w:szCs w:val="16"/>
          <w:color w:val="auto"/>
        </w:rPr>
        <w:t>, 202</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ectPr>
          <w:pgSz w:w="11900" w:h="16838" w:orient="portrait"/>
          <w:cols w:equalWidth="0" w:num="1">
            <w:col w:w="10020"/>
          </w:cols>
          <w:pgMar w:left="1440" w:top="121"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730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862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30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300" w:type="dxa"/>
            <w:vAlign w:val="bottom"/>
          </w:tcPr>
          <w:p>
            <w:pPr>
              <w:ind w:left="80"/>
              <w:spacing w:after="0"/>
              <w:rPr>
                <w:sz w:val="20"/>
                <w:szCs w:val="20"/>
                <w:color w:val="auto"/>
              </w:rPr>
            </w:pPr>
            <w:r>
              <w:rPr>
                <w:rFonts w:ascii="Arial" w:cs="Arial" w:eastAsia="Arial" w:hAnsi="Arial"/>
                <w:sz w:val="18"/>
                <w:szCs w:val="18"/>
                <w:color w:val="auto"/>
              </w:rPr>
              <w:t>Other 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300" w:type="dxa"/>
            <w:vAlign w:val="bottom"/>
          </w:tcPr>
          <w:p>
            <w:pPr>
              <w:ind w:left="80"/>
              <w:spacing w:after="0"/>
              <w:rPr>
                <w:sz w:val="20"/>
                <w:szCs w:val="20"/>
                <w:color w:val="auto"/>
              </w:rPr>
            </w:pPr>
            <w:r>
              <w:rPr>
                <w:rFonts w:ascii="Arial" w:cs="Arial" w:eastAsia="Arial" w:hAnsi="Arial"/>
                <w:sz w:val="18"/>
                <w:szCs w:val="18"/>
                <w:color w:val="auto"/>
              </w:rPr>
              <w:t>Incorporation by Reference of Trust Indenture Act</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300" w:type="dxa"/>
            <w:vAlign w:val="bottom"/>
          </w:tcPr>
          <w:p>
            <w:pPr>
              <w:ind w:left="80"/>
              <w:spacing w:after="0"/>
              <w:rPr>
                <w:sz w:val="20"/>
                <w:szCs w:val="20"/>
                <w:color w:val="auto"/>
              </w:rPr>
            </w:pPr>
            <w:r>
              <w:rPr>
                <w:rFonts w:ascii="Arial" w:cs="Arial" w:eastAsia="Arial" w:hAnsi="Arial"/>
                <w:sz w:val="18"/>
                <w:szCs w:val="18"/>
                <w:color w:val="auto"/>
              </w:rPr>
              <w:t>Rules of Construction</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300" w:type="dxa"/>
            <w:vAlign w:val="bottom"/>
          </w:tcPr>
          <w:p>
            <w:pPr>
              <w:ind w:left="80"/>
              <w:spacing w:after="0"/>
              <w:rPr>
                <w:sz w:val="20"/>
                <w:szCs w:val="20"/>
                <w:color w:val="auto"/>
              </w:rPr>
            </w:pPr>
            <w:r>
              <w:rPr>
                <w:rFonts w:ascii="Arial" w:cs="Arial" w:eastAsia="Arial" w:hAnsi="Arial"/>
                <w:sz w:val="18"/>
                <w:szCs w:val="18"/>
                <w:color w:val="auto"/>
              </w:rPr>
              <w:t>Issuable in Series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300" w:type="dxa"/>
            <w:vAlign w:val="bottom"/>
          </w:tcPr>
          <w:p>
            <w:pPr>
              <w:ind w:left="80"/>
              <w:spacing w:after="0"/>
              <w:rPr>
                <w:sz w:val="20"/>
                <w:szCs w:val="20"/>
                <w:color w:val="auto"/>
              </w:rPr>
            </w:pPr>
            <w:r>
              <w:rPr>
                <w:rFonts w:ascii="Arial" w:cs="Arial" w:eastAsia="Arial" w:hAnsi="Arial"/>
                <w:sz w:val="18"/>
                <w:szCs w:val="18"/>
                <w:color w:val="auto"/>
              </w:rPr>
              <w:t>Establishment of Terms of Series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300" w:type="dxa"/>
            <w:vAlign w:val="bottom"/>
          </w:tcPr>
          <w:p>
            <w:pPr>
              <w:ind w:left="80"/>
              <w:spacing w:after="0"/>
              <w:rPr>
                <w:sz w:val="20"/>
                <w:szCs w:val="20"/>
                <w:color w:val="auto"/>
              </w:rPr>
            </w:pPr>
            <w:r>
              <w:rPr>
                <w:rFonts w:ascii="Arial" w:cs="Arial" w:eastAsia="Arial" w:hAnsi="Arial"/>
                <w:sz w:val="18"/>
                <w:szCs w:val="18"/>
                <w:color w:val="auto"/>
              </w:rPr>
              <w:t>Execution and Authentication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300" w:type="dxa"/>
            <w:vAlign w:val="bottom"/>
          </w:tcPr>
          <w:p>
            <w:pPr>
              <w:ind w:left="80"/>
              <w:spacing w:after="0"/>
              <w:rPr>
                <w:sz w:val="20"/>
                <w:szCs w:val="20"/>
                <w:color w:val="auto"/>
              </w:rPr>
            </w:pPr>
            <w:r>
              <w:rPr>
                <w:rFonts w:ascii="Arial" w:cs="Arial" w:eastAsia="Arial" w:hAnsi="Arial"/>
                <w:sz w:val="18"/>
                <w:szCs w:val="18"/>
                <w:color w:val="auto"/>
              </w:rPr>
              <w:t>Registrar and Paying Agent</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7300" w:type="dxa"/>
            <w:vAlign w:val="bottom"/>
          </w:tcPr>
          <w:p>
            <w:pPr>
              <w:ind w:left="80"/>
              <w:spacing w:after="0"/>
              <w:rPr>
                <w:sz w:val="20"/>
                <w:szCs w:val="20"/>
                <w:color w:val="auto"/>
              </w:rPr>
            </w:pPr>
            <w:r>
              <w:rPr>
                <w:rFonts w:ascii="Arial" w:cs="Arial" w:eastAsia="Arial" w:hAnsi="Arial"/>
                <w:sz w:val="18"/>
                <w:szCs w:val="18"/>
                <w:color w:val="auto"/>
              </w:rPr>
              <w:t>Paying Agent to Hold Money in Trust</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7300" w:type="dxa"/>
            <w:vAlign w:val="bottom"/>
          </w:tcPr>
          <w:p>
            <w:pPr>
              <w:ind w:left="80"/>
              <w:spacing w:after="0"/>
              <w:rPr>
                <w:sz w:val="20"/>
                <w:szCs w:val="20"/>
                <w:color w:val="auto"/>
              </w:rPr>
            </w:pPr>
            <w:r>
              <w:rPr>
                <w:rFonts w:ascii="Arial" w:cs="Arial" w:eastAsia="Arial" w:hAnsi="Arial"/>
                <w:sz w:val="18"/>
                <w:szCs w:val="18"/>
                <w:color w:val="auto"/>
              </w:rPr>
              <w:t>Securityholder Lists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7300" w:type="dxa"/>
            <w:vAlign w:val="bottom"/>
          </w:tcPr>
          <w:p>
            <w:pPr>
              <w:ind w:left="80"/>
              <w:spacing w:after="0"/>
              <w:rPr>
                <w:sz w:val="20"/>
                <w:szCs w:val="20"/>
                <w:color w:val="auto"/>
              </w:rPr>
            </w:pPr>
            <w:r>
              <w:rPr>
                <w:rFonts w:ascii="Arial" w:cs="Arial" w:eastAsia="Arial" w:hAnsi="Arial"/>
                <w:sz w:val="18"/>
                <w:szCs w:val="18"/>
                <w:color w:val="auto"/>
              </w:rPr>
              <w:t>Transfer and Exchange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7300" w:type="dxa"/>
            <w:vAlign w:val="bottom"/>
          </w:tcPr>
          <w:p>
            <w:pPr>
              <w:ind w:left="80"/>
              <w:spacing w:after="0"/>
              <w:rPr>
                <w:sz w:val="20"/>
                <w:szCs w:val="20"/>
                <w:color w:val="auto"/>
              </w:rPr>
            </w:pPr>
            <w:r>
              <w:rPr>
                <w:rFonts w:ascii="Arial" w:cs="Arial" w:eastAsia="Arial" w:hAnsi="Arial"/>
                <w:sz w:val="18"/>
                <w:szCs w:val="18"/>
                <w:color w:val="auto"/>
              </w:rPr>
              <w:t>Mutilated, Destroyed, Lost and Stolen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7300" w:type="dxa"/>
            <w:vAlign w:val="bottom"/>
          </w:tcPr>
          <w:p>
            <w:pPr>
              <w:ind w:left="80"/>
              <w:spacing w:after="0"/>
              <w:rPr>
                <w:sz w:val="20"/>
                <w:szCs w:val="20"/>
                <w:color w:val="auto"/>
              </w:rPr>
            </w:pPr>
            <w:r>
              <w:rPr>
                <w:rFonts w:ascii="Arial" w:cs="Arial" w:eastAsia="Arial" w:hAnsi="Arial"/>
                <w:sz w:val="18"/>
                <w:szCs w:val="18"/>
                <w:color w:val="auto"/>
              </w:rPr>
              <w:t>Outstanding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2.10</w:t>
            </w:r>
          </w:p>
        </w:tc>
        <w:tc>
          <w:tcPr>
            <w:tcW w:w="7300" w:type="dxa"/>
            <w:vAlign w:val="bottom"/>
          </w:tcPr>
          <w:p>
            <w:pPr>
              <w:ind w:left="80"/>
              <w:spacing w:after="0"/>
              <w:rPr>
                <w:sz w:val="20"/>
                <w:szCs w:val="20"/>
                <w:color w:val="auto"/>
              </w:rPr>
            </w:pPr>
            <w:r>
              <w:rPr>
                <w:rFonts w:ascii="Arial" w:cs="Arial" w:eastAsia="Arial" w:hAnsi="Arial"/>
                <w:sz w:val="18"/>
                <w:szCs w:val="18"/>
                <w:color w:val="auto"/>
              </w:rPr>
              <w:t>Treasury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2.11</w:t>
            </w:r>
          </w:p>
        </w:tc>
        <w:tc>
          <w:tcPr>
            <w:tcW w:w="7300" w:type="dxa"/>
            <w:vAlign w:val="bottom"/>
          </w:tcPr>
          <w:p>
            <w:pPr>
              <w:ind w:left="80"/>
              <w:spacing w:after="0"/>
              <w:rPr>
                <w:sz w:val="20"/>
                <w:szCs w:val="20"/>
                <w:color w:val="auto"/>
              </w:rPr>
            </w:pPr>
            <w:r>
              <w:rPr>
                <w:rFonts w:ascii="Arial" w:cs="Arial" w:eastAsia="Arial" w:hAnsi="Arial"/>
                <w:sz w:val="18"/>
                <w:szCs w:val="18"/>
                <w:color w:val="auto"/>
              </w:rPr>
              <w:t>Temporary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2.12</w:t>
            </w:r>
          </w:p>
        </w:tc>
        <w:tc>
          <w:tcPr>
            <w:tcW w:w="7300" w:type="dxa"/>
            <w:vAlign w:val="bottom"/>
          </w:tcPr>
          <w:p>
            <w:pPr>
              <w:ind w:left="80"/>
              <w:spacing w:after="0"/>
              <w:rPr>
                <w:sz w:val="20"/>
                <w:szCs w:val="20"/>
                <w:color w:val="auto"/>
              </w:rPr>
            </w:pPr>
            <w:r>
              <w:rPr>
                <w:rFonts w:ascii="Arial" w:cs="Arial" w:eastAsia="Arial" w:hAnsi="Arial"/>
                <w:sz w:val="18"/>
                <w:szCs w:val="18"/>
                <w:color w:val="auto"/>
              </w:rPr>
              <w:t>Cancellation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2.13</w:t>
            </w:r>
          </w:p>
        </w:tc>
        <w:tc>
          <w:tcPr>
            <w:tcW w:w="7300" w:type="dxa"/>
            <w:vAlign w:val="bottom"/>
          </w:tcPr>
          <w:p>
            <w:pPr>
              <w:ind w:left="80"/>
              <w:spacing w:after="0"/>
              <w:rPr>
                <w:sz w:val="20"/>
                <w:szCs w:val="20"/>
                <w:color w:val="auto"/>
              </w:rPr>
            </w:pPr>
            <w:r>
              <w:rPr>
                <w:rFonts w:ascii="Arial" w:cs="Arial" w:eastAsia="Arial" w:hAnsi="Arial"/>
                <w:sz w:val="18"/>
                <w:szCs w:val="18"/>
                <w:color w:val="auto"/>
              </w:rPr>
              <w:t>Defaulted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2.14</w:t>
            </w:r>
          </w:p>
        </w:tc>
        <w:tc>
          <w:tcPr>
            <w:tcW w:w="7300" w:type="dxa"/>
            <w:vAlign w:val="bottom"/>
          </w:tcPr>
          <w:p>
            <w:pPr>
              <w:ind w:left="80"/>
              <w:spacing w:after="0"/>
              <w:rPr>
                <w:sz w:val="20"/>
                <w:szCs w:val="20"/>
                <w:color w:val="auto"/>
              </w:rPr>
            </w:pPr>
            <w:r>
              <w:rPr>
                <w:rFonts w:ascii="Arial" w:cs="Arial" w:eastAsia="Arial" w:hAnsi="Arial"/>
                <w:sz w:val="18"/>
                <w:szCs w:val="18"/>
                <w:color w:val="auto"/>
              </w:rPr>
              <w:t>Global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2.15</w:t>
            </w:r>
          </w:p>
        </w:tc>
        <w:tc>
          <w:tcPr>
            <w:tcW w:w="7300" w:type="dxa"/>
            <w:vAlign w:val="bottom"/>
          </w:tcPr>
          <w:p>
            <w:pPr>
              <w:ind w:left="80"/>
              <w:spacing w:after="0"/>
              <w:rPr>
                <w:sz w:val="20"/>
                <w:szCs w:val="20"/>
                <w:color w:val="auto"/>
              </w:rPr>
            </w:pPr>
            <w:r>
              <w:rPr>
                <w:rFonts w:ascii="Arial" w:cs="Arial" w:eastAsia="Arial" w:hAnsi="Arial"/>
                <w:sz w:val="18"/>
                <w:szCs w:val="18"/>
                <w:color w:val="auto"/>
              </w:rPr>
              <w:t>CUSIP Numbers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300" w:type="dxa"/>
            <w:vAlign w:val="bottom"/>
          </w:tcPr>
          <w:p>
            <w:pPr>
              <w:ind w:left="80"/>
              <w:spacing w:after="0"/>
              <w:rPr>
                <w:sz w:val="20"/>
                <w:szCs w:val="20"/>
                <w:color w:val="auto"/>
              </w:rPr>
            </w:pPr>
            <w:r>
              <w:rPr>
                <w:rFonts w:ascii="Arial" w:cs="Arial" w:eastAsia="Arial" w:hAnsi="Arial"/>
                <w:sz w:val="18"/>
                <w:szCs w:val="18"/>
                <w:color w:val="auto"/>
              </w:rPr>
              <w:t>Notice to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300" w:type="dxa"/>
            <w:vAlign w:val="bottom"/>
          </w:tcPr>
          <w:p>
            <w:pPr>
              <w:ind w:left="80"/>
              <w:spacing w:after="0"/>
              <w:rPr>
                <w:sz w:val="20"/>
                <w:szCs w:val="20"/>
                <w:color w:val="auto"/>
              </w:rPr>
            </w:pPr>
            <w:r>
              <w:rPr>
                <w:rFonts w:ascii="Arial" w:cs="Arial" w:eastAsia="Arial" w:hAnsi="Arial"/>
                <w:sz w:val="18"/>
                <w:szCs w:val="18"/>
                <w:color w:val="auto"/>
              </w:rPr>
              <w:t>Selection of Securities to be Redeemed</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300" w:type="dxa"/>
            <w:vAlign w:val="bottom"/>
          </w:tcPr>
          <w:p>
            <w:pPr>
              <w:ind w:left="80"/>
              <w:spacing w:after="0"/>
              <w:rPr>
                <w:sz w:val="20"/>
                <w:szCs w:val="20"/>
                <w:color w:val="auto"/>
              </w:rPr>
            </w:pPr>
            <w:r>
              <w:rPr>
                <w:rFonts w:ascii="Arial" w:cs="Arial" w:eastAsia="Arial" w:hAnsi="Arial"/>
                <w:sz w:val="18"/>
                <w:szCs w:val="18"/>
                <w:color w:val="auto"/>
              </w:rPr>
              <w:t>Notice of Redemption</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7300" w:type="dxa"/>
            <w:vAlign w:val="bottom"/>
          </w:tcPr>
          <w:p>
            <w:pPr>
              <w:ind w:left="80"/>
              <w:spacing w:after="0"/>
              <w:rPr>
                <w:sz w:val="20"/>
                <w:szCs w:val="20"/>
                <w:color w:val="auto"/>
              </w:rPr>
            </w:pPr>
            <w:r>
              <w:rPr>
                <w:rFonts w:ascii="Arial" w:cs="Arial" w:eastAsia="Arial" w:hAnsi="Arial"/>
                <w:sz w:val="18"/>
                <w:szCs w:val="18"/>
                <w:color w:val="auto"/>
              </w:rPr>
              <w:t>Effect of Notice of Redemption</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7300" w:type="dxa"/>
            <w:vAlign w:val="bottom"/>
          </w:tcPr>
          <w:p>
            <w:pPr>
              <w:ind w:left="80"/>
              <w:spacing w:after="0"/>
              <w:rPr>
                <w:sz w:val="20"/>
                <w:szCs w:val="20"/>
                <w:color w:val="auto"/>
              </w:rPr>
            </w:pPr>
            <w:r>
              <w:rPr>
                <w:rFonts w:ascii="Arial" w:cs="Arial" w:eastAsia="Arial" w:hAnsi="Arial"/>
                <w:sz w:val="18"/>
                <w:szCs w:val="18"/>
                <w:color w:val="auto"/>
              </w:rPr>
              <w:t>Deposit of Redemption Price</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7300" w:type="dxa"/>
            <w:vAlign w:val="bottom"/>
          </w:tcPr>
          <w:p>
            <w:pPr>
              <w:ind w:left="80"/>
              <w:spacing w:after="0"/>
              <w:rPr>
                <w:sz w:val="20"/>
                <w:szCs w:val="20"/>
                <w:color w:val="auto"/>
              </w:rPr>
            </w:pPr>
            <w:r>
              <w:rPr>
                <w:rFonts w:ascii="Arial" w:cs="Arial" w:eastAsia="Arial" w:hAnsi="Arial"/>
                <w:sz w:val="18"/>
                <w:szCs w:val="18"/>
                <w:color w:val="auto"/>
              </w:rPr>
              <w:t>Securities Redeemed in Part</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300" w:type="dxa"/>
            <w:vAlign w:val="bottom"/>
          </w:tcPr>
          <w:p>
            <w:pPr>
              <w:ind w:left="80"/>
              <w:spacing w:after="0"/>
              <w:rPr>
                <w:sz w:val="20"/>
                <w:szCs w:val="20"/>
                <w:color w:val="auto"/>
              </w:rPr>
            </w:pPr>
            <w:r>
              <w:rPr>
                <w:rFonts w:ascii="Arial" w:cs="Arial" w:eastAsia="Arial" w:hAnsi="Arial"/>
                <w:sz w:val="18"/>
                <w:szCs w:val="18"/>
                <w:color w:val="auto"/>
              </w:rPr>
              <w:t>Payment of Principal and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300" w:type="dxa"/>
            <w:vAlign w:val="bottom"/>
          </w:tcPr>
          <w:p>
            <w:pPr>
              <w:ind w:left="80"/>
              <w:spacing w:after="0"/>
              <w:rPr>
                <w:sz w:val="20"/>
                <w:szCs w:val="20"/>
                <w:color w:val="auto"/>
              </w:rPr>
            </w:pPr>
            <w:r>
              <w:rPr>
                <w:rFonts w:ascii="Arial" w:cs="Arial" w:eastAsia="Arial" w:hAnsi="Arial"/>
                <w:sz w:val="18"/>
                <w:szCs w:val="18"/>
                <w:color w:val="auto"/>
              </w:rPr>
              <w:t>SEC Reports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300" w:type="dxa"/>
            <w:vAlign w:val="bottom"/>
          </w:tcPr>
          <w:p>
            <w:pPr>
              <w:ind w:left="80"/>
              <w:spacing w:after="0"/>
              <w:rPr>
                <w:sz w:val="20"/>
                <w:szCs w:val="20"/>
                <w:color w:val="auto"/>
              </w:rPr>
            </w:pPr>
            <w:r>
              <w:rPr>
                <w:rFonts w:ascii="Arial" w:cs="Arial" w:eastAsia="Arial" w:hAnsi="Arial"/>
                <w:sz w:val="18"/>
                <w:szCs w:val="18"/>
                <w:color w:val="auto"/>
              </w:rPr>
              <w:t>Compliance Certificate</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300" w:type="dxa"/>
            <w:vAlign w:val="bottom"/>
          </w:tcPr>
          <w:p>
            <w:pPr>
              <w:ind w:left="80"/>
              <w:spacing w:after="0"/>
              <w:rPr>
                <w:sz w:val="20"/>
                <w:szCs w:val="20"/>
                <w:color w:val="auto"/>
              </w:rPr>
            </w:pPr>
            <w:r>
              <w:rPr>
                <w:rFonts w:ascii="Arial" w:cs="Arial" w:eastAsia="Arial" w:hAnsi="Arial"/>
                <w:sz w:val="18"/>
                <w:szCs w:val="18"/>
                <w:color w:val="auto"/>
              </w:rPr>
              <w:t>Stay, Extension and Usury Laws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300" w:type="dxa"/>
            <w:vAlign w:val="bottom"/>
          </w:tcPr>
          <w:p>
            <w:pPr>
              <w:ind w:left="80"/>
              <w:spacing w:after="0"/>
              <w:rPr>
                <w:sz w:val="20"/>
                <w:szCs w:val="20"/>
                <w:color w:val="auto"/>
              </w:rPr>
            </w:pPr>
            <w:r>
              <w:rPr>
                <w:rFonts w:ascii="Arial" w:cs="Arial" w:eastAsia="Arial" w:hAnsi="Arial"/>
                <w:sz w:val="18"/>
                <w:szCs w:val="18"/>
                <w:color w:val="auto"/>
              </w:rPr>
              <w:t>When Company May Merge, Etc.</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300" w:type="dxa"/>
            <w:vAlign w:val="bottom"/>
          </w:tcPr>
          <w:p>
            <w:pPr>
              <w:ind w:left="80"/>
              <w:spacing w:after="0"/>
              <w:rPr>
                <w:sz w:val="20"/>
                <w:szCs w:val="20"/>
                <w:color w:val="auto"/>
              </w:rPr>
            </w:pPr>
            <w:r>
              <w:rPr>
                <w:rFonts w:ascii="Arial" w:cs="Arial" w:eastAsia="Arial" w:hAnsi="Arial"/>
                <w:sz w:val="18"/>
                <w:szCs w:val="18"/>
                <w:color w:val="auto"/>
              </w:rPr>
              <w:t>Successor Corporation Substituted</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30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300" w:type="dxa"/>
            <w:vAlign w:val="bottom"/>
          </w:tcPr>
          <w:p>
            <w:pPr>
              <w:ind w:left="80"/>
              <w:spacing w:after="0"/>
              <w:rPr>
                <w:sz w:val="20"/>
                <w:szCs w:val="20"/>
                <w:color w:val="auto"/>
              </w:rPr>
            </w:pPr>
            <w:r>
              <w:rPr>
                <w:rFonts w:ascii="Arial" w:cs="Arial" w:eastAsia="Arial" w:hAnsi="Arial"/>
                <w:sz w:val="18"/>
                <w:szCs w:val="18"/>
                <w:color w:val="auto"/>
              </w:rPr>
              <w:t>Acceleration of Maturity; Rescission and Annulment</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7300" w:type="dxa"/>
            <w:vAlign w:val="bottom"/>
          </w:tcPr>
          <w:p>
            <w:pPr>
              <w:ind w:left="80"/>
              <w:spacing w:after="0"/>
              <w:rPr>
                <w:sz w:val="20"/>
                <w:szCs w:val="20"/>
                <w:color w:val="auto"/>
              </w:rPr>
            </w:pPr>
            <w:r>
              <w:rPr>
                <w:rFonts w:ascii="Arial" w:cs="Arial" w:eastAsia="Arial" w:hAnsi="Arial"/>
                <w:sz w:val="18"/>
                <w:szCs w:val="18"/>
                <w:color w:val="auto"/>
              </w:rPr>
              <w:t>Collection of Indebtedness and Suits for Enforcement by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7300" w:type="dxa"/>
            <w:vAlign w:val="bottom"/>
          </w:tcPr>
          <w:p>
            <w:pPr>
              <w:ind w:left="80"/>
              <w:spacing w:after="0"/>
              <w:rPr>
                <w:sz w:val="20"/>
                <w:szCs w:val="20"/>
                <w:color w:val="auto"/>
              </w:rPr>
            </w:pPr>
            <w:r>
              <w:rPr>
                <w:rFonts w:ascii="Arial" w:cs="Arial" w:eastAsia="Arial" w:hAnsi="Arial"/>
                <w:sz w:val="18"/>
                <w:szCs w:val="18"/>
                <w:color w:val="auto"/>
              </w:rPr>
              <w:t>Trustee May File Proofs of Claim</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 w:name="page37"/>
    <w:bookmarkEnd w:id="36"/>
    <w:tbl>
      <w:tblPr>
        <w:tblLayout w:type="fixed"/>
        <w:tblInd w:w="0" w:type="dxa"/>
        <w:tblCellMar>
          <w:top w:w="0" w:type="dxa"/>
          <w:left w:w="0" w:type="dxa"/>
          <w:bottom w:w="0" w:type="dxa"/>
          <w:right w:w="0" w:type="dxa"/>
        </w:tblCellMar>
      </w:tblP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7040" w:type="dxa"/>
            <w:vAlign w:val="bottom"/>
          </w:tcPr>
          <w:p>
            <w:pPr>
              <w:ind w:left="40"/>
              <w:spacing w:after="0"/>
              <w:rPr>
                <w:sz w:val="20"/>
                <w:szCs w:val="20"/>
                <w:color w:val="auto"/>
              </w:rPr>
            </w:pPr>
            <w:r>
              <w:rPr>
                <w:rFonts w:ascii="Arial" w:cs="Arial" w:eastAsia="Arial" w:hAnsi="Arial"/>
                <w:sz w:val="18"/>
                <w:szCs w:val="18"/>
                <w:color w:val="auto"/>
              </w:rPr>
              <w:t>Trustee May Enforce Claims Without Possession of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7040" w:type="dxa"/>
            <w:vAlign w:val="bottom"/>
          </w:tcPr>
          <w:p>
            <w:pPr>
              <w:ind w:left="40"/>
              <w:spacing w:after="0"/>
              <w:rPr>
                <w:sz w:val="20"/>
                <w:szCs w:val="20"/>
                <w:color w:val="auto"/>
              </w:rPr>
            </w:pPr>
            <w:r>
              <w:rPr>
                <w:rFonts w:ascii="Arial" w:cs="Arial" w:eastAsia="Arial" w:hAnsi="Arial"/>
                <w:sz w:val="18"/>
                <w:szCs w:val="18"/>
                <w:color w:val="auto"/>
              </w:rPr>
              <w:t>Application of Money Collected</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7040" w:type="dxa"/>
            <w:vAlign w:val="bottom"/>
          </w:tcPr>
          <w:p>
            <w:pPr>
              <w:ind w:left="40"/>
              <w:spacing w:after="0"/>
              <w:rPr>
                <w:sz w:val="20"/>
                <w:szCs w:val="20"/>
                <w:color w:val="auto"/>
              </w:rPr>
            </w:pPr>
            <w:r>
              <w:rPr>
                <w:rFonts w:ascii="Arial" w:cs="Arial" w:eastAsia="Arial" w:hAnsi="Arial"/>
                <w:sz w:val="18"/>
                <w:szCs w:val="18"/>
                <w:color w:val="auto"/>
              </w:rPr>
              <w:t>Limitation on Suits</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7040" w:type="dxa"/>
            <w:vAlign w:val="bottom"/>
          </w:tcPr>
          <w:p>
            <w:pPr>
              <w:ind w:left="4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7040" w:type="dxa"/>
            <w:vAlign w:val="bottom"/>
          </w:tcPr>
          <w:p>
            <w:pPr>
              <w:ind w:left="40"/>
              <w:spacing w:after="0"/>
              <w:rPr>
                <w:sz w:val="20"/>
                <w:szCs w:val="20"/>
                <w:color w:val="auto"/>
              </w:rPr>
            </w:pPr>
            <w:r>
              <w:rPr>
                <w:rFonts w:ascii="Arial" w:cs="Arial" w:eastAsia="Arial" w:hAnsi="Arial"/>
                <w:sz w:val="18"/>
                <w:szCs w:val="18"/>
                <w:color w:val="auto"/>
              </w:rPr>
              <w:t>Restoration of Rights and 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040" w:type="dxa"/>
            <w:vAlign w:val="bottom"/>
          </w:tcPr>
          <w:p>
            <w:pPr>
              <w:ind w:left="40"/>
              <w:spacing w:after="0"/>
              <w:rPr>
                <w:sz w:val="20"/>
                <w:szCs w:val="20"/>
                <w:color w:val="auto"/>
              </w:rPr>
            </w:pPr>
            <w:r>
              <w:rPr>
                <w:rFonts w:ascii="Arial" w:cs="Arial" w:eastAsia="Arial" w:hAnsi="Arial"/>
                <w:sz w:val="18"/>
                <w:szCs w:val="18"/>
                <w:color w:val="auto"/>
              </w:rPr>
              <w:t>Rights and Remedies Cumulative</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040" w:type="dxa"/>
            <w:vAlign w:val="bottom"/>
          </w:tcPr>
          <w:p>
            <w:pPr>
              <w:ind w:left="40"/>
              <w:spacing w:after="0"/>
              <w:rPr>
                <w:sz w:val="20"/>
                <w:szCs w:val="20"/>
                <w:color w:val="auto"/>
              </w:rPr>
            </w:pPr>
            <w:r>
              <w:rPr>
                <w:rFonts w:ascii="Arial" w:cs="Arial" w:eastAsia="Arial" w:hAnsi="Arial"/>
                <w:sz w:val="18"/>
                <w:szCs w:val="18"/>
                <w:color w:val="auto"/>
              </w:rPr>
              <w:t>Delay or Omission Not Waiver</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040" w:type="dxa"/>
            <w:vAlign w:val="bottom"/>
          </w:tcPr>
          <w:p>
            <w:pPr>
              <w:ind w:left="40"/>
              <w:spacing w:after="0"/>
              <w:rPr>
                <w:sz w:val="20"/>
                <w:szCs w:val="20"/>
                <w:color w:val="auto"/>
              </w:rPr>
            </w:pPr>
            <w:r>
              <w:rPr>
                <w:rFonts w:ascii="Arial" w:cs="Arial" w:eastAsia="Arial" w:hAnsi="Arial"/>
                <w:sz w:val="18"/>
                <w:szCs w:val="18"/>
                <w:color w:val="auto"/>
              </w:rPr>
              <w:t>Control by 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7040" w:type="dxa"/>
            <w:vAlign w:val="bottom"/>
          </w:tcPr>
          <w:p>
            <w:pPr>
              <w:ind w:left="40"/>
              <w:spacing w:after="0"/>
              <w:rPr>
                <w:sz w:val="20"/>
                <w:szCs w:val="20"/>
                <w:color w:val="auto"/>
              </w:rPr>
            </w:pPr>
            <w:r>
              <w:rPr>
                <w:rFonts w:ascii="Arial" w:cs="Arial" w:eastAsia="Arial" w:hAnsi="Arial"/>
                <w:sz w:val="18"/>
                <w:szCs w:val="18"/>
                <w:color w:val="auto"/>
              </w:rPr>
              <w:t>Waiver of Past Defaults</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7040" w:type="dxa"/>
            <w:vAlign w:val="bottom"/>
          </w:tcPr>
          <w:p>
            <w:pPr>
              <w:ind w:left="40"/>
              <w:spacing w:after="0"/>
              <w:rPr>
                <w:sz w:val="20"/>
                <w:szCs w:val="20"/>
                <w:color w:val="auto"/>
              </w:rPr>
            </w:pPr>
            <w:r>
              <w:rPr>
                <w:rFonts w:ascii="Arial" w:cs="Arial" w:eastAsia="Arial" w:hAnsi="Arial"/>
                <w:sz w:val="18"/>
                <w:szCs w:val="18"/>
                <w:color w:val="auto"/>
              </w:rPr>
              <w:t>Undertaking for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040" w:type="dxa"/>
            <w:vAlign w:val="bottom"/>
          </w:tcPr>
          <w:p>
            <w:pPr>
              <w:ind w:left="40"/>
              <w:spacing w:after="0"/>
              <w:rPr>
                <w:sz w:val="20"/>
                <w:szCs w:val="20"/>
                <w:color w:val="auto"/>
              </w:rPr>
            </w:pPr>
            <w:r>
              <w:rPr>
                <w:rFonts w:ascii="Arial" w:cs="Arial" w:eastAsia="Arial" w:hAnsi="Arial"/>
                <w:sz w:val="18"/>
                <w:szCs w:val="18"/>
                <w:color w:val="auto"/>
              </w:rPr>
              <w:t>Duties of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040" w:type="dxa"/>
            <w:vAlign w:val="bottom"/>
          </w:tcPr>
          <w:p>
            <w:pPr>
              <w:ind w:left="40"/>
              <w:spacing w:after="0"/>
              <w:rPr>
                <w:sz w:val="20"/>
                <w:szCs w:val="20"/>
                <w:color w:val="auto"/>
              </w:rPr>
            </w:pPr>
            <w:r>
              <w:rPr>
                <w:rFonts w:ascii="Arial" w:cs="Arial" w:eastAsia="Arial" w:hAnsi="Arial"/>
                <w:sz w:val="18"/>
                <w:szCs w:val="18"/>
                <w:color w:val="auto"/>
              </w:rPr>
              <w:t>Rights of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040" w:type="dxa"/>
            <w:vAlign w:val="bottom"/>
          </w:tcPr>
          <w:p>
            <w:pPr>
              <w:ind w:left="40"/>
              <w:spacing w:after="0"/>
              <w:rPr>
                <w:sz w:val="20"/>
                <w:szCs w:val="20"/>
                <w:color w:val="auto"/>
              </w:rPr>
            </w:pPr>
            <w:r>
              <w:rPr>
                <w:rFonts w:ascii="Arial" w:cs="Arial" w:eastAsia="Arial" w:hAnsi="Arial"/>
                <w:sz w:val="18"/>
                <w:szCs w:val="18"/>
                <w:color w:val="auto"/>
              </w:rPr>
              <w:t>Individual Rights of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040" w:type="dxa"/>
            <w:vAlign w:val="bottom"/>
          </w:tcPr>
          <w:p>
            <w:pPr>
              <w:ind w:left="40"/>
              <w:spacing w:after="0"/>
              <w:rPr>
                <w:sz w:val="20"/>
                <w:szCs w:val="20"/>
                <w:color w:val="auto"/>
              </w:rPr>
            </w:pPr>
            <w:r>
              <w:rPr>
                <w:rFonts w:ascii="Arial" w:cs="Arial" w:eastAsia="Arial" w:hAnsi="Arial"/>
                <w:sz w:val="18"/>
                <w:szCs w:val="18"/>
                <w:color w:val="auto"/>
              </w:rPr>
              <w:t>Trustee’s Disclaimer</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7040" w:type="dxa"/>
            <w:vAlign w:val="bottom"/>
          </w:tcPr>
          <w:p>
            <w:pPr>
              <w:ind w:left="40"/>
              <w:spacing w:after="0"/>
              <w:rPr>
                <w:sz w:val="20"/>
                <w:szCs w:val="20"/>
                <w:color w:val="auto"/>
              </w:rPr>
            </w:pPr>
            <w:r>
              <w:rPr>
                <w:rFonts w:ascii="Arial" w:cs="Arial" w:eastAsia="Arial" w:hAnsi="Arial"/>
                <w:sz w:val="18"/>
                <w:szCs w:val="18"/>
                <w:color w:val="auto"/>
              </w:rPr>
              <w:t>Notice of Defaults</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7040" w:type="dxa"/>
            <w:vAlign w:val="bottom"/>
          </w:tcPr>
          <w:p>
            <w:pPr>
              <w:ind w:left="40"/>
              <w:spacing w:after="0"/>
              <w:rPr>
                <w:sz w:val="20"/>
                <w:szCs w:val="20"/>
                <w:color w:val="auto"/>
              </w:rPr>
            </w:pPr>
            <w:r>
              <w:rPr>
                <w:rFonts w:ascii="Arial" w:cs="Arial" w:eastAsia="Arial" w:hAnsi="Arial"/>
                <w:sz w:val="18"/>
                <w:szCs w:val="18"/>
                <w:color w:val="auto"/>
              </w:rPr>
              <w:t>Reports by Trustee to 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7040" w:type="dxa"/>
            <w:vAlign w:val="bottom"/>
          </w:tcPr>
          <w:p>
            <w:pPr>
              <w:ind w:left="40"/>
              <w:spacing w:after="0"/>
              <w:rPr>
                <w:sz w:val="20"/>
                <w:szCs w:val="20"/>
                <w:color w:val="auto"/>
              </w:rPr>
            </w:pPr>
            <w:r>
              <w:rPr>
                <w:rFonts w:ascii="Arial" w:cs="Arial" w:eastAsia="Arial" w:hAnsi="Arial"/>
                <w:sz w:val="18"/>
                <w:szCs w:val="18"/>
                <w:color w:val="auto"/>
              </w:rPr>
              <w:t>Compensation and Indemnity</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7040" w:type="dxa"/>
            <w:vAlign w:val="bottom"/>
          </w:tcPr>
          <w:p>
            <w:pPr>
              <w:ind w:left="40"/>
              <w:spacing w:after="0"/>
              <w:rPr>
                <w:sz w:val="20"/>
                <w:szCs w:val="20"/>
                <w:color w:val="auto"/>
              </w:rPr>
            </w:pPr>
            <w:r>
              <w:rPr>
                <w:rFonts w:ascii="Arial" w:cs="Arial" w:eastAsia="Arial" w:hAnsi="Arial"/>
                <w:sz w:val="18"/>
                <w:szCs w:val="18"/>
                <w:color w:val="auto"/>
              </w:rPr>
              <w:t>Replacement of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7040" w:type="dxa"/>
            <w:vAlign w:val="bottom"/>
          </w:tcPr>
          <w:p>
            <w:pPr>
              <w:ind w:left="40"/>
              <w:spacing w:after="0"/>
              <w:rPr>
                <w:sz w:val="20"/>
                <w:szCs w:val="20"/>
                <w:color w:val="auto"/>
              </w:rPr>
            </w:pPr>
            <w:r>
              <w:rPr>
                <w:rFonts w:ascii="Arial" w:cs="Arial" w:eastAsia="Arial" w:hAnsi="Arial"/>
                <w:sz w:val="18"/>
                <w:szCs w:val="18"/>
                <w:color w:val="auto"/>
              </w:rPr>
              <w:t>Successor Trustee by Merger, Etc.</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040" w:type="dxa"/>
            <w:vAlign w:val="bottom"/>
          </w:tcPr>
          <w:p>
            <w:pPr>
              <w:ind w:left="40"/>
              <w:spacing w:after="0"/>
              <w:rPr>
                <w:sz w:val="20"/>
                <w:szCs w:val="20"/>
                <w:color w:val="auto"/>
              </w:rPr>
            </w:pPr>
            <w:r>
              <w:rPr>
                <w:rFonts w:ascii="Arial" w:cs="Arial" w:eastAsia="Arial" w:hAnsi="Arial"/>
                <w:sz w:val="18"/>
                <w:szCs w:val="18"/>
                <w:color w:val="auto"/>
              </w:rPr>
              <w:t>Eligibility; Disqualification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040" w:type="dxa"/>
            <w:vAlign w:val="bottom"/>
          </w:tcPr>
          <w:p>
            <w:pPr>
              <w:ind w:left="40"/>
              <w:spacing w:after="0"/>
              <w:rPr>
                <w:sz w:val="20"/>
                <w:szCs w:val="20"/>
                <w:color w:val="auto"/>
              </w:rPr>
            </w:pPr>
            <w:r>
              <w:rPr>
                <w:rFonts w:ascii="Arial" w:cs="Arial" w:eastAsia="Arial" w:hAnsi="Arial"/>
                <w:sz w:val="18"/>
                <w:szCs w:val="18"/>
                <w:color w:val="auto"/>
              </w:rPr>
              <w:t>Preferential Collection of Claims Against Company</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040" w:type="dxa"/>
            <w:vAlign w:val="bottom"/>
          </w:tcPr>
          <w:p>
            <w:pPr>
              <w:ind w:left="40"/>
              <w:spacing w:after="0"/>
              <w:rPr>
                <w:sz w:val="20"/>
                <w:szCs w:val="20"/>
                <w:color w:val="auto"/>
              </w:rPr>
            </w:pPr>
            <w:r>
              <w:rPr>
                <w:rFonts w:ascii="Arial" w:cs="Arial" w:eastAsia="Arial" w:hAnsi="Arial"/>
                <w:sz w:val="18"/>
                <w:szCs w:val="18"/>
                <w:color w:val="auto"/>
              </w:rPr>
              <w:t>Satisfaction and Discharge of Indenture</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040" w:type="dxa"/>
            <w:vAlign w:val="bottom"/>
          </w:tcPr>
          <w:p>
            <w:pPr>
              <w:ind w:left="40"/>
              <w:spacing w:after="0"/>
              <w:rPr>
                <w:sz w:val="20"/>
                <w:szCs w:val="20"/>
                <w:color w:val="auto"/>
              </w:rPr>
            </w:pPr>
            <w:r>
              <w:rPr>
                <w:rFonts w:ascii="Arial" w:cs="Arial" w:eastAsia="Arial" w:hAnsi="Arial"/>
                <w:sz w:val="18"/>
                <w:szCs w:val="18"/>
                <w:color w:val="auto"/>
              </w:rPr>
              <w:t>Application of Trust Funds; 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7040" w:type="dxa"/>
            <w:vAlign w:val="bottom"/>
          </w:tcPr>
          <w:p>
            <w:pPr>
              <w:ind w:left="40"/>
              <w:spacing w:after="0"/>
              <w:rPr>
                <w:sz w:val="20"/>
                <w:szCs w:val="20"/>
                <w:color w:val="auto"/>
              </w:rPr>
            </w:pPr>
            <w:r>
              <w:rPr>
                <w:rFonts w:ascii="Arial" w:cs="Arial" w:eastAsia="Arial" w:hAnsi="Arial"/>
                <w:sz w:val="18"/>
                <w:szCs w:val="18"/>
                <w:color w:val="auto"/>
              </w:rPr>
              <w:t>Legal Defeasance of Securities of any Series</w:t>
            </w:r>
          </w:p>
        </w:tc>
        <w:tc>
          <w:tcPr>
            <w:tcW w:w="2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7040" w:type="dxa"/>
            <w:vAlign w:val="bottom"/>
          </w:tcPr>
          <w:p>
            <w:pPr>
              <w:ind w:left="40"/>
              <w:spacing w:after="0"/>
              <w:rPr>
                <w:sz w:val="20"/>
                <w:szCs w:val="20"/>
                <w:color w:val="auto"/>
              </w:rPr>
            </w:pPr>
            <w:r>
              <w:rPr>
                <w:rFonts w:ascii="Arial" w:cs="Arial" w:eastAsia="Arial" w:hAnsi="Arial"/>
                <w:sz w:val="18"/>
                <w:szCs w:val="18"/>
                <w:color w:val="auto"/>
              </w:rPr>
              <w:t>Covenant Defeasance</w:t>
            </w:r>
          </w:p>
        </w:tc>
        <w:tc>
          <w:tcPr>
            <w:tcW w:w="2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7040" w:type="dxa"/>
            <w:vAlign w:val="bottom"/>
          </w:tcPr>
          <w:p>
            <w:pPr>
              <w:ind w:left="40"/>
              <w:spacing w:after="0"/>
              <w:rPr>
                <w:sz w:val="20"/>
                <w:szCs w:val="20"/>
                <w:color w:val="auto"/>
              </w:rPr>
            </w:pPr>
            <w:r>
              <w:rPr>
                <w:rFonts w:ascii="Arial" w:cs="Arial" w:eastAsia="Arial" w:hAnsi="Arial"/>
                <w:sz w:val="18"/>
                <w:szCs w:val="18"/>
                <w:color w:val="auto"/>
              </w:rPr>
              <w:t>Repayment to Company</w:t>
            </w:r>
          </w:p>
        </w:tc>
        <w:tc>
          <w:tcPr>
            <w:tcW w:w="2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7040" w:type="dxa"/>
            <w:vAlign w:val="bottom"/>
          </w:tcPr>
          <w:p>
            <w:pPr>
              <w:ind w:left="40"/>
              <w:spacing w:after="0"/>
              <w:rPr>
                <w:sz w:val="20"/>
                <w:szCs w:val="20"/>
                <w:color w:val="auto"/>
              </w:rPr>
            </w:pPr>
            <w:r>
              <w:rPr>
                <w:rFonts w:ascii="Arial" w:cs="Arial" w:eastAsia="Arial" w:hAnsi="Arial"/>
                <w:sz w:val="18"/>
                <w:szCs w:val="18"/>
                <w:color w:val="auto"/>
              </w:rPr>
              <w:t>Reinstatement</w:t>
            </w:r>
          </w:p>
        </w:tc>
        <w:tc>
          <w:tcPr>
            <w:tcW w:w="2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7040" w:type="dxa"/>
            <w:vAlign w:val="bottom"/>
          </w:tcPr>
          <w:p>
            <w:pPr>
              <w:ind w:left="40"/>
              <w:spacing w:after="0"/>
              <w:rPr>
                <w:sz w:val="20"/>
                <w:szCs w:val="20"/>
                <w:color w:val="auto"/>
              </w:rPr>
            </w:pPr>
            <w:r>
              <w:rPr>
                <w:rFonts w:ascii="Arial" w:cs="Arial" w:eastAsia="Arial" w:hAnsi="Arial"/>
                <w:sz w:val="18"/>
                <w:szCs w:val="18"/>
                <w:color w:val="auto"/>
              </w:rPr>
              <w:t>Without Consent of 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7040" w:type="dxa"/>
            <w:vAlign w:val="bottom"/>
          </w:tcPr>
          <w:p>
            <w:pPr>
              <w:ind w:left="40"/>
              <w:spacing w:after="0"/>
              <w:rPr>
                <w:sz w:val="20"/>
                <w:szCs w:val="20"/>
                <w:color w:val="auto"/>
              </w:rPr>
            </w:pPr>
            <w:r>
              <w:rPr>
                <w:rFonts w:ascii="Arial" w:cs="Arial" w:eastAsia="Arial" w:hAnsi="Arial"/>
                <w:sz w:val="18"/>
                <w:szCs w:val="18"/>
                <w:color w:val="auto"/>
              </w:rPr>
              <w:t>With Consent of 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7040" w:type="dxa"/>
            <w:vAlign w:val="bottom"/>
          </w:tcPr>
          <w:p>
            <w:pPr>
              <w:ind w:left="40"/>
              <w:spacing w:after="0"/>
              <w:rPr>
                <w:sz w:val="20"/>
                <w:szCs w:val="20"/>
                <w:color w:val="auto"/>
              </w:rPr>
            </w:pPr>
            <w:r>
              <w:rPr>
                <w:rFonts w:ascii="Arial" w:cs="Arial" w:eastAsia="Arial" w:hAnsi="Arial"/>
                <w:sz w:val="18"/>
                <w:szCs w:val="18"/>
                <w:color w:val="auto"/>
              </w:rPr>
              <w:t>Limitations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7040" w:type="dxa"/>
            <w:vAlign w:val="bottom"/>
          </w:tcPr>
          <w:p>
            <w:pPr>
              <w:ind w:left="40"/>
              <w:spacing w:after="0"/>
              <w:rPr>
                <w:sz w:val="20"/>
                <w:szCs w:val="20"/>
                <w:color w:val="auto"/>
              </w:rPr>
            </w:pPr>
            <w:r>
              <w:rPr>
                <w:rFonts w:ascii="Arial" w:cs="Arial" w:eastAsia="Arial" w:hAnsi="Arial"/>
                <w:sz w:val="18"/>
                <w:szCs w:val="18"/>
                <w:color w:val="auto"/>
              </w:rPr>
              <w:t>Compliance with Trust Indenture Act</w:t>
            </w:r>
          </w:p>
        </w:tc>
        <w:tc>
          <w:tcPr>
            <w:tcW w:w="2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7040" w:type="dxa"/>
            <w:vAlign w:val="bottom"/>
          </w:tcPr>
          <w:p>
            <w:pPr>
              <w:ind w:left="40"/>
              <w:spacing w:after="0"/>
              <w:rPr>
                <w:sz w:val="20"/>
                <w:szCs w:val="20"/>
                <w:color w:val="auto"/>
              </w:rPr>
            </w:pPr>
            <w:r>
              <w:rPr>
                <w:rFonts w:ascii="Arial" w:cs="Arial" w:eastAsia="Arial" w:hAnsi="Arial"/>
                <w:sz w:val="18"/>
                <w:szCs w:val="18"/>
                <w:color w:val="auto"/>
              </w:rPr>
              <w:t>Revocation and Effect of Consents</w:t>
            </w:r>
          </w:p>
        </w:tc>
        <w:tc>
          <w:tcPr>
            <w:tcW w:w="2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7040" w:type="dxa"/>
            <w:vAlign w:val="bottom"/>
          </w:tcPr>
          <w:p>
            <w:pPr>
              <w:ind w:left="40"/>
              <w:spacing w:after="0"/>
              <w:rPr>
                <w:sz w:val="20"/>
                <w:szCs w:val="20"/>
                <w:color w:val="auto"/>
              </w:rPr>
            </w:pPr>
            <w:r>
              <w:rPr>
                <w:rFonts w:ascii="Arial" w:cs="Arial" w:eastAsia="Arial" w:hAnsi="Arial"/>
                <w:sz w:val="18"/>
                <w:szCs w:val="18"/>
                <w:color w:val="auto"/>
              </w:rPr>
              <w:t>Notation on or Exchange of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7040" w:type="dxa"/>
            <w:vAlign w:val="bottom"/>
          </w:tcPr>
          <w:p>
            <w:pPr>
              <w:ind w:left="40"/>
              <w:spacing w:after="0"/>
              <w:rPr>
                <w:sz w:val="20"/>
                <w:szCs w:val="20"/>
                <w:color w:val="auto"/>
              </w:rPr>
            </w:pPr>
            <w:r>
              <w:rPr>
                <w:rFonts w:ascii="Arial" w:cs="Arial" w:eastAsia="Arial" w:hAnsi="Arial"/>
                <w:sz w:val="18"/>
                <w:szCs w:val="18"/>
                <w:color w:val="auto"/>
              </w:rPr>
              <w:t>Trustee Protected</w:t>
            </w:r>
          </w:p>
        </w:tc>
        <w:tc>
          <w:tcPr>
            <w:tcW w:w="2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040" w:type="dxa"/>
            <w:vAlign w:val="bottom"/>
          </w:tcPr>
          <w:p>
            <w:pPr>
              <w:ind w:left="40"/>
              <w:spacing w:after="0"/>
              <w:rPr>
                <w:sz w:val="20"/>
                <w:szCs w:val="20"/>
                <w:color w:val="auto"/>
              </w:rPr>
            </w:pPr>
            <w:r>
              <w:rPr>
                <w:rFonts w:ascii="Arial" w:cs="Arial" w:eastAsia="Arial" w:hAnsi="Arial"/>
                <w:sz w:val="18"/>
                <w:szCs w:val="18"/>
                <w:color w:val="auto"/>
              </w:rPr>
              <w:t>Trust Indenture Act Controls</w:t>
            </w:r>
          </w:p>
        </w:tc>
        <w:tc>
          <w:tcPr>
            <w:tcW w:w="2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040" w:type="dxa"/>
            <w:vAlign w:val="bottom"/>
          </w:tcPr>
          <w:p>
            <w:pPr>
              <w:ind w:left="40"/>
              <w:spacing w:after="0"/>
              <w:rPr>
                <w:sz w:val="20"/>
                <w:szCs w:val="20"/>
                <w:color w:val="auto"/>
              </w:rPr>
            </w:pPr>
            <w:r>
              <w:rPr>
                <w:rFonts w:ascii="Arial" w:cs="Arial" w:eastAsia="Arial" w:hAnsi="Arial"/>
                <w:sz w:val="18"/>
                <w:szCs w:val="18"/>
                <w:color w:val="auto"/>
              </w:rPr>
              <w:t>Notices</w:t>
            </w:r>
          </w:p>
        </w:tc>
        <w:tc>
          <w:tcPr>
            <w:tcW w:w="2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040" w:type="dxa"/>
            <w:vAlign w:val="bottom"/>
          </w:tcPr>
          <w:p>
            <w:pPr>
              <w:ind w:left="40"/>
              <w:spacing w:after="0"/>
              <w:rPr>
                <w:sz w:val="20"/>
                <w:szCs w:val="20"/>
                <w:color w:val="auto"/>
              </w:rPr>
            </w:pPr>
            <w:r>
              <w:rPr>
                <w:rFonts w:ascii="Arial" w:cs="Arial" w:eastAsia="Arial" w:hAnsi="Arial"/>
                <w:sz w:val="18"/>
                <w:szCs w:val="18"/>
                <w:color w:val="auto"/>
              </w:rPr>
              <w:t>Communication by Holders with Other 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040" w:type="dxa"/>
            <w:vAlign w:val="bottom"/>
          </w:tcPr>
          <w:p>
            <w:pPr>
              <w:ind w:left="40"/>
              <w:spacing w:after="0"/>
              <w:rPr>
                <w:sz w:val="20"/>
                <w:szCs w:val="20"/>
                <w:color w:val="auto"/>
              </w:rPr>
            </w:pPr>
            <w:r>
              <w:rPr>
                <w:rFonts w:ascii="Arial" w:cs="Arial" w:eastAsia="Arial" w:hAnsi="Arial"/>
                <w:sz w:val="18"/>
                <w:szCs w:val="18"/>
                <w:color w:val="auto"/>
              </w:rPr>
              <w:t>Certificate and Opinion as to Conditions Precedent</w:t>
            </w:r>
          </w:p>
        </w:tc>
        <w:tc>
          <w:tcPr>
            <w:tcW w:w="2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040" w:type="dxa"/>
            <w:vAlign w:val="bottom"/>
          </w:tcPr>
          <w:p>
            <w:pPr>
              <w:ind w:left="40"/>
              <w:spacing w:after="0"/>
              <w:rPr>
                <w:sz w:val="20"/>
                <w:szCs w:val="20"/>
                <w:color w:val="auto"/>
              </w:rPr>
            </w:pPr>
            <w:r>
              <w:rPr>
                <w:rFonts w:ascii="Arial" w:cs="Arial" w:eastAsia="Arial" w:hAnsi="Arial"/>
                <w:sz w:val="18"/>
                <w:szCs w:val="18"/>
                <w:color w:val="auto"/>
              </w:rPr>
              <w:t>Statements Required in Certificate or Opinion</w:t>
            </w:r>
          </w:p>
        </w:tc>
        <w:tc>
          <w:tcPr>
            <w:tcW w:w="2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7040" w:type="dxa"/>
            <w:vAlign w:val="bottom"/>
          </w:tcPr>
          <w:p>
            <w:pPr>
              <w:ind w:left="40"/>
              <w:spacing w:after="0"/>
              <w:rPr>
                <w:sz w:val="20"/>
                <w:szCs w:val="20"/>
                <w:color w:val="auto"/>
              </w:rPr>
            </w:pPr>
            <w:r>
              <w:rPr>
                <w:rFonts w:ascii="Arial" w:cs="Arial" w:eastAsia="Arial" w:hAnsi="Arial"/>
                <w:sz w:val="18"/>
                <w:szCs w:val="18"/>
                <w:color w:val="auto"/>
              </w:rPr>
              <w:t>Rules by Trustee and Agents</w:t>
            </w: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7040" w:type="dxa"/>
            <w:vAlign w:val="bottom"/>
          </w:tcPr>
          <w:p>
            <w:pPr>
              <w:ind w:left="40"/>
              <w:spacing w:after="0"/>
              <w:rPr>
                <w:sz w:val="20"/>
                <w:szCs w:val="20"/>
                <w:color w:val="auto"/>
              </w:rPr>
            </w:pPr>
            <w:r>
              <w:rPr>
                <w:rFonts w:ascii="Arial" w:cs="Arial" w:eastAsia="Arial" w:hAnsi="Arial"/>
                <w:sz w:val="18"/>
                <w:szCs w:val="18"/>
                <w:color w:val="auto"/>
              </w:rPr>
              <w:t>Legal Holidays</w:t>
            </w: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7040" w:type="dxa"/>
            <w:vAlign w:val="bottom"/>
          </w:tcPr>
          <w:p>
            <w:pPr>
              <w:ind w:left="40"/>
              <w:spacing w:after="0"/>
              <w:rPr>
                <w:sz w:val="20"/>
                <w:szCs w:val="20"/>
                <w:color w:val="auto"/>
              </w:rPr>
            </w:pPr>
            <w:r>
              <w:rPr>
                <w:rFonts w:ascii="Arial" w:cs="Arial" w:eastAsia="Arial" w:hAnsi="Arial"/>
                <w:sz w:val="18"/>
                <w:szCs w:val="18"/>
                <w:color w:val="auto"/>
              </w:rPr>
              <w:t>No Recourse Against Others</w:t>
            </w: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70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10.10</w:t>
            </w:r>
          </w:p>
        </w:tc>
        <w:tc>
          <w:tcPr>
            <w:tcW w:w="7040" w:type="dxa"/>
            <w:vAlign w:val="bottom"/>
          </w:tcPr>
          <w:p>
            <w:pPr>
              <w:ind w:left="40"/>
              <w:spacing w:after="0"/>
              <w:rPr>
                <w:sz w:val="20"/>
                <w:szCs w:val="20"/>
                <w:color w:val="auto"/>
              </w:rPr>
            </w:pPr>
            <w:r>
              <w:rPr>
                <w:rFonts w:ascii="Arial" w:cs="Arial" w:eastAsia="Arial" w:hAnsi="Arial"/>
                <w:sz w:val="18"/>
                <w:szCs w:val="18"/>
                <w:color w:val="auto"/>
              </w:rPr>
              <w:t>Governing Law; Waiver of Jury Trial; Consent to Jurisdiction</w:t>
            </w: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7" w:name="page38"/>
    <w:bookmarkEnd w:id="37"/>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10.11</w:t>
            </w:r>
          </w:p>
        </w:tc>
        <w:tc>
          <w:tcPr>
            <w:tcW w:w="6680" w:type="dxa"/>
            <w:vAlign w:val="bottom"/>
          </w:tcPr>
          <w:p>
            <w:pPr>
              <w:ind w:left="80"/>
              <w:spacing w:after="0"/>
              <w:rPr>
                <w:sz w:val="20"/>
                <w:szCs w:val="20"/>
                <w:color w:val="auto"/>
              </w:rPr>
            </w:pPr>
            <w:r>
              <w:rPr>
                <w:rFonts w:ascii="Arial" w:cs="Arial" w:eastAsia="Arial" w:hAnsi="Arial"/>
                <w:sz w:val="18"/>
                <w:szCs w:val="18"/>
                <w:color w:val="auto"/>
              </w:rPr>
              <w:t>No Adverse Interpretation of Other Agreements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10.12</w:t>
            </w:r>
          </w:p>
        </w:tc>
        <w:tc>
          <w:tcPr>
            <w:tcW w:w="668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10.13</w:t>
            </w:r>
          </w:p>
        </w:tc>
        <w:tc>
          <w:tcPr>
            <w:tcW w:w="668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10.14</w:t>
            </w:r>
          </w:p>
        </w:tc>
        <w:tc>
          <w:tcPr>
            <w:tcW w:w="6680" w:type="dxa"/>
            <w:vAlign w:val="bottom"/>
          </w:tcPr>
          <w:p>
            <w:pPr>
              <w:ind w:left="80"/>
              <w:spacing w:after="0"/>
              <w:rPr>
                <w:sz w:val="20"/>
                <w:szCs w:val="20"/>
                <w:color w:val="auto"/>
              </w:rPr>
            </w:pPr>
            <w:r>
              <w:rPr>
                <w:rFonts w:ascii="Arial" w:cs="Arial" w:eastAsia="Arial" w:hAnsi="Arial"/>
                <w:sz w:val="18"/>
                <w:szCs w:val="18"/>
                <w:color w:val="auto"/>
              </w:rPr>
              <w:t>Table of Contents, Headings, Etc.</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10.15</w:t>
            </w:r>
          </w:p>
        </w:tc>
        <w:tc>
          <w:tcPr>
            <w:tcW w:w="6680" w:type="dxa"/>
            <w:vAlign w:val="bottom"/>
          </w:tcPr>
          <w:p>
            <w:pPr>
              <w:ind w:left="80"/>
              <w:spacing w:after="0"/>
              <w:rPr>
                <w:sz w:val="20"/>
                <w:szCs w:val="20"/>
                <w:color w:val="auto"/>
              </w:rPr>
            </w:pPr>
            <w:r>
              <w:rPr>
                <w:rFonts w:ascii="Arial" w:cs="Arial" w:eastAsia="Arial" w:hAnsi="Arial"/>
                <w:sz w:val="18"/>
                <w:szCs w:val="18"/>
                <w:color w:val="auto"/>
              </w:rPr>
              <w:t>Securities in a Foreign Currency</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10.16</w:t>
            </w:r>
          </w:p>
        </w:tc>
        <w:tc>
          <w:tcPr>
            <w:tcW w:w="6680" w:type="dxa"/>
            <w:vAlign w:val="bottom"/>
          </w:tcPr>
          <w:p>
            <w:pPr>
              <w:ind w:left="80"/>
              <w:spacing w:after="0"/>
              <w:rPr>
                <w:sz w:val="20"/>
                <w:szCs w:val="20"/>
                <w:color w:val="auto"/>
              </w:rPr>
            </w:pPr>
            <w:r>
              <w:rPr>
                <w:rFonts w:ascii="Arial" w:cs="Arial" w:eastAsia="Arial" w:hAnsi="Arial"/>
                <w:sz w:val="18"/>
                <w:szCs w:val="18"/>
                <w:color w:val="auto"/>
              </w:rPr>
              <w:t>Judgment Currency</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10.17</w:t>
            </w:r>
          </w:p>
        </w:tc>
        <w:tc>
          <w:tcPr>
            <w:tcW w:w="6680" w:type="dxa"/>
            <w:vAlign w:val="bottom"/>
          </w:tcPr>
          <w:p>
            <w:pPr>
              <w:ind w:left="80"/>
              <w:spacing w:after="0"/>
              <w:rPr>
                <w:sz w:val="20"/>
                <w:szCs w:val="20"/>
                <w:color w:val="auto"/>
              </w:rPr>
            </w:pPr>
            <w:r>
              <w:rPr>
                <w:rFonts w:ascii="Arial" w:cs="Arial" w:eastAsia="Arial" w:hAnsi="Arial"/>
                <w:sz w:val="18"/>
                <w:szCs w:val="18"/>
                <w:color w:val="auto"/>
              </w:rPr>
              <w:t>Force Majeure</w:t>
            </w:r>
          </w:p>
        </w:tc>
        <w:tc>
          <w:tcPr>
            <w:tcW w:w="2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10.18</w:t>
            </w:r>
          </w:p>
        </w:tc>
        <w:tc>
          <w:tcPr>
            <w:tcW w:w="6680" w:type="dxa"/>
            <w:vAlign w:val="bottom"/>
          </w:tcPr>
          <w:p>
            <w:pPr>
              <w:ind w:left="80"/>
              <w:spacing w:after="0"/>
              <w:rPr>
                <w:sz w:val="20"/>
                <w:szCs w:val="20"/>
                <w:color w:val="auto"/>
              </w:rPr>
            </w:pPr>
            <w:r>
              <w:rPr>
                <w:rFonts w:ascii="Arial" w:cs="Arial" w:eastAsia="Arial" w:hAnsi="Arial"/>
                <w:sz w:val="18"/>
                <w:szCs w:val="18"/>
                <w:color w:val="auto"/>
              </w:rPr>
              <w:t>U.S.A. Patriot Act</w:t>
            </w:r>
          </w:p>
        </w:tc>
        <w:tc>
          <w:tcPr>
            <w:tcW w:w="2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12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2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6680" w:type="dxa"/>
            <w:vAlign w:val="bottom"/>
          </w:tcPr>
          <w:p>
            <w:pPr>
              <w:ind w:left="80"/>
              <w:spacing w:after="0"/>
              <w:rPr>
                <w:sz w:val="20"/>
                <w:szCs w:val="20"/>
                <w:color w:val="auto"/>
              </w:rPr>
            </w:pPr>
            <w:r>
              <w:rPr>
                <w:rFonts w:ascii="Arial" w:cs="Arial" w:eastAsia="Arial" w:hAnsi="Arial"/>
                <w:sz w:val="18"/>
                <w:szCs w:val="18"/>
                <w:color w:val="auto"/>
              </w:rPr>
              <w:t>Applicability of Article</w:t>
            </w:r>
          </w:p>
        </w:tc>
        <w:tc>
          <w:tcPr>
            <w:tcW w:w="2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6680" w:type="dxa"/>
            <w:vAlign w:val="bottom"/>
          </w:tcPr>
          <w:p>
            <w:pPr>
              <w:ind w:left="80"/>
              <w:spacing w:after="0"/>
              <w:rPr>
                <w:sz w:val="20"/>
                <w:szCs w:val="20"/>
                <w:color w:val="auto"/>
              </w:rPr>
            </w:pPr>
            <w:r>
              <w:rPr>
                <w:rFonts w:ascii="Arial" w:cs="Arial" w:eastAsia="Arial" w:hAnsi="Arial"/>
                <w:sz w:val="18"/>
                <w:szCs w:val="18"/>
                <w:color w:val="auto"/>
              </w:rPr>
              <w:t>Satisfaction of Sinking Fund Payments with Securities</w:t>
            </w:r>
          </w:p>
        </w:tc>
        <w:tc>
          <w:tcPr>
            <w:tcW w:w="2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6680" w:type="dxa"/>
            <w:vAlign w:val="bottom"/>
          </w:tcPr>
          <w:p>
            <w:pPr>
              <w:ind w:left="80"/>
              <w:spacing w:after="0"/>
              <w:rPr>
                <w:sz w:val="20"/>
                <w:szCs w:val="20"/>
                <w:color w:val="auto"/>
              </w:rPr>
            </w:pPr>
            <w:r>
              <w:rPr>
                <w:rFonts w:ascii="Arial" w:cs="Arial" w:eastAsia="Arial" w:hAnsi="Arial"/>
                <w:sz w:val="18"/>
                <w:szCs w:val="18"/>
                <w:color w:val="auto"/>
              </w:rPr>
              <w:t>Redemption of Securities for Sinking Fund</w:t>
            </w:r>
          </w:p>
        </w:tc>
        <w:tc>
          <w:tcPr>
            <w:tcW w:w="2840" w:type="dxa"/>
            <w:vAlign w:val="bottom"/>
          </w:tcPr>
          <w:p>
            <w:pPr>
              <w:jc w:val="right"/>
              <w:spacing w:after="0"/>
              <w:rPr>
                <w:sz w:val="20"/>
                <w:szCs w:val="20"/>
                <w:color w:val="auto"/>
              </w:rPr>
            </w:pPr>
            <w:r>
              <w:rPr>
                <w:rFonts w:ascii="Arial" w:cs="Arial" w:eastAsia="Arial" w:hAnsi="Arial"/>
                <w:sz w:val="18"/>
                <w:szCs w:val="18"/>
                <w:color w:val="auto"/>
              </w:rPr>
              <w:t>35</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tbl>
      <w:tblPr>
        <w:tblLayout w:type="fixed"/>
        <w:tblInd w:w="0" w:type="dxa"/>
        <w:tblCellMar>
          <w:top w:w="0" w:type="dxa"/>
          <w:left w:w="0" w:type="dxa"/>
          <w:bottom w:w="0" w:type="dxa"/>
          <w:right w:w="0" w:type="dxa"/>
        </w:tblCellMar>
      </w:tblPr>
      <w:tr>
        <w:trPr>
          <w:trHeight w:val="234"/>
        </w:trPr>
        <w:tc>
          <w:tcPr>
            <w:tcW w:w="6300" w:type="dxa"/>
            <w:vAlign w:val="bottom"/>
          </w:tcPr>
          <w:p>
            <w:pPr>
              <w:jc w:val="right"/>
              <w:ind w:right="30"/>
              <w:spacing w:after="0"/>
              <w:rPr>
                <w:sz w:val="20"/>
                <w:szCs w:val="20"/>
                <w:color w:val="auto"/>
              </w:rPr>
            </w:pPr>
            <w:r>
              <w:rPr>
                <w:rFonts w:ascii="Arial" w:cs="Arial" w:eastAsia="Arial" w:hAnsi="Arial"/>
                <w:sz w:val="18"/>
                <w:szCs w:val="18"/>
                <w:b w:val="1"/>
                <w:bCs w:val="1"/>
                <w:color w:val="auto"/>
              </w:rPr>
              <w:t>ALECTOR, INC.</w:t>
            </w:r>
          </w:p>
        </w:tc>
        <w:tc>
          <w:tcPr>
            <w:tcW w:w="2080" w:type="dxa"/>
            <w:vAlign w:val="bottom"/>
          </w:tcPr>
          <w:p>
            <w:pPr>
              <w:spacing w:after="0"/>
              <w:rPr>
                <w:sz w:val="20"/>
                <w:szCs w:val="20"/>
                <w:color w:val="auto"/>
              </w:rPr>
            </w:pPr>
          </w:p>
        </w:tc>
      </w:tr>
      <w:tr>
        <w:trPr>
          <w:trHeight w:val="432"/>
        </w:trPr>
        <w:tc>
          <w:tcPr>
            <w:tcW w:w="6300" w:type="dxa"/>
            <w:vAlign w:val="bottom"/>
          </w:tcPr>
          <w:p>
            <w:pPr>
              <w:jc w:val="right"/>
              <w:ind w:right="30"/>
              <w:spacing w:after="0"/>
              <w:rPr>
                <w:sz w:val="20"/>
                <w:szCs w:val="20"/>
                <w:color w:val="auto"/>
              </w:rPr>
            </w:pPr>
            <w:r>
              <w:rPr>
                <w:rFonts w:ascii="Arial" w:cs="Arial" w:eastAsia="Arial" w:hAnsi="Arial"/>
                <w:sz w:val="18"/>
                <w:szCs w:val="18"/>
                <w:color w:val="auto"/>
                <w:w w:val="90"/>
              </w:rPr>
              <w:t>Reconciliation and tie between Trust Indenture Act of 1939 and Indenture, dated as of</w:t>
            </w:r>
          </w:p>
        </w:tc>
        <w:tc>
          <w:tcPr>
            <w:tcW w:w="2080" w:type="dxa"/>
            <w:vAlign w:val="bottom"/>
          </w:tcPr>
          <w:p>
            <w:pPr>
              <w:ind w:left="120"/>
              <w:spacing w:after="0"/>
              <w:rPr>
                <w:sz w:val="20"/>
                <w:szCs w:val="20"/>
                <w:color w:val="auto"/>
              </w:rPr>
            </w:pPr>
            <w:r>
              <w:rPr>
                <w:rFonts w:ascii="Arial" w:cs="Arial" w:eastAsia="Arial" w:hAnsi="Arial"/>
                <w:sz w:val="18"/>
                <w:szCs w:val="18"/>
                <w:color w:val="auto"/>
              </w:rPr>
              <w:t>, 202</w:t>
            </w:r>
          </w:p>
        </w:tc>
      </w:tr>
      <w:tr>
        <w:trPr>
          <w:trHeight w:val="445"/>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 310(a)(1)</w:t>
            </w:r>
          </w:p>
        </w:tc>
        <w:tc>
          <w:tcPr>
            <w:tcW w:w="2080" w:type="dxa"/>
            <w:vAlign w:val="bottom"/>
          </w:tcPr>
          <w:p>
            <w:pPr>
              <w:ind w:left="980"/>
              <w:spacing w:after="0"/>
              <w:rPr>
                <w:sz w:val="20"/>
                <w:szCs w:val="20"/>
                <w:color w:val="auto"/>
              </w:rPr>
            </w:pPr>
            <w:r>
              <w:rPr>
                <w:rFonts w:ascii="Arial" w:cs="Arial" w:eastAsia="Arial" w:hAnsi="Arial"/>
                <w:sz w:val="18"/>
                <w:szCs w:val="18"/>
                <w:color w:val="auto"/>
              </w:rPr>
              <w:t>7.10</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(a)(2)</w:t>
            </w:r>
          </w:p>
        </w:tc>
        <w:tc>
          <w:tcPr>
            <w:tcW w:w="2080" w:type="dxa"/>
            <w:vAlign w:val="bottom"/>
          </w:tcPr>
          <w:p>
            <w:pPr>
              <w:ind w:left="980"/>
              <w:spacing w:after="0"/>
              <w:rPr>
                <w:sz w:val="20"/>
                <w:szCs w:val="20"/>
                <w:color w:val="auto"/>
              </w:rPr>
            </w:pPr>
            <w:r>
              <w:rPr>
                <w:rFonts w:ascii="Arial" w:cs="Arial" w:eastAsia="Arial" w:hAnsi="Arial"/>
                <w:sz w:val="18"/>
                <w:szCs w:val="18"/>
                <w:color w:val="auto"/>
              </w:rPr>
              <w:t>7.10</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(a)(3)</w:t>
            </w:r>
          </w:p>
        </w:tc>
        <w:tc>
          <w:tcPr>
            <w:tcW w:w="2080" w:type="dxa"/>
            <w:vAlign w:val="bottom"/>
          </w:tcPr>
          <w:p>
            <w:pPr>
              <w:ind w:left="980"/>
              <w:spacing w:after="0"/>
              <w:rPr>
                <w:sz w:val="20"/>
                <w:szCs w:val="20"/>
                <w:color w:val="auto"/>
              </w:rPr>
            </w:pPr>
            <w:r>
              <w:rPr>
                <w:rFonts w:ascii="Arial" w:cs="Arial" w:eastAsia="Arial" w:hAnsi="Arial"/>
                <w:sz w:val="18"/>
                <w:szCs w:val="18"/>
                <w:color w:val="auto"/>
                <w:w w:val="93"/>
              </w:rPr>
              <w:t>Not Applicable</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(a)(4)</w:t>
            </w:r>
          </w:p>
        </w:tc>
        <w:tc>
          <w:tcPr>
            <w:tcW w:w="2080" w:type="dxa"/>
            <w:vAlign w:val="bottom"/>
          </w:tcPr>
          <w:p>
            <w:pPr>
              <w:ind w:left="980"/>
              <w:spacing w:after="0"/>
              <w:rPr>
                <w:sz w:val="20"/>
                <w:szCs w:val="20"/>
                <w:color w:val="auto"/>
              </w:rPr>
            </w:pPr>
            <w:r>
              <w:rPr>
                <w:rFonts w:ascii="Arial" w:cs="Arial" w:eastAsia="Arial" w:hAnsi="Arial"/>
                <w:sz w:val="18"/>
                <w:szCs w:val="18"/>
                <w:color w:val="auto"/>
                <w:w w:val="93"/>
              </w:rPr>
              <w:t>Not Applicable</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(a)(5)</w:t>
            </w:r>
          </w:p>
        </w:tc>
        <w:tc>
          <w:tcPr>
            <w:tcW w:w="2080" w:type="dxa"/>
            <w:vAlign w:val="bottom"/>
          </w:tcPr>
          <w:p>
            <w:pPr>
              <w:ind w:left="980"/>
              <w:spacing w:after="0"/>
              <w:rPr>
                <w:sz w:val="20"/>
                <w:szCs w:val="20"/>
                <w:color w:val="auto"/>
              </w:rPr>
            </w:pPr>
            <w:r>
              <w:rPr>
                <w:rFonts w:ascii="Arial" w:cs="Arial" w:eastAsia="Arial" w:hAnsi="Arial"/>
                <w:sz w:val="18"/>
                <w:szCs w:val="18"/>
                <w:color w:val="auto"/>
              </w:rPr>
              <w:t>7.10</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(b)</w:t>
            </w:r>
          </w:p>
        </w:tc>
        <w:tc>
          <w:tcPr>
            <w:tcW w:w="2080" w:type="dxa"/>
            <w:vAlign w:val="bottom"/>
          </w:tcPr>
          <w:p>
            <w:pPr>
              <w:ind w:left="980"/>
              <w:spacing w:after="0"/>
              <w:rPr>
                <w:sz w:val="20"/>
                <w:szCs w:val="20"/>
                <w:color w:val="auto"/>
              </w:rPr>
            </w:pPr>
            <w:r>
              <w:rPr>
                <w:rFonts w:ascii="Arial" w:cs="Arial" w:eastAsia="Arial" w:hAnsi="Arial"/>
                <w:sz w:val="18"/>
                <w:szCs w:val="18"/>
                <w:color w:val="auto"/>
              </w:rPr>
              <w:t>7.10</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 311(a)</w:t>
            </w:r>
          </w:p>
        </w:tc>
        <w:tc>
          <w:tcPr>
            <w:tcW w:w="2080" w:type="dxa"/>
            <w:vAlign w:val="bottom"/>
          </w:tcPr>
          <w:p>
            <w:pPr>
              <w:ind w:left="980"/>
              <w:spacing w:after="0"/>
              <w:rPr>
                <w:sz w:val="20"/>
                <w:szCs w:val="20"/>
                <w:color w:val="auto"/>
              </w:rPr>
            </w:pPr>
            <w:r>
              <w:rPr>
                <w:rFonts w:ascii="Arial" w:cs="Arial" w:eastAsia="Arial" w:hAnsi="Arial"/>
                <w:sz w:val="18"/>
                <w:szCs w:val="18"/>
                <w:color w:val="auto"/>
              </w:rPr>
              <w:t>7.11</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(b)</w:t>
            </w:r>
          </w:p>
        </w:tc>
        <w:tc>
          <w:tcPr>
            <w:tcW w:w="2080" w:type="dxa"/>
            <w:vAlign w:val="bottom"/>
          </w:tcPr>
          <w:p>
            <w:pPr>
              <w:ind w:left="980"/>
              <w:spacing w:after="0"/>
              <w:rPr>
                <w:sz w:val="20"/>
                <w:szCs w:val="20"/>
                <w:color w:val="auto"/>
              </w:rPr>
            </w:pPr>
            <w:r>
              <w:rPr>
                <w:rFonts w:ascii="Arial" w:cs="Arial" w:eastAsia="Arial" w:hAnsi="Arial"/>
                <w:sz w:val="18"/>
                <w:szCs w:val="18"/>
                <w:color w:val="auto"/>
              </w:rPr>
              <w:t>7.11</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(c)</w:t>
            </w:r>
          </w:p>
        </w:tc>
        <w:tc>
          <w:tcPr>
            <w:tcW w:w="2080" w:type="dxa"/>
            <w:vAlign w:val="bottom"/>
          </w:tcPr>
          <w:p>
            <w:pPr>
              <w:ind w:left="980"/>
              <w:spacing w:after="0"/>
              <w:rPr>
                <w:sz w:val="20"/>
                <w:szCs w:val="20"/>
                <w:color w:val="auto"/>
              </w:rPr>
            </w:pPr>
            <w:r>
              <w:rPr>
                <w:rFonts w:ascii="Arial" w:cs="Arial" w:eastAsia="Arial" w:hAnsi="Arial"/>
                <w:sz w:val="18"/>
                <w:szCs w:val="18"/>
                <w:color w:val="auto"/>
                <w:w w:val="93"/>
              </w:rPr>
              <w:t>Not Applicable</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 312(a)</w:t>
            </w:r>
          </w:p>
        </w:tc>
        <w:tc>
          <w:tcPr>
            <w:tcW w:w="2080" w:type="dxa"/>
            <w:vAlign w:val="bottom"/>
          </w:tcPr>
          <w:p>
            <w:pPr>
              <w:ind w:left="980"/>
              <w:spacing w:after="0"/>
              <w:rPr>
                <w:sz w:val="20"/>
                <w:szCs w:val="20"/>
                <w:color w:val="auto"/>
              </w:rPr>
            </w:pPr>
            <w:r>
              <w:rPr>
                <w:rFonts w:ascii="Arial" w:cs="Arial" w:eastAsia="Arial" w:hAnsi="Arial"/>
                <w:sz w:val="18"/>
                <w:szCs w:val="18"/>
                <w:color w:val="auto"/>
              </w:rPr>
              <w:t>2.6</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(b)</w:t>
            </w:r>
          </w:p>
        </w:tc>
        <w:tc>
          <w:tcPr>
            <w:tcW w:w="2080" w:type="dxa"/>
            <w:vAlign w:val="bottom"/>
          </w:tcPr>
          <w:p>
            <w:pPr>
              <w:ind w:left="980"/>
              <w:spacing w:after="0"/>
              <w:rPr>
                <w:sz w:val="20"/>
                <w:szCs w:val="20"/>
                <w:color w:val="auto"/>
              </w:rPr>
            </w:pPr>
            <w:r>
              <w:rPr>
                <w:rFonts w:ascii="Arial" w:cs="Arial" w:eastAsia="Arial" w:hAnsi="Arial"/>
                <w:sz w:val="18"/>
                <w:szCs w:val="18"/>
                <w:color w:val="auto"/>
              </w:rPr>
              <w:t>10.3</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(c)</w:t>
            </w:r>
          </w:p>
        </w:tc>
        <w:tc>
          <w:tcPr>
            <w:tcW w:w="2080" w:type="dxa"/>
            <w:vAlign w:val="bottom"/>
          </w:tcPr>
          <w:p>
            <w:pPr>
              <w:ind w:left="980"/>
              <w:spacing w:after="0"/>
              <w:rPr>
                <w:sz w:val="20"/>
                <w:szCs w:val="20"/>
                <w:color w:val="auto"/>
              </w:rPr>
            </w:pPr>
            <w:r>
              <w:rPr>
                <w:rFonts w:ascii="Arial" w:cs="Arial" w:eastAsia="Arial" w:hAnsi="Arial"/>
                <w:sz w:val="18"/>
                <w:szCs w:val="18"/>
                <w:color w:val="auto"/>
              </w:rPr>
              <w:t>10.3</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 313(a)</w:t>
            </w:r>
          </w:p>
        </w:tc>
        <w:tc>
          <w:tcPr>
            <w:tcW w:w="2080" w:type="dxa"/>
            <w:vAlign w:val="bottom"/>
          </w:tcPr>
          <w:p>
            <w:pPr>
              <w:ind w:left="980"/>
              <w:spacing w:after="0"/>
              <w:rPr>
                <w:sz w:val="20"/>
                <w:szCs w:val="20"/>
                <w:color w:val="auto"/>
              </w:rPr>
            </w:pPr>
            <w:r>
              <w:rPr>
                <w:rFonts w:ascii="Arial" w:cs="Arial" w:eastAsia="Arial" w:hAnsi="Arial"/>
                <w:sz w:val="18"/>
                <w:szCs w:val="18"/>
                <w:color w:val="auto"/>
              </w:rPr>
              <w:t>7.6</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(b)(1)</w:t>
            </w:r>
          </w:p>
        </w:tc>
        <w:tc>
          <w:tcPr>
            <w:tcW w:w="2080" w:type="dxa"/>
            <w:vAlign w:val="bottom"/>
          </w:tcPr>
          <w:p>
            <w:pPr>
              <w:ind w:left="980"/>
              <w:spacing w:after="0"/>
              <w:rPr>
                <w:sz w:val="20"/>
                <w:szCs w:val="20"/>
                <w:color w:val="auto"/>
              </w:rPr>
            </w:pPr>
            <w:r>
              <w:rPr>
                <w:rFonts w:ascii="Arial" w:cs="Arial" w:eastAsia="Arial" w:hAnsi="Arial"/>
                <w:sz w:val="18"/>
                <w:szCs w:val="18"/>
                <w:color w:val="auto"/>
              </w:rPr>
              <w:t>7.6</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(b)(2)</w:t>
            </w:r>
          </w:p>
        </w:tc>
        <w:tc>
          <w:tcPr>
            <w:tcW w:w="2080" w:type="dxa"/>
            <w:vAlign w:val="bottom"/>
          </w:tcPr>
          <w:p>
            <w:pPr>
              <w:ind w:left="980"/>
              <w:spacing w:after="0"/>
              <w:rPr>
                <w:sz w:val="20"/>
                <w:szCs w:val="20"/>
                <w:color w:val="auto"/>
              </w:rPr>
            </w:pPr>
            <w:r>
              <w:rPr>
                <w:rFonts w:ascii="Arial" w:cs="Arial" w:eastAsia="Arial" w:hAnsi="Arial"/>
                <w:sz w:val="18"/>
                <w:szCs w:val="18"/>
                <w:color w:val="auto"/>
              </w:rPr>
              <w:t>7.6</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(c)(1)</w:t>
            </w:r>
          </w:p>
        </w:tc>
        <w:tc>
          <w:tcPr>
            <w:tcW w:w="2080" w:type="dxa"/>
            <w:vAlign w:val="bottom"/>
          </w:tcPr>
          <w:p>
            <w:pPr>
              <w:ind w:left="980"/>
              <w:spacing w:after="0"/>
              <w:rPr>
                <w:sz w:val="20"/>
                <w:szCs w:val="20"/>
                <w:color w:val="auto"/>
              </w:rPr>
            </w:pPr>
            <w:r>
              <w:rPr>
                <w:rFonts w:ascii="Arial" w:cs="Arial" w:eastAsia="Arial" w:hAnsi="Arial"/>
                <w:sz w:val="18"/>
                <w:szCs w:val="18"/>
                <w:color w:val="auto"/>
              </w:rPr>
              <w:t>7.6</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(d)</w:t>
            </w:r>
          </w:p>
        </w:tc>
        <w:tc>
          <w:tcPr>
            <w:tcW w:w="2080" w:type="dxa"/>
            <w:vAlign w:val="bottom"/>
          </w:tcPr>
          <w:p>
            <w:pPr>
              <w:ind w:left="980"/>
              <w:spacing w:after="0"/>
              <w:rPr>
                <w:sz w:val="20"/>
                <w:szCs w:val="20"/>
                <w:color w:val="auto"/>
              </w:rPr>
            </w:pPr>
            <w:r>
              <w:rPr>
                <w:rFonts w:ascii="Arial" w:cs="Arial" w:eastAsia="Arial" w:hAnsi="Arial"/>
                <w:sz w:val="18"/>
                <w:szCs w:val="18"/>
                <w:color w:val="auto"/>
              </w:rPr>
              <w:t>7.6</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 314(a)</w:t>
            </w:r>
          </w:p>
        </w:tc>
        <w:tc>
          <w:tcPr>
            <w:tcW w:w="2080" w:type="dxa"/>
            <w:vAlign w:val="bottom"/>
          </w:tcPr>
          <w:p>
            <w:pPr>
              <w:ind w:left="980"/>
              <w:spacing w:after="0"/>
              <w:rPr>
                <w:sz w:val="20"/>
                <w:szCs w:val="20"/>
                <w:color w:val="auto"/>
              </w:rPr>
            </w:pPr>
            <w:r>
              <w:rPr>
                <w:rFonts w:ascii="Arial" w:cs="Arial" w:eastAsia="Arial" w:hAnsi="Arial"/>
                <w:sz w:val="18"/>
                <w:szCs w:val="18"/>
                <w:color w:val="auto"/>
              </w:rPr>
              <w:t>4.2, 10.5</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(b)</w:t>
            </w:r>
          </w:p>
        </w:tc>
        <w:tc>
          <w:tcPr>
            <w:tcW w:w="2080" w:type="dxa"/>
            <w:vAlign w:val="bottom"/>
          </w:tcPr>
          <w:p>
            <w:pPr>
              <w:ind w:left="980"/>
              <w:spacing w:after="0"/>
              <w:rPr>
                <w:sz w:val="20"/>
                <w:szCs w:val="20"/>
                <w:color w:val="auto"/>
              </w:rPr>
            </w:pPr>
            <w:r>
              <w:rPr>
                <w:rFonts w:ascii="Arial" w:cs="Arial" w:eastAsia="Arial" w:hAnsi="Arial"/>
                <w:sz w:val="18"/>
                <w:szCs w:val="18"/>
                <w:color w:val="auto"/>
                <w:w w:val="93"/>
              </w:rPr>
              <w:t>Not Applicable</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(c)(1)</w:t>
            </w:r>
          </w:p>
        </w:tc>
        <w:tc>
          <w:tcPr>
            <w:tcW w:w="2080" w:type="dxa"/>
            <w:vAlign w:val="bottom"/>
          </w:tcPr>
          <w:p>
            <w:pPr>
              <w:ind w:left="980"/>
              <w:spacing w:after="0"/>
              <w:rPr>
                <w:sz w:val="20"/>
                <w:szCs w:val="20"/>
                <w:color w:val="auto"/>
              </w:rPr>
            </w:pPr>
            <w:r>
              <w:rPr>
                <w:rFonts w:ascii="Arial" w:cs="Arial" w:eastAsia="Arial" w:hAnsi="Arial"/>
                <w:sz w:val="18"/>
                <w:szCs w:val="18"/>
                <w:color w:val="auto"/>
              </w:rPr>
              <w:t>10.4</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(c)(2)</w:t>
            </w:r>
          </w:p>
        </w:tc>
        <w:tc>
          <w:tcPr>
            <w:tcW w:w="2080" w:type="dxa"/>
            <w:vAlign w:val="bottom"/>
          </w:tcPr>
          <w:p>
            <w:pPr>
              <w:ind w:left="980"/>
              <w:spacing w:after="0"/>
              <w:rPr>
                <w:sz w:val="20"/>
                <w:szCs w:val="20"/>
                <w:color w:val="auto"/>
              </w:rPr>
            </w:pPr>
            <w:r>
              <w:rPr>
                <w:rFonts w:ascii="Arial" w:cs="Arial" w:eastAsia="Arial" w:hAnsi="Arial"/>
                <w:sz w:val="18"/>
                <w:szCs w:val="18"/>
                <w:color w:val="auto"/>
              </w:rPr>
              <w:t>10.4</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(c)(3)</w:t>
            </w:r>
          </w:p>
        </w:tc>
        <w:tc>
          <w:tcPr>
            <w:tcW w:w="2080" w:type="dxa"/>
            <w:vAlign w:val="bottom"/>
          </w:tcPr>
          <w:p>
            <w:pPr>
              <w:ind w:left="980"/>
              <w:spacing w:after="0"/>
              <w:rPr>
                <w:sz w:val="20"/>
                <w:szCs w:val="20"/>
                <w:color w:val="auto"/>
              </w:rPr>
            </w:pPr>
            <w:r>
              <w:rPr>
                <w:rFonts w:ascii="Arial" w:cs="Arial" w:eastAsia="Arial" w:hAnsi="Arial"/>
                <w:sz w:val="18"/>
                <w:szCs w:val="18"/>
                <w:color w:val="auto"/>
                <w:w w:val="93"/>
              </w:rPr>
              <w:t>Not Applicable</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(d)</w:t>
            </w:r>
          </w:p>
        </w:tc>
        <w:tc>
          <w:tcPr>
            <w:tcW w:w="2080" w:type="dxa"/>
            <w:vAlign w:val="bottom"/>
          </w:tcPr>
          <w:p>
            <w:pPr>
              <w:ind w:left="980"/>
              <w:spacing w:after="0"/>
              <w:rPr>
                <w:sz w:val="20"/>
                <w:szCs w:val="20"/>
                <w:color w:val="auto"/>
              </w:rPr>
            </w:pPr>
            <w:r>
              <w:rPr>
                <w:rFonts w:ascii="Arial" w:cs="Arial" w:eastAsia="Arial" w:hAnsi="Arial"/>
                <w:sz w:val="18"/>
                <w:szCs w:val="18"/>
                <w:color w:val="auto"/>
                <w:w w:val="93"/>
              </w:rPr>
              <w:t>Not Applicable</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(e)</w:t>
            </w:r>
          </w:p>
        </w:tc>
        <w:tc>
          <w:tcPr>
            <w:tcW w:w="2080" w:type="dxa"/>
            <w:vAlign w:val="bottom"/>
          </w:tcPr>
          <w:p>
            <w:pPr>
              <w:ind w:left="980"/>
              <w:spacing w:after="0"/>
              <w:rPr>
                <w:sz w:val="20"/>
                <w:szCs w:val="20"/>
                <w:color w:val="auto"/>
              </w:rPr>
            </w:pPr>
            <w:r>
              <w:rPr>
                <w:rFonts w:ascii="Arial" w:cs="Arial" w:eastAsia="Arial" w:hAnsi="Arial"/>
                <w:sz w:val="18"/>
                <w:szCs w:val="18"/>
                <w:color w:val="auto"/>
              </w:rPr>
              <w:t>10.5</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(f)</w:t>
            </w:r>
          </w:p>
        </w:tc>
        <w:tc>
          <w:tcPr>
            <w:tcW w:w="2080" w:type="dxa"/>
            <w:vAlign w:val="bottom"/>
          </w:tcPr>
          <w:p>
            <w:pPr>
              <w:ind w:left="980"/>
              <w:spacing w:after="0"/>
              <w:rPr>
                <w:sz w:val="20"/>
                <w:szCs w:val="20"/>
                <w:color w:val="auto"/>
              </w:rPr>
            </w:pPr>
            <w:r>
              <w:rPr>
                <w:rFonts w:ascii="Arial" w:cs="Arial" w:eastAsia="Arial" w:hAnsi="Arial"/>
                <w:sz w:val="18"/>
                <w:szCs w:val="18"/>
                <w:color w:val="auto"/>
                <w:w w:val="93"/>
              </w:rPr>
              <w:t>Not Applicable</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 315(a)</w:t>
            </w:r>
          </w:p>
        </w:tc>
        <w:tc>
          <w:tcPr>
            <w:tcW w:w="2080" w:type="dxa"/>
            <w:vAlign w:val="bottom"/>
          </w:tcPr>
          <w:p>
            <w:pPr>
              <w:ind w:left="980"/>
              <w:spacing w:after="0"/>
              <w:rPr>
                <w:sz w:val="20"/>
                <w:szCs w:val="20"/>
                <w:color w:val="auto"/>
              </w:rPr>
            </w:pPr>
            <w:r>
              <w:rPr>
                <w:rFonts w:ascii="Arial" w:cs="Arial" w:eastAsia="Arial" w:hAnsi="Arial"/>
                <w:sz w:val="18"/>
                <w:szCs w:val="18"/>
                <w:color w:val="auto"/>
              </w:rPr>
              <w:t>7.1</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(b)</w:t>
            </w:r>
          </w:p>
        </w:tc>
        <w:tc>
          <w:tcPr>
            <w:tcW w:w="2080" w:type="dxa"/>
            <w:vAlign w:val="bottom"/>
          </w:tcPr>
          <w:p>
            <w:pPr>
              <w:ind w:left="980"/>
              <w:spacing w:after="0"/>
              <w:rPr>
                <w:sz w:val="20"/>
                <w:szCs w:val="20"/>
                <w:color w:val="auto"/>
              </w:rPr>
            </w:pPr>
            <w:r>
              <w:rPr>
                <w:rFonts w:ascii="Arial" w:cs="Arial" w:eastAsia="Arial" w:hAnsi="Arial"/>
                <w:sz w:val="18"/>
                <w:szCs w:val="18"/>
                <w:color w:val="auto"/>
              </w:rPr>
              <w:t>7.5</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(c)</w:t>
            </w:r>
          </w:p>
        </w:tc>
        <w:tc>
          <w:tcPr>
            <w:tcW w:w="2080" w:type="dxa"/>
            <w:vAlign w:val="bottom"/>
          </w:tcPr>
          <w:p>
            <w:pPr>
              <w:ind w:left="980"/>
              <w:spacing w:after="0"/>
              <w:rPr>
                <w:sz w:val="20"/>
                <w:szCs w:val="20"/>
                <w:color w:val="auto"/>
              </w:rPr>
            </w:pPr>
            <w:r>
              <w:rPr>
                <w:rFonts w:ascii="Arial" w:cs="Arial" w:eastAsia="Arial" w:hAnsi="Arial"/>
                <w:sz w:val="18"/>
                <w:szCs w:val="18"/>
                <w:color w:val="auto"/>
              </w:rPr>
              <w:t>7.1</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(d)</w:t>
            </w:r>
          </w:p>
        </w:tc>
        <w:tc>
          <w:tcPr>
            <w:tcW w:w="2080" w:type="dxa"/>
            <w:vAlign w:val="bottom"/>
          </w:tcPr>
          <w:p>
            <w:pPr>
              <w:ind w:left="980"/>
              <w:spacing w:after="0"/>
              <w:rPr>
                <w:sz w:val="20"/>
                <w:szCs w:val="20"/>
                <w:color w:val="auto"/>
              </w:rPr>
            </w:pPr>
            <w:r>
              <w:rPr>
                <w:rFonts w:ascii="Arial" w:cs="Arial" w:eastAsia="Arial" w:hAnsi="Arial"/>
                <w:sz w:val="18"/>
                <w:szCs w:val="18"/>
                <w:color w:val="auto"/>
              </w:rPr>
              <w:t>7.1</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(e)</w:t>
            </w:r>
          </w:p>
        </w:tc>
        <w:tc>
          <w:tcPr>
            <w:tcW w:w="2080" w:type="dxa"/>
            <w:vAlign w:val="bottom"/>
          </w:tcPr>
          <w:p>
            <w:pPr>
              <w:ind w:left="980"/>
              <w:spacing w:after="0"/>
              <w:rPr>
                <w:sz w:val="20"/>
                <w:szCs w:val="20"/>
                <w:color w:val="auto"/>
              </w:rPr>
            </w:pPr>
            <w:r>
              <w:rPr>
                <w:rFonts w:ascii="Arial" w:cs="Arial" w:eastAsia="Arial" w:hAnsi="Arial"/>
                <w:sz w:val="18"/>
                <w:szCs w:val="18"/>
                <w:color w:val="auto"/>
              </w:rPr>
              <w:t>6.14</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 316(a)</w:t>
            </w:r>
          </w:p>
        </w:tc>
        <w:tc>
          <w:tcPr>
            <w:tcW w:w="2080" w:type="dxa"/>
            <w:vAlign w:val="bottom"/>
          </w:tcPr>
          <w:p>
            <w:pPr>
              <w:ind w:left="980"/>
              <w:spacing w:after="0"/>
              <w:rPr>
                <w:sz w:val="20"/>
                <w:szCs w:val="20"/>
                <w:color w:val="auto"/>
              </w:rPr>
            </w:pPr>
            <w:r>
              <w:rPr>
                <w:rFonts w:ascii="Arial" w:cs="Arial" w:eastAsia="Arial" w:hAnsi="Arial"/>
                <w:sz w:val="18"/>
                <w:szCs w:val="18"/>
                <w:color w:val="auto"/>
              </w:rPr>
              <w:t>2.10</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(a)(1)(A)</w:t>
            </w:r>
          </w:p>
        </w:tc>
        <w:tc>
          <w:tcPr>
            <w:tcW w:w="2080" w:type="dxa"/>
            <w:vAlign w:val="bottom"/>
          </w:tcPr>
          <w:p>
            <w:pPr>
              <w:ind w:left="980"/>
              <w:spacing w:after="0"/>
              <w:rPr>
                <w:sz w:val="20"/>
                <w:szCs w:val="20"/>
                <w:color w:val="auto"/>
              </w:rPr>
            </w:pPr>
            <w:r>
              <w:rPr>
                <w:rFonts w:ascii="Arial" w:cs="Arial" w:eastAsia="Arial" w:hAnsi="Arial"/>
                <w:sz w:val="18"/>
                <w:szCs w:val="18"/>
                <w:color w:val="auto"/>
              </w:rPr>
              <w:t>6.12</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(a)(1)(B)</w:t>
            </w:r>
          </w:p>
        </w:tc>
        <w:tc>
          <w:tcPr>
            <w:tcW w:w="2080" w:type="dxa"/>
            <w:vAlign w:val="bottom"/>
          </w:tcPr>
          <w:p>
            <w:pPr>
              <w:ind w:left="980"/>
              <w:spacing w:after="0"/>
              <w:rPr>
                <w:sz w:val="20"/>
                <w:szCs w:val="20"/>
                <w:color w:val="auto"/>
              </w:rPr>
            </w:pPr>
            <w:r>
              <w:rPr>
                <w:rFonts w:ascii="Arial" w:cs="Arial" w:eastAsia="Arial" w:hAnsi="Arial"/>
                <w:sz w:val="18"/>
                <w:szCs w:val="18"/>
                <w:color w:val="auto"/>
              </w:rPr>
              <w:t>6.13</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(b)</w:t>
            </w:r>
          </w:p>
        </w:tc>
        <w:tc>
          <w:tcPr>
            <w:tcW w:w="2080" w:type="dxa"/>
            <w:vAlign w:val="bottom"/>
          </w:tcPr>
          <w:p>
            <w:pPr>
              <w:ind w:left="980"/>
              <w:spacing w:after="0"/>
              <w:rPr>
                <w:sz w:val="20"/>
                <w:szCs w:val="20"/>
                <w:color w:val="auto"/>
              </w:rPr>
            </w:pPr>
            <w:r>
              <w:rPr>
                <w:rFonts w:ascii="Arial" w:cs="Arial" w:eastAsia="Arial" w:hAnsi="Arial"/>
                <w:sz w:val="18"/>
                <w:szCs w:val="18"/>
                <w:color w:val="auto"/>
              </w:rPr>
              <w:t>6.8</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 317(a)(1)</w:t>
            </w:r>
          </w:p>
        </w:tc>
        <w:tc>
          <w:tcPr>
            <w:tcW w:w="2080" w:type="dxa"/>
            <w:vAlign w:val="bottom"/>
          </w:tcPr>
          <w:p>
            <w:pPr>
              <w:ind w:left="980"/>
              <w:spacing w:after="0"/>
              <w:rPr>
                <w:sz w:val="20"/>
                <w:szCs w:val="20"/>
                <w:color w:val="auto"/>
              </w:rPr>
            </w:pPr>
            <w:r>
              <w:rPr>
                <w:rFonts w:ascii="Arial" w:cs="Arial" w:eastAsia="Arial" w:hAnsi="Arial"/>
                <w:sz w:val="18"/>
                <w:szCs w:val="18"/>
                <w:color w:val="auto"/>
              </w:rPr>
              <w:t>6.3</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(a)(2)</w:t>
            </w:r>
          </w:p>
        </w:tc>
        <w:tc>
          <w:tcPr>
            <w:tcW w:w="2080" w:type="dxa"/>
            <w:vAlign w:val="bottom"/>
          </w:tcPr>
          <w:p>
            <w:pPr>
              <w:ind w:left="980"/>
              <w:spacing w:after="0"/>
              <w:rPr>
                <w:sz w:val="20"/>
                <w:szCs w:val="20"/>
                <w:color w:val="auto"/>
              </w:rPr>
            </w:pPr>
            <w:r>
              <w:rPr>
                <w:rFonts w:ascii="Arial" w:cs="Arial" w:eastAsia="Arial" w:hAnsi="Arial"/>
                <w:sz w:val="18"/>
                <w:szCs w:val="18"/>
                <w:color w:val="auto"/>
              </w:rPr>
              <w:t>6.4</w:t>
            </w:r>
          </w:p>
        </w:tc>
      </w:tr>
      <w:tr>
        <w:trPr>
          <w:trHeight w:val="216"/>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(b)</w:t>
            </w:r>
          </w:p>
        </w:tc>
        <w:tc>
          <w:tcPr>
            <w:tcW w:w="2080" w:type="dxa"/>
            <w:vAlign w:val="bottom"/>
          </w:tcPr>
          <w:p>
            <w:pPr>
              <w:ind w:left="980"/>
              <w:spacing w:after="0"/>
              <w:rPr>
                <w:sz w:val="20"/>
                <w:szCs w:val="20"/>
                <w:color w:val="auto"/>
              </w:rPr>
            </w:pPr>
            <w:r>
              <w:rPr>
                <w:rFonts w:ascii="Arial" w:cs="Arial" w:eastAsia="Arial" w:hAnsi="Arial"/>
                <w:sz w:val="18"/>
                <w:szCs w:val="18"/>
                <w:color w:val="auto"/>
              </w:rPr>
              <w:t>2.5</w:t>
            </w:r>
          </w:p>
        </w:tc>
      </w:tr>
      <w:tr>
        <w:trPr>
          <w:trHeight w:val="230"/>
        </w:trPr>
        <w:tc>
          <w:tcPr>
            <w:tcW w:w="6300" w:type="dxa"/>
            <w:vAlign w:val="bottom"/>
          </w:tcPr>
          <w:p>
            <w:pPr>
              <w:jc w:val="right"/>
              <w:ind w:right="2250"/>
              <w:spacing w:after="0"/>
              <w:rPr>
                <w:sz w:val="20"/>
                <w:szCs w:val="20"/>
                <w:color w:val="auto"/>
              </w:rPr>
            </w:pPr>
            <w:r>
              <w:rPr>
                <w:rFonts w:ascii="Arial" w:cs="Arial" w:eastAsia="Arial" w:hAnsi="Arial"/>
                <w:sz w:val="18"/>
                <w:szCs w:val="18"/>
                <w:color w:val="auto"/>
              </w:rPr>
              <w:t>§ 318(a)</w:t>
            </w:r>
          </w:p>
        </w:tc>
        <w:tc>
          <w:tcPr>
            <w:tcW w:w="2080" w:type="dxa"/>
            <w:vAlign w:val="bottom"/>
          </w:tcPr>
          <w:p>
            <w:pPr>
              <w:ind w:left="980"/>
              <w:spacing w:after="0"/>
              <w:rPr>
                <w:sz w:val="20"/>
                <w:szCs w:val="20"/>
                <w:color w:val="auto"/>
              </w:rPr>
            </w:pPr>
            <w:r>
              <w:rPr>
                <w:rFonts w:ascii="Arial" w:cs="Arial" w:eastAsia="Arial" w:hAnsi="Arial"/>
                <w:sz w:val="18"/>
                <w:szCs w:val="18"/>
                <w:color w:val="auto"/>
              </w:rPr>
              <w:t>10.1</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Indenture dated as of</w:t>
      </w:r>
      <w:r>
        <w:rPr>
          <w:sz w:val="20"/>
          <w:szCs w:val="20"/>
          <w:color w:val="auto"/>
        </w:rPr>
        <w:tab/>
      </w:r>
      <w:r>
        <w:rPr>
          <w:rFonts w:ascii="Arial" w:cs="Arial" w:eastAsia="Arial" w:hAnsi="Arial"/>
          <w:sz w:val="16"/>
          <w:szCs w:val="16"/>
          <w:color w:val="auto"/>
        </w:rPr>
        <w:t>, 202 between Alector, Inc., a company incorporated under the laws of Delaware (the “Company”), and [__________],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banking association organized under the laws of the United States,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ectPr>
          <w:pgSz w:w="11900" w:h="16838" w:orient="portrait"/>
          <w:cols w:equalWidth="0" w:num="1">
            <w:col w:w="10600"/>
          </w:cols>
          <w:pgMar w:left="440" w:top="270" w:right="8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Currency</w:t>
      </w:r>
      <w:r>
        <w:rPr>
          <w:rFonts w:ascii="Arial" w:cs="Arial" w:eastAsia="Arial" w:hAnsi="Arial"/>
          <w:sz w:val="17"/>
          <w:szCs w:val="17"/>
          <w:color w:val="auto"/>
        </w:rPr>
        <w:t>” means any currency or currency unit issued by a government other than the government of The United States of America.</w:t>
      </w:r>
    </w:p>
    <w:p>
      <w:pPr>
        <w:spacing w:after="0" w:line="23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Global Security</w:t>
      </w:r>
      <w:r>
        <w:rPr>
          <w:rFonts w:ascii="Arial" w:cs="Arial" w:eastAsia="Arial" w:hAnsi="Arial"/>
          <w:sz w:val="16"/>
          <w:szCs w:val="16"/>
          <w:color w:val="auto"/>
        </w:rPr>
        <w:t>” or “</w:t>
      </w:r>
      <w:r>
        <w:rPr>
          <w:rFonts w:ascii="Arial" w:cs="Arial" w:eastAsia="Arial" w:hAnsi="Arial"/>
          <w:sz w:val="16"/>
          <w:szCs w:val="16"/>
          <w:i w:val="1"/>
          <w:iCs w:val="1"/>
          <w:color w:val="auto"/>
        </w:rPr>
        <w:t>Global Securities</w:t>
      </w:r>
      <w:r>
        <w:rPr>
          <w:rFonts w:ascii="Arial" w:cs="Arial" w:eastAsia="Arial" w:hAnsi="Arial"/>
          <w:sz w:val="16"/>
          <w:szCs w:val="16"/>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 on the books of the Registrar.</w:t>
      </w:r>
    </w:p>
    <w:p>
      <w:pPr>
        <w:spacing w:after="0" w:line="225"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Maturity</w:t>
      </w:r>
      <w:r>
        <w:rPr>
          <w:rFonts w:ascii="Arial" w:cs="Arial" w:eastAsia="Arial" w:hAnsi="Arial"/>
          <w:sz w:val="17"/>
          <w:szCs w:val="17"/>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4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 that meets the requirements of Section 10.5.</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4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DEFINED</w:t>
            </w:r>
          </w:p>
        </w:tc>
        <w:tc>
          <w:tcPr>
            <w:tcW w:w="0" w:type="dxa"/>
            <w:vAlign w:val="bottom"/>
          </w:tcPr>
          <w:p>
            <w:pPr>
              <w:spacing w:after="0"/>
              <w:rPr>
                <w:sz w:val="1"/>
                <w:szCs w:val="1"/>
                <w:color w:val="auto"/>
              </w:rPr>
            </w:pPr>
          </w:p>
        </w:tc>
      </w:tr>
      <w:tr>
        <w:trPr>
          <w:trHeight w:val="148"/>
        </w:trPr>
        <w:tc>
          <w:tcPr>
            <w:tcW w:w="6420" w:type="dxa"/>
            <w:vAlign w:val="bottom"/>
            <w:vMerge w:val="restart"/>
          </w:tcPr>
          <w:p>
            <w:pPr>
              <w:spacing w:after="0"/>
              <w:rPr>
                <w:sz w:val="20"/>
                <w:szCs w:val="20"/>
                <w:color w:val="auto"/>
              </w:rPr>
            </w:pPr>
            <w:r>
              <w:rPr>
                <w:rFonts w:ascii="Arial" w:cs="Arial" w:eastAsia="Arial" w:hAnsi="Arial"/>
                <w:sz w:val="14"/>
                <w:szCs w:val="14"/>
                <w:color w:val="auto"/>
              </w:rPr>
              <w:t>TERM</w:t>
            </w:r>
          </w:p>
        </w:tc>
        <w:tc>
          <w:tcPr>
            <w:tcW w:w="4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9"/>
              </w:rPr>
              <w:t>IN</w:t>
            </w:r>
          </w:p>
        </w:tc>
        <w:tc>
          <w:tcPr>
            <w:tcW w:w="0" w:type="dxa"/>
            <w:vAlign w:val="bottom"/>
          </w:tcPr>
          <w:p>
            <w:pPr>
              <w:spacing w:after="0"/>
              <w:rPr>
                <w:sz w:val="1"/>
                <w:szCs w:val="1"/>
                <w:color w:val="auto"/>
              </w:rPr>
            </w:pPr>
          </w:p>
        </w:tc>
      </w:tr>
      <w:tr>
        <w:trPr>
          <w:trHeight w:val="167"/>
        </w:trPr>
        <w:tc>
          <w:tcPr>
            <w:tcW w:w="64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SECTION</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Courts</w:t>
            </w: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TIA terms used in this Indenture have the following meanings: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2" w:name="page43"/>
    <w:bookmarkEnd w:id="4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xml:space="preserve"> means this Indenture.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Section1.4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Unless the context otherwise requires:</w:t>
      </w:r>
    </w:p>
    <w:p>
      <w:pPr>
        <w:spacing w:after="0" w:line="131"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225"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225" w:lineRule="exact"/>
        <w:rPr>
          <w:sz w:val="20"/>
          <w:szCs w:val="20"/>
          <w:color w:val="auto"/>
        </w:rPr>
      </w:pPr>
    </w:p>
    <w:p>
      <w:pPr>
        <w:jc w:val="both"/>
        <w:ind w:left="4" w:right="40"/>
        <w:spacing w:after="0" w:line="311"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49" w:lineRule="exact"/>
        <w:rPr>
          <w:sz w:val="20"/>
          <w:szCs w:val="20"/>
          <w:color w:val="auto"/>
        </w:rPr>
      </w:pPr>
    </w:p>
    <w:p>
      <w:pPr>
        <w:jc w:val="both"/>
        <w:ind w:left="4" w:right="40"/>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2.2.2 the price or prices (expressed as a percentage of the principal amount thereof) at which the Securities of the Series will be issued;</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2.2.4 the date or dates on which the principal of the Securities of the Series is payable;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2.2.10 if other than denominations of $1,000 and any integral multiple thereof, the denominations in which the Securities of the Series shall be issuable;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2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2.2.17 the provisions, if any, relating to any security provided for the Securities of the Series;</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2.2.19 any addition to, deletion of or change in the covenants set forth in Articles IV or V which applies to Securities of the Series;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conversion agents or other agents with respect to Securities of such Series if other than those appointed herein;</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Officer shall sign the Securities for the Company by manual or facsimile signature.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45" w:name="page46"/>
    <w:bookmarkEnd w:id="45"/>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8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 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 may serve as Registrar or Paying Agent.</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2.14.1 </w:t>
      </w:r>
      <w:r>
        <w:rPr>
          <w:rFonts w:ascii="Arial" w:cs="Arial" w:eastAsia="Arial" w:hAnsi="Arial"/>
          <w:sz w:val="16"/>
          <w:szCs w:val="16"/>
          <w:u w:val="single" w:color="auto"/>
          <w:color w:val="auto"/>
        </w:rPr>
        <w:t>Terms of Securities</w:t>
      </w:r>
      <w:r>
        <w:rPr>
          <w:rFonts w:ascii="Arial" w:cs="Arial" w:eastAsia="Arial" w:hAnsi="Arial"/>
          <w:sz w:val="16"/>
          <w:szCs w:val="16"/>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2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6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Neither the Trustee nor any Agent shall have any responsibility for any actions taken or not taken by the Depositary.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Legends</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so long as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is the Depositary, each Global Note registered in the name of DTC or its nominee shall bear a legend in substantially the following form:</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19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9" w:name="page50"/>
    <w:bookmarkEnd w:id="49"/>
    <w:p>
      <w:pPr>
        <w:ind w:left="4" w:right="80" w:hanging="4"/>
        <w:spacing w:after="0" w:line="272" w:lineRule="auto"/>
        <w:tabs>
          <w:tab w:leader="none" w:pos="259"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77" w:lineRule="exact"/>
        <w:rPr>
          <w:rFonts w:ascii="Arial" w:cs="Arial" w:eastAsia="Arial" w:hAnsi="Arial"/>
          <w:sz w:val="17"/>
          <w:szCs w:val="17"/>
          <w:color w:val="auto"/>
        </w:rPr>
      </w:pPr>
    </w:p>
    <w:p>
      <w:pPr>
        <w:ind w:left="4" w:right="120" w:hanging="4"/>
        <w:spacing w:after="0" w:line="255"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192" w:lineRule="exact"/>
        <w:rPr>
          <w:rFonts w:ascii="Arial" w:cs="Arial" w:eastAsia="Arial" w:hAnsi="Arial"/>
          <w:sz w:val="18"/>
          <w:szCs w:val="18"/>
          <w:color w:val="auto"/>
        </w:rPr>
      </w:pPr>
    </w:p>
    <w:p>
      <w:pPr>
        <w:ind w:left="264" w:hanging="264"/>
        <w:spacing w:after="0"/>
        <w:tabs>
          <w:tab w:leader="none" w:pos="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ownership of Global Securities or any Securities issued in certificated form shall be proved by the Registrar.</w:t>
      </w:r>
    </w:p>
    <w:p>
      <w:pPr>
        <w:spacing w:after="0" w:line="225" w:lineRule="exact"/>
        <w:rPr>
          <w:rFonts w:ascii="Arial" w:cs="Arial" w:eastAsia="Arial" w:hAnsi="Arial"/>
          <w:sz w:val="18"/>
          <w:szCs w:val="18"/>
          <w:color w:val="auto"/>
        </w:rPr>
      </w:pPr>
    </w:p>
    <w:p>
      <w:pPr>
        <w:ind w:left="4" w:right="100" w:hanging="4"/>
        <w:spacing w:after="0" w:line="259"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6" w:lineRule="exact"/>
        <w:rPr>
          <w:rFonts w:ascii="Arial" w:cs="Arial" w:eastAsia="Arial" w:hAnsi="Arial"/>
          <w:sz w:val="18"/>
          <w:szCs w:val="18"/>
          <w:color w:val="auto"/>
        </w:rPr>
      </w:pPr>
    </w:p>
    <w:p>
      <w:pPr>
        <w:ind w:left="4" w:hanging="4"/>
        <w:spacing w:after="0" w:line="270" w:lineRule="auto"/>
        <w:tabs>
          <w:tab w:leader="none" w:pos="229"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8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 xml:space="preserve">2.14.2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50" w:name="page51"/>
    <w:bookmarkEnd w:id="5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225"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25"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jc w:val="both"/>
        <w:ind w:left="4" w:right="80"/>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117" w:lineRule="exact"/>
        <w:rPr>
          <w:sz w:val="20"/>
          <w:szCs w:val="20"/>
          <w:color w:val="auto"/>
        </w:rPr>
      </w:pPr>
    </w:p>
    <w:p>
      <w:pPr>
        <w:ind w:left="244" w:hanging="244"/>
        <w:spacing w:after="0"/>
        <w:tabs>
          <w:tab w:leader="none" w:pos="2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redemption price (or manner of calculation if not then known);</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4" w:hanging="4"/>
        <w:spacing w:after="0" w:line="263"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83" w:lineRule="exact"/>
        <w:rPr>
          <w:rFonts w:ascii="Arial" w:cs="Arial" w:eastAsia="Arial" w:hAnsi="Arial"/>
          <w:sz w:val="18"/>
          <w:szCs w:val="18"/>
          <w:color w:val="auto"/>
        </w:rPr>
      </w:pPr>
    </w:p>
    <w:p>
      <w:pPr>
        <w:ind w:left="244" w:hanging="244"/>
        <w:spacing w:after="0"/>
        <w:tabs>
          <w:tab w:leader="none" w:pos="2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0" w:right="499" w:bottom="1440" w:gutter="0" w:footer="0" w:header="0"/>
        </w:sectPr>
      </w:pPr>
    </w:p>
    <w:bookmarkStart w:id="51" w:name="page52"/>
    <w:bookmarkEnd w:id="51"/>
    <w:p>
      <w:pPr>
        <w:ind w:left="4" w:right="280" w:hanging="4"/>
        <w:spacing w:after="0" w:line="277" w:lineRule="auto"/>
        <w:tabs>
          <w:tab w:leader="none" w:pos="229"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interest on Securities of the Series called for redemption ceases to accrue on and after the redemption date unless the Company defaults in the deposit of the redemption price;</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left="4" w:right="500"/>
        <w:spacing w:after="0" w:line="286"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ind w:left="4" w:right="240"/>
        <w:spacing w:after="0" w:line="259"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left="4" w:right="220"/>
        <w:spacing w:after="0" w:line="342" w:lineRule="auto"/>
        <w:rPr>
          <w:sz w:val="20"/>
          <w:szCs w:val="20"/>
          <w:color w:val="auto"/>
        </w:rPr>
      </w:pPr>
      <w:r>
        <w:rPr>
          <w:rFonts w:ascii="Arial" w:cs="Arial" w:eastAsia="Arial" w:hAnsi="Arial"/>
          <w:sz w:val="16"/>
          <w:szCs w:val="16"/>
          <w:color w:val="auto"/>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225"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82" w:lineRule="exact"/>
        <w:rPr>
          <w:sz w:val="20"/>
          <w:szCs w:val="20"/>
          <w:color w:val="auto"/>
        </w:rPr>
      </w:pPr>
    </w:p>
    <w:p>
      <w:pPr>
        <w:ind w:left="4984"/>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4944"/>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SEC Reports</w:t>
      </w:r>
      <w:r>
        <w:rPr>
          <w:rFonts w:ascii="Arial" w:cs="Arial" w:eastAsia="Arial" w:hAnsi="Arial"/>
          <w:sz w:val="18"/>
          <w:szCs w:val="18"/>
          <w:color w:val="auto"/>
        </w:rPr>
        <w:t>.</w:t>
      </w:r>
    </w:p>
    <w:p>
      <w:pPr>
        <w:spacing w:after="0" w:line="225"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52" w:name="page53"/>
    <w:bookmarkEnd w:id="52"/>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SUCCESSORS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When Company May Merge, Etc</w:t>
      </w:r>
      <w:r>
        <w:rPr>
          <w:rFonts w:ascii="Arial" w:cs="Arial" w:eastAsia="Arial" w:hAnsi="Arial"/>
          <w:sz w:val="18"/>
          <w:szCs w:val="18"/>
          <w:color w:val="auto"/>
        </w:rPr>
        <w:t>.</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170" w:lineRule="exact"/>
        <w:rPr>
          <w:sz w:val="20"/>
          <w:szCs w:val="20"/>
          <w:color w:val="auto"/>
        </w:rPr>
      </w:pPr>
    </w:p>
    <w:p>
      <w:pPr>
        <w:ind w:left="4" w:right="160" w:hanging="4"/>
        <w:spacing w:after="0" w:line="263"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Notwithstanding the above, any Subsidiary of the Company may consolidate with, merge into or transfer all or part of its properties to the Company.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Neither an Officer’s Certificate nor an Opinion of Counsel shall be required to be delivered in connection therewith.</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53" w:name="page54"/>
    <w:bookmarkEnd w:id="5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225" w:lineRule="exact"/>
        <w:rPr>
          <w:sz w:val="20"/>
          <w:szCs w:val="20"/>
          <w:color w:val="auto"/>
        </w:rPr>
      </w:pPr>
    </w:p>
    <w:p>
      <w:pPr>
        <w:ind w:left="4" w:right="220"/>
        <w:spacing w:after="0" w:line="255" w:lineRule="auto"/>
        <w:rPr>
          <w:sz w:val="20"/>
          <w:szCs w:val="20"/>
          <w:color w:val="auto"/>
        </w:rPr>
      </w:pPr>
      <w:r>
        <w:rPr>
          <w:rFonts w:ascii="Arial" w:cs="Arial" w:eastAsia="Arial" w:hAnsi="Arial"/>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DEFAULTS AND REMEDIES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Event of Default</w:t>
      </w:r>
      <w:r>
        <w:rPr>
          <w:rFonts w:ascii="Arial" w:cs="Arial" w:eastAsia="Arial" w:hAnsi="Arial"/>
          <w:sz w:val="16"/>
          <w:szCs w:val="16"/>
          <w:color w:val="auto"/>
        </w:rPr>
        <w:t>,” wherever used herein with respect to Securities of any Series, means any one of the following events, unless in the establishing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Board Resolution, supplemental indenture or Officer’s Certificate, it is provided that such Series shall not have the benefit of said Event of Default:</w:t>
      </w:r>
    </w:p>
    <w:p>
      <w:pPr>
        <w:spacing w:after="0" w:line="222" w:lineRule="exact"/>
        <w:rPr>
          <w:sz w:val="20"/>
          <w:szCs w:val="20"/>
          <w:color w:val="auto"/>
        </w:rPr>
      </w:pPr>
    </w:p>
    <w:p>
      <w:pPr>
        <w:ind w:left="4" w:right="180" w:hanging="4"/>
        <w:spacing w:after="0" w:line="263"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Company in this Indenture (other than defaults pursuant to paragraphs (a) or</w:t>
      </w:r>
    </w:p>
    <w:p>
      <w:pPr>
        <w:spacing w:after="0" w:line="46" w:lineRule="exact"/>
        <w:rPr>
          <w:rFonts w:ascii="Arial" w:cs="Arial" w:eastAsia="Arial" w:hAnsi="Arial"/>
          <w:sz w:val="16"/>
          <w:szCs w:val="16"/>
          <w:color w:val="auto"/>
        </w:rPr>
      </w:pPr>
    </w:p>
    <w:p>
      <w:pPr>
        <w:ind w:left="4" w:hanging="4"/>
        <w:spacing w:after="0" w:line="273" w:lineRule="auto"/>
        <w:tabs>
          <w:tab w:leader="none" w:pos="259" w:val="left"/>
        </w:tabs>
        <w:numPr>
          <w:ilvl w:val="0"/>
          <w:numId w:val="37"/>
        </w:numPr>
        <w:rPr>
          <w:rFonts w:ascii="Arial" w:cs="Arial" w:eastAsia="Arial" w:hAnsi="Arial"/>
          <w:sz w:val="17"/>
          <w:szCs w:val="17"/>
          <w:color w:val="auto"/>
        </w:rPr>
      </w:pPr>
      <w:r>
        <w:rPr>
          <w:rFonts w:ascii="Arial" w:cs="Arial" w:eastAsia="Arial" w:hAnsi="Arial"/>
          <w:sz w:val="17"/>
          <w:szCs w:val="17"/>
          <w:color w:val="auto"/>
        </w:rPr>
        <w:t>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6" w:lineRule="exact"/>
        <w:rPr>
          <w:rFonts w:ascii="Arial" w:cs="Arial" w:eastAsia="Arial" w:hAnsi="Arial"/>
          <w:sz w:val="17"/>
          <w:szCs w:val="17"/>
          <w:color w:val="auto"/>
        </w:rPr>
      </w:pPr>
    </w:p>
    <w:p>
      <w:pPr>
        <w:ind w:left="264" w:hanging="264"/>
        <w:spacing w:after="0"/>
        <w:tabs>
          <w:tab w:leader="none" w:pos="2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sz w:val="20"/>
          <w:szCs w:val="20"/>
          <w:color w:val="auto"/>
        </w:rPr>
      </w:pPr>
    </w:p>
    <w:p>
      <w:pPr>
        <w:ind w:left="224" w:hanging="224"/>
        <w:spacing w:after="0"/>
        <w:tabs>
          <w:tab w:leader="none" w:pos="2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sz w:val="20"/>
          <w:szCs w:val="20"/>
          <w:color w:val="auto"/>
        </w:rPr>
      </w:pPr>
    </w:p>
    <w:p>
      <w:pPr>
        <w:ind w:left="244" w:hanging="244"/>
        <w:spacing w:after="0"/>
        <w:tabs>
          <w:tab w:leader="none" w:pos="2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54" w:name="page55"/>
    <w:bookmarkEnd w:id="54"/>
    <w:p>
      <w:pPr>
        <w:ind w:left="4" w:right="420" w:hanging="4"/>
        <w:spacing w:after="0" w:line="277" w:lineRule="auto"/>
        <w:tabs>
          <w:tab w:leader="none" w:pos="229"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U.S.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any declaration or other act on the part of the Trustee or any Holder.</w:t>
      </w:r>
    </w:p>
    <w:p>
      <w:pPr>
        <w:spacing w:after="0" w:line="165"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 w:right="180" w:hanging="4"/>
        <w:spacing w:after="0" w:line="277"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ind w:left="4"/>
        <w:spacing w:after="0" w:line="257" w:lineRule="auto"/>
        <w:rPr>
          <w:sz w:val="20"/>
          <w:szCs w:val="20"/>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55" w:name="page56"/>
    <w:bookmarkEnd w:id="55"/>
    <w:p>
      <w:pPr>
        <w:ind w:left="4"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left="4" w:right="400"/>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jc w:val="both"/>
        <w:ind w:left="4" w:right="120"/>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jc w:val="both"/>
        <w:ind w:left="4" w:right="120" w:hanging="4"/>
        <w:spacing w:after="0" w:line="311"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48" w:lineRule="exact"/>
        <w:rPr>
          <w:rFonts w:ascii="Arial" w:cs="Arial" w:eastAsia="Arial" w:hAnsi="Arial"/>
          <w:sz w:val="16"/>
          <w:szCs w:val="16"/>
          <w:color w:val="auto"/>
        </w:rPr>
      </w:pPr>
    </w:p>
    <w:p>
      <w:pPr>
        <w:ind w:left="4" w:hanging="4"/>
        <w:spacing w:after="0" w:line="257" w:lineRule="auto"/>
        <w:tabs>
          <w:tab w:leader="none" w:pos="2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8"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225"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56" w:name="page57"/>
    <w:bookmarkEnd w:id="56"/>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244" w:hanging="244"/>
        <w:spacing w:after="0"/>
        <w:tabs>
          <w:tab w:leader="none" w:pos="244"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 Series;</w:t>
      </w:r>
    </w:p>
    <w:p>
      <w:pPr>
        <w:spacing w:after="0" w:line="236" w:lineRule="exact"/>
        <w:rPr>
          <w:rFonts w:ascii="Arial" w:cs="Arial" w:eastAsia="Arial" w:hAnsi="Arial"/>
          <w:sz w:val="17"/>
          <w:szCs w:val="17"/>
          <w:color w:val="auto"/>
        </w:rPr>
      </w:pPr>
    </w:p>
    <w:p>
      <w:pPr>
        <w:ind w:left="4" w:right="300" w:hanging="4"/>
        <w:spacing w:after="0" w:line="277" w:lineRule="auto"/>
        <w:tabs>
          <w:tab w:leader="none" w:pos="2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4" w:right="120" w:hanging="4"/>
        <w:spacing w:after="0" w:line="277" w:lineRule="auto"/>
        <w:tabs>
          <w:tab w:leader="none" w:pos="2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25" w:lineRule="exact"/>
        <w:rPr>
          <w:rFonts w:ascii="Arial" w:cs="Arial" w:eastAsia="Arial" w:hAnsi="Arial"/>
          <w:sz w:val="18"/>
          <w:szCs w:val="18"/>
          <w:color w:val="auto"/>
        </w:rPr>
      </w:pPr>
    </w:p>
    <w:p>
      <w:pPr>
        <w:ind w:left="4" w:right="80" w:hanging="4"/>
        <w:spacing w:after="0" w:line="277" w:lineRule="auto"/>
        <w:tabs>
          <w:tab w:leader="none" w:pos="2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left="4" w:right="100"/>
        <w:spacing w:after="0" w:line="301" w:lineRule="auto"/>
        <w:rPr>
          <w:sz w:val="20"/>
          <w:szCs w:val="20"/>
          <w:color w:val="auto"/>
        </w:rPr>
      </w:pPr>
      <w:r>
        <w:rPr>
          <w:rFonts w:ascii="Arial" w:cs="Arial" w:eastAsia="Arial" w:hAnsi="Arial"/>
          <w:sz w:val="16"/>
          <w:szCs w:val="16"/>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225"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57" w:name="page58"/>
    <w:bookmarkEnd w:id="57"/>
    <w:p>
      <w:pPr>
        <w:jc w:val="both"/>
        <w:ind w:left="4"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jc w:val="both"/>
        <w:ind w:left="4" w:right="40"/>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5"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ind w:left="244" w:hanging="244"/>
        <w:spacing w:after="0"/>
        <w:tabs>
          <w:tab w:leader="none" w:pos="2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rFonts w:ascii="Arial" w:cs="Arial" w:eastAsia="Arial" w:hAnsi="Arial"/>
          <w:sz w:val="18"/>
          <w:szCs w:val="18"/>
          <w:color w:val="auto"/>
        </w:rPr>
      </w:pPr>
    </w:p>
    <w:p>
      <w:pPr>
        <w:ind w:left="4" w:right="100" w:hanging="4"/>
        <w:spacing w:after="0" w:line="308" w:lineRule="auto"/>
        <w:tabs>
          <w:tab w:leader="none" w:pos="249"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46" w:lineRule="exact"/>
        <w:rPr>
          <w:rFonts w:ascii="Arial" w:cs="Arial" w:eastAsia="Arial" w:hAnsi="Arial"/>
          <w:sz w:val="17"/>
          <w:szCs w:val="17"/>
          <w:color w:val="auto"/>
        </w:rPr>
      </w:pPr>
    </w:p>
    <w:p>
      <w:pPr>
        <w:ind w:left="4" w:right="380" w:hanging="4"/>
        <w:spacing w:after="0" w:line="277" w:lineRule="auto"/>
        <w:tabs>
          <w:tab w:leader="none" w:pos="25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58" w:name="page59"/>
    <w:bookmarkEnd w:id="58"/>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225" w:lineRule="exact"/>
        <w:rPr>
          <w:sz w:val="20"/>
          <w:szCs w:val="20"/>
          <w:color w:val="auto"/>
        </w:rPr>
      </w:pPr>
    </w:p>
    <w:p>
      <w:pPr>
        <w:jc w:val="both"/>
        <w:ind w:left="4" w:right="40" w:hanging="4"/>
        <w:spacing w:after="0" w:line="342" w:lineRule="auto"/>
        <w:tabs>
          <w:tab w:leader="none" w:pos="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23" w:lineRule="exact"/>
        <w:rPr>
          <w:rFonts w:ascii="Arial" w:cs="Arial" w:eastAsia="Arial" w:hAnsi="Arial"/>
          <w:sz w:val="16"/>
          <w:szCs w:val="16"/>
          <w:color w:val="auto"/>
        </w:rPr>
      </w:pPr>
    </w:p>
    <w:p>
      <w:pPr>
        <w:ind w:left="264" w:hanging="264"/>
        <w:spacing w:after="0"/>
        <w:tabs>
          <w:tab w:leader="none" w:pos="2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sz w:val="20"/>
          <w:szCs w:val="20"/>
          <w:color w:val="auto"/>
        </w:rPr>
      </w:pPr>
    </w:p>
    <w:p>
      <w:pPr>
        <w:ind w:left="4" w:right="320" w:hanging="4"/>
        <w:spacing w:after="0" w:line="277" w:lineRule="auto"/>
        <w:tabs>
          <w:tab w:leader="none" w:pos="2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170" w:lineRule="exact"/>
        <w:rPr>
          <w:rFonts w:ascii="Arial" w:cs="Arial" w:eastAsia="Arial" w:hAnsi="Arial"/>
          <w:sz w:val="18"/>
          <w:szCs w:val="18"/>
          <w:color w:val="auto"/>
        </w:rPr>
      </w:pPr>
    </w:p>
    <w:p>
      <w:pPr>
        <w:ind w:left="4" w:right="100" w:hanging="4"/>
        <w:spacing w:after="0" w:line="296" w:lineRule="auto"/>
        <w:tabs>
          <w:tab w:leader="none" w:pos="2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161" w:lineRule="exact"/>
        <w:rPr>
          <w:sz w:val="20"/>
          <w:szCs w:val="20"/>
          <w:color w:val="auto"/>
        </w:rPr>
      </w:pPr>
    </w:p>
    <w:p>
      <w:pPr>
        <w:ind w:left="244" w:hanging="244"/>
        <w:spacing w:after="0"/>
        <w:tabs>
          <w:tab w:leader="none" w:pos="24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Trustee may not be relieved from liability for its own negligent action, its own negligent failure to act or its own willful misconduct, except that:</w:t>
      </w:r>
    </w:p>
    <w:p>
      <w:pPr>
        <w:spacing w:after="0" w:line="248" w:lineRule="exact"/>
        <w:rPr>
          <w:rFonts w:ascii="Arial" w:cs="Arial" w:eastAsia="Arial" w:hAnsi="Arial"/>
          <w:sz w:val="16"/>
          <w:szCs w:val="16"/>
          <w:color w:val="auto"/>
        </w:rPr>
      </w:pPr>
    </w:p>
    <w:p>
      <w:pPr>
        <w:ind w:left="224" w:hanging="224"/>
        <w:spacing w:after="0"/>
        <w:tabs>
          <w:tab w:leader="none" w:pos="2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sz w:val="20"/>
          <w:szCs w:val="20"/>
          <w:color w:val="auto"/>
        </w:rPr>
      </w:pPr>
    </w:p>
    <w:p>
      <w:pPr>
        <w:ind w:left="4" w:right="320" w:hanging="4"/>
        <w:spacing w:after="0" w:line="277" w:lineRule="auto"/>
        <w:tabs>
          <w:tab w:leader="none" w:pos="2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170" w:lineRule="exact"/>
        <w:rPr>
          <w:rFonts w:ascii="Arial" w:cs="Arial" w:eastAsia="Arial" w:hAnsi="Arial"/>
          <w:sz w:val="18"/>
          <w:szCs w:val="18"/>
          <w:color w:val="auto"/>
        </w:rPr>
      </w:pPr>
    </w:p>
    <w:p>
      <w:pPr>
        <w:ind w:left="4" w:right="40" w:hanging="4"/>
        <w:spacing w:after="0" w:line="279" w:lineRule="auto"/>
        <w:tabs>
          <w:tab w:leader="none" w:pos="31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71" w:lineRule="exact"/>
        <w:rPr>
          <w:sz w:val="20"/>
          <w:szCs w:val="20"/>
          <w:color w:val="auto"/>
        </w:rPr>
      </w:pPr>
    </w:p>
    <w:p>
      <w:pPr>
        <w:ind w:left="264" w:hanging="264"/>
        <w:spacing w:after="0"/>
        <w:tabs>
          <w:tab w:leader="none" w:pos="2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225" w:lineRule="exact"/>
        <w:rPr>
          <w:rFonts w:ascii="Arial" w:cs="Arial" w:eastAsia="Arial" w:hAnsi="Arial"/>
          <w:sz w:val="18"/>
          <w:szCs w:val="18"/>
          <w:color w:val="auto"/>
        </w:rPr>
      </w:pPr>
    </w:p>
    <w:p>
      <w:pPr>
        <w:ind w:left="4" w:right="300" w:hanging="4"/>
        <w:spacing w:after="0" w:line="277"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170" w:lineRule="exact"/>
        <w:rPr>
          <w:rFonts w:ascii="Arial" w:cs="Arial" w:eastAsia="Arial" w:hAnsi="Arial"/>
          <w:sz w:val="18"/>
          <w:szCs w:val="18"/>
          <w:color w:val="auto"/>
        </w:rPr>
      </w:pPr>
    </w:p>
    <w:p>
      <w:pPr>
        <w:ind w:left="4" w:right="120" w:hanging="4"/>
        <w:spacing w:after="0" w:line="277" w:lineRule="auto"/>
        <w:tabs>
          <w:tab w:leader="none" w:pos="22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left="4" w:right="140" w:hanging="4"/>
        <w:spacing w:after="0" w:line="277" w:lineRule="auto"/>
        <w:tabs>
          <w:tab w:leader="none" w:pos="2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0" w:right="499" w:bottom="1440" w:gutter="0" w:footer="0" w:header="0"/>
        </w:sectPr>
      </w:pPr>
    </w:p>
    <w:bookmarkStart w:id="59" w:name="page60"/>
    <w:bookmarkEnd w:id="59"/>
    <w:p>
      <w:pPr>
        <w:ind w:left="4" w:right="20" w:hanging="4"/>
        <w:spacing w:after="0" w:line="277" w:lineRule="auto"/>
        <w:tabs>
          <w:tab w:leader="none" w:pos="259"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225" w:lineRule="exact"/>
        <w:rPr>
          <w:sz w:val="20"/>
          <w:szCs w:val="20"/>
          <w:color w:val="auto"/>
        </w:rPr>
      </w:pPr>
    </w:p>
    <w:p>
      <w:pPr>
        <w:ind w:left="4" w:right="360" w:hanging="4"/>
        <w:spacing w:after="0" w:line="263"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83" w:lineRule="exact"/>
        <w:rPr>
          <w:rFonts w:ascii="Arial" w:cs="Arial" w:eastAsia="Arial" w:hAnsi="Arial"/>
          <w:sz w:val="18"/>
          <w:szCs w:val="18"/>
          <w:color w:val="auto"/>
        </w:rPr>
      </w:pPr>
    </w:p>
    <w:p>
      <w:pPr>
        <w:ind w:left="4" w:right="340" w:hanging="4"/>
        <w:spacing w:after="0" w:line="308" w:lineRule="auto"/>
        <w:tabs>
          <w:tab w:leader="none" w:pos="259" w:val="left"/>
        </w:tabs>
        <w:numPr>
          <w:ilvl w:val="0"/>
          <w:numId w:val="56"/>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46" w:lineRule="exact"/>
        <w:rPr>
          <w:rFonts w:ascii="Arial" w:cs="Arial" w:eastAsia="Arial" w:hAnsi="Arial"/>
          <w:sz w:val="17"/>
          <w:szCs w:val="17"/>
          <w:color w:val="auto"/>
        </w:rPr>
      </w:pPr>
    </w:p>
    <w:p>
      <w:pPr>
        <w:ind w:left="4" w:right="100" w:hanging="4"/>
        <w:spacing w:after="0" w:line="263"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183" w:lineRule="exact"/>
        <w:rPr>
          <w:rFonts w:ascii="Arial" w:cs="Arial" w:eastAsia="Arial" w:hAnsi="Arial"/>
          <w:sz w:val="18"/>
          <w:szCs w:val="18"/>
          <w:color w:val="auto"/>
        </w:rPr>
      </w:pPr>
    </w:p>
    <w:p>
      <w:pPr>
        <w:ind w:left="4" w:right="180" w:hanging="4"/>
        <w:spacing w:after="0" w:line="277" w:lineRule="auto"/>
        <w:tabs>
          <w:tab w:leader="none" w:pos="2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70" w:lineRule="exact"/>
        <w:rPr>
          <w:rFonts w:ascii="Arial" w:cs="Arial" w:eastAsia="Arial" w:hAnsi="Arial"/>
          <w:sz w:val="18"/>
          <w:szCs w:val="18"/>
          <w:color w:val="auto"/>
        </w:rPr>
      </w:pPr>
    </w:p>
    <w:p>
      <w:pPr>
        <w:ind w:left="4" w:right="580" w:hanging="4"/>
        <w:spacing w:after="0" w:line="342" w:lineRule="auto"/>
        <w:tabs>
          <w:tab w:leader="none" w:pos="2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23" w:lineRule="exact"/>
        <w:rPr>
          <w:rFonts w:ascii="Arial" w:cs="Arial" w:eastAsia="Arial" w:hAnsi="Arial"/>
          <w:sz w:val="16"/>
          <w:szCs w:val="16"/>
          <w:color w:val="auto"/>
        </w:rPr>
      </w:pPr>
    </w:p>
    <w:p>
      <w:pPr>
        <w:ind w:left="4" w:right="100" w:hanging="4"/>
        <w:spacing w:after="0" w:line="286" w:lineRule="auto"/>
        <w:tabs>
          <w:tab w:leader="none" w:pos="22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165" w:lineRule="exact"/>
        <w:rPr>
          <w:rFonts w:ascii="Arial" w:cs="Arial" w:eastAsia="Arial" w:hAnsi="Arial"/>
          <w:sz w:val="17"/>
          <w:szCs w:val="17"/>
          <w:color w:val="auto"/>
        </w:rPr>
      </w:pPr>
    </w:p>
    <w:p>
      <w:pPr>
        <w:jc w:val="both"/>
        <w:ind w:left="4" w:hanging="4"/>
        <w:spacing w:after="0" w:line="286" w:lineRule="auto"/>
        <w:tabs>
          <w:tab w:leader="none" w:pos="25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65" w:lineRule="exact"/>
        <w:rPr>
          <w:rFonts w:ascii="Arial" w:cs="Arial" w:eastAsia="Arial" w:hAnsi="Arial"/>
          <w:sz w:val="17"/>
          <w:szCs w:val="17"/>
          <w:color w:val="auto"/>
        </w:rPr>
      </w:pPr>
    </w:p>
    <w:p>
      <w:pPr>
        <w:ind w:left="4" w:right="80" w:hanging="4"/>
        <w:spacing w:after="0" w:line="311" w:lineRule="auto"/>
        <w:tabs>
          <w:tab w:leader="none" w:pos="259"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148" w:lineRule="exact"/>
        <w:rPr>
          <w:rFonts w:ascii="Arial" w:cs="Arial" w:eastAsia="Arial" w:hAnsi="Arial"/>
          <w:sz w:val="16"/>
          <w:szCs w:val="16"/>
          <w:color w:val="auto"/>
        </w:rPr>
      </w:pPr>
    </w:p>
    <w:p>
      <w:pPr>
        <w:ind w:left="4" w:right="140" w:hanging="4"/>
        <w:spacing w:after="0" w:line="263" w:lineRule="auto"/>
        <w:tabs>
          <w:tab w:leader="none" w:pos="2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ind w:left="224" w:hanging="224"/>
        <w:spacing w:after="0"/>
        <w:tabs>
          <w:tab w:leader="none" w:pos="22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permissive right of the Trustee to take the actions permitted by this Indenture shall not be construed as an obligation or duty to do so.</w:t>
      </w:r>
    </w:p>
    <w:p>
      <w:pPr>
        <w:spacing w:after="0" w:line="236" w:lineRule="exact"/>
        <w:rPr>
          <w:rFonts w:ascii="Arial" w:cs="Arial" w:eastAsia="Arial" w:hAnsi="Arial"/>
          <w:sz w:val="17"/>
          <w:szCs w:val="17"/>
          <w:color w:val="auto"/>
        </w:rPr>
      </w:pPr>
    </w:p>
    <w:p>
      <w:pPr>
        <w:ind w:left="264" w:hanging="264"/>
        <w:spacing w:after="0"/>
        <w:tabs>
          <w:tab w:leader="none" w:pos="2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bond or surety shall be required with respect to performance of Trustee’s duties and powers.</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no circumstances shall the Trustee be liable in its individual capacity for the obligations evidenced by the Securities.</w:t>
      </w:r>
    </w:p>
    <w:p>
      <w:pPr>
        <w:spacing w:after="0" w:line="225" w:lineRule="exact"/>
        <w:rPr>
          <w:rFonts w:ascii="Arial" w:cs="Arial" w:eastAsia="Arial" w:hAnsi="Arial"/>
          <w:sz w:val="18"/>
          <w:szCs w:val="18"/>
          <w:color w:val="auto"/>
        </w:rPr>
      </w:pPr>
    </w:p>
    <w:p>
      <w:pPr>
        <w:ind w:left="4" w:right="120" w:hanging="4"/>
        <w:spacing w:after="0" w:line="277" w:lineRule="auto"/>
        <w:tabs>
          <w:tab w:leader="none" w:pos="3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60" w:name="page61"/>
    <w:bookmarkEnd w:id="60"/>
    <w:p>
      <w:pPr>
        <w:ind w:left="4" w:right="40" w:hanging="4"/>
        <w:spacing w:after="0" w:line="277" w:lineRule="auto"/>
        <w:tabs>
          <w:tab w:leader="none" w:pos="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request that the Company deliver a certificate setting forth the names of individuals and/or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rights, privileges, protections, immunities and benefits given to the Trustee, including, without limitation, its right to be indemnified, are</w:t>
      </w:r>
    </w:p>
    <w:p>
      <w:pPr>
        <w:spacing w:after="0" w:line="34" w:lineRule="exact"/>
        <w:rPr>
          <w:rFonts w:ascii="Arial" w:cs="Arial" w:eastAsia="Arial" w:hAnsi="Arial"/>
          <w:sz w:val="17"/>
          <w:szCs w:val="17"/>
          <w:color w:val="auto"/>
        </w:rPr>
      </w:pPr>
    </w:p>
    <w:p>
      <w:pPr>
        <w:ind w:left="4" w:right="320"/>
        <w:spacing w:after="0" w:line="260" w:lineRule="auto"/>
        <w:rPr>
          <w:rFonts w:ascii="Arial" w:cs="Arial" w:eastAsia="Arial" w:hAnsi="Arial"/>
          <w:sz w:val="17"/>
          <w:szCs w:val="17"/>
          <w:color w:val="auto"/>
        </w:rPr>
      </w:pPr>
      <w:r>
        <w:rPr>
          <w:rFonts w:ascii="Arial" w:cs="Arial" w:eastAsia="Arial" w:hAnsi="Arial"/>
          <w:sz w:val="18"/>
          <w:szCs w:val="18"/>
          <w:color w:val="auto"/>
        </w:rPr>
        <w:t>extended to, and shall be enforceable by, the Trustee in each of its capacities hereunder, and each agent, custodian and other Person employed to act hereunder.</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5" w:lineRule="exact"/>
        <w:rPr>
          <w:sz w:val="20"/>
          <w:szCs w:val="20"/>
          <w:color w:val="auto"/>
        </w:rPr>
      </w:pPr>
    </w:p>
    <w:p>
      <w:pPr>
        <w:jc w:val="both"/>
        <w:ind w:left="4" w:right="360"/>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225" w:lineRule="exact"/>
        <w:rPr>
          <w:sz w:val="20"/>
          <w:szCs w:val="20"/>
          <w:color w:val="auto"/>
        </w:rPr>
      </w:pPr>
    </w:p>
    <w:p>
      <w:pPr>
        <w:ind w:left="4" w:right="440"/>
        <w:spacing w:after="0" w:line="342" w:lineRule="auto"/>
        <w:rPr>
          <w:sz w:val="20"/>
          <w:szCs w:val="20"/>
          <w:color w:val="auto"/>
        </w:rPr>
      </w:pPr>
      <w:r>
        <w:rPr>
          <w:rFonts w:ascii="Arial" w:cs="Arial" w:eastAsia="Arial" w:hAnsi="Arial"/>
          <w:sz w:val="16"/>
          <w:szCs w:val="16"/>
          <w:color w:val="auto"/>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24"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4"/>
          </w:cols>
          <w:pgMar w:left="436" w:top="274" w:right="499" w:bottom="1440" w:gutter="0" w:footer="0" w:header="0"/>
        </w:sectPr>
      </w:pPr>
    </w:p>
    <w:bookmarkStart w:id="61" w:name="page62"/>
    <w:bookmarkEnd w:id="61"/>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65" w:lineRule="exact"/>
        <w:rPr>
          <w:sz w:val="20"/>
          <w:szCs w:val="20"/>
          <w:color w:val="auto"/>
        </w:rPr>
      </w:pPr>
    </w:p>
    <w:p>
      <w:pPr>
        <w:ind w:left="4" w:right="200"/>
        <w:spacing w:after="0" w:line="342" w:lineRule="auto"/>
        <w:rPr>
          <w:sz w:val="20"/>
          <w:szCs w:val="20"/>
          <w:color w:val="auto"/>
        </w:rPr>
      </w:pPr>
      <w:r>
        <w:rPr>
          <w:rFonts w:ascii="Arial" w:cs="Arial" w:eastAsia="Arial" w:hAnsi="Arial"/>
          <w:sz w:val="16"/>
          <w:szCs w:val="16"/>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24" w:lineRule="exact"/>
        <w:rPr>
          <w:sz w:val="20"/>
          <w:szCs w:val="20"/>
          <w:color w:val="auto"/>
        </w:rPr>
      </w:pPr>
    </w:p>
    <w:p>
      <w:pPr>
        <w:ind w:left="4" w:right="40"/>
        <w:spacing w:after="0" w:line="308" w:lineRule="auto"/>
        <w:rPr>
          <w:sz w:val="20"/>
          <w:szCs w:val="20"/>
          <w:color w:val="auto"/>
        </w:rPr>
      </w:pPr>
      <w:r>
        <w:rPr>
          <w:rFonts w:ascii="Arial" w:cs="Arial" w:eastAsia="Arial" w:hAnsi="Arial"/>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6" w:lineRule="exact"/>
        <w:rPr>
          <w:sz w:val="20"/>
          <w:szCs w:val="20"/>
          <w:color w:val="auto"/>
        </w:rPr>
      </w:pPr>
    </w:p>
    <w:p>
      <w:pPr>
        <w:ind w:left="4" w:right="820"/>
        <w:spacing w:after="0" w:line="308" w:lineRule="auto"/>
        <w:rPr>
          <w:sz w:val="20"/>
          <w:szCs w:val="20"/>
          <w:color w:val="auto"/>
        </w:rPr>
      </w:pPr>
      <w:r>
        <w:rPr>
          <w:rFonts w:ascii="Arial" w:cs="Arial" w:eastAsia="Arial" w:hAnsi="Arial"/>
          <w:sz w:val="17"/>
          <w:szCs w:val="17"/>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provisions of this Section shall survive the termination of this Indenture or the resignation or removal of the Trustee.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187" w:lineRule="exact"/>
        <w:rPr>
          <w:sz w:val="20"/>
          <w:szCs w:val="20"/>
          <w:color w:val="auto"/>
        </w:rPr>
      </w:pPr>
    </w:p>
    <w:p>
      <w:pPr>
        <w:ind w:left="244" w:hanging="244"/>
        <w:spacing w:after="0"/>
        <w:tabs>
          <w:tab w:leader="none" w:pos="2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 Bankruptcy Law;</w:t>
      </w:r>
    </w:p>
    <w:p>
      <w:pPr>
        <w:spacing w:after="0" w:line="236" w:lineRule="exact"/>
        <w:rPr>
          <w:rFonts w:ascii="Arial" w:cs="Arial" w:eastAsia="Arial" w:hAnsi="Arial"/>
          <w:sz w:val="17"/>
          <w:szCs w:val="17"/>
          <w:color w:val="auto"/>
        </w:rPr>
      </w:pPr>
    </w:p>
    <w:p>
      <w:pPr>
        <w:ind w:left="244" w:hanging="244"/>
        <w:spacing w:after="0"/>
        <w:tabs>
          <w:tab w:leader="none" w:pos="2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84"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274" w:right="499" w:bottom="1440" w:gutter="0" w:footer="0" w:header="0"/>
        </w:sectPr>
      </w:pPr>
    </w:p>
    <w:bookmarkStart w:id="62" w:name="page63"/>
    <w:bookmarkEnd w:id="62"/>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(a) either</w:t>
      </w:r>
    </w:p>
    <w:p>
      <w:pPr>
        <w:spacing w:after="0" w:line="117" w:lineRule="exact"/>
        <w:rPr>
          <w:sz w:val="20"/>
          <w:szCs w:val="20"/>
          <w:color w:val="auto"/>
        </w:rPr>
      </w:pPr>
    </w:p>
    <w:p>
      <w:pPr>
        <w:ind w:left="4" w:right="100" w:hanging="4"/>
        <w:spacing w:after="0" w:line="277" w:lineRule="auto"/>
        <w:tabs>
          <w:tab w:leader="none" w:pos="2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225" w:lineRule="exact"/>
        <w:rPr>
          <w:sz w:val="20"/>
          <w:szCs w:val="20"/>
          <w:color w:val="auto"/>
        </w:rPr>
      </w:pPr>
    </w:p>
    <w:p>
      <w:pPr>
        <w:ind w:left="264" w:hanging="264"/>
        <w:spacing w:after="0"/>
        <w:tabs>
          <w:tab w:leader="none" w:pos="2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4" w:right="200" w:hanging="4"/>
        <w:spacing w:after="0" w:line="277" w:lineRule="auto"/>
        <w:tabs>
          <w:tab w:leader="none" w:pos="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63" w:name="page64"/>
    <w:bookmarkEnd w:id="63"/>
    <w:p>
      <w:pPr>
        <w:jc w:val="both"/>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87" w:lineRule="exact"/>
        <w:rPr>
          <w:sz w:val="20"/>
          <w:szCs w:val="20"/>
          <w:color w:val="auto"/>
        </w:rPr>
      </w:pPr>
    </w:p>
    <w:p>
      <w:pPr>
        <w:ind w:left="264" w:hanging="264"/>
        <w:spacing w:after="0"/>
        <w:tabs>
          <w:tab w:leader="none" w:pos="2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4" w:right="540" w:hanging="4"/>
        <w:spacing w:after="0" w:line="277" w:lineRule="auto"/>
        <w:tabs>
          <w:tab w:leader="none" w:pos="2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70" w:lineRule="exact"/>
        <w:rPr>
          <w:sz w:val="20"/>
          <w:szCs w:val="20"/>
          <w:color w:val="auto"/>
        </w:rPr>
      </w:pPr>
    </w:p>
    <w:p>
      <w:pPr>
        <w:ind w:left="4" w:right="220"/>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Funds; Indemnification</w:t>
      </w:r>
      <w:r>
        <w:rPr>
          <w:rFonts w:ascii="Arial" w:cs="Arial" w:eastAsia="Arial" w:hAnsi="Arial"/>
          <w:sz w:val="18"/>
          <w:szCs w:val="18"/>
          <w:color w:val="auto"/>
        </w:rPr>
        <w:t>.</w:t>
      </w:r>
    </w:p>
    <w:p>
      <w:pPr>
        <w:spacing w:after="0" w:line="225" w:lineRule="exact"/>
        <w:rPr>
          <w:sz w:val="20"/>
          <w:szCs w:val="20"/>
          <w:color w:val="auto"/>
        </w:rPr>
      </w:pPr>
    </w:p>
    <w:p>
      <w:pPr>
        <w:jc w:val="both"/>
        <w:ind w:left="4" w:hanging="4"/>
        <w:spacing w:after="0" w:line="293"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64" w:lineRule="exact"/>
        <w:rPr>
          <w:rFonts w:ascii="Arial" w:cs="Arial" w:eastAsia="Arial" w:hAnsi="Arial"/>
          <w:sz w:val="16"/>
          <w:szCs w:val="16"/>
          <w:color w:val="auto"/>
        </w:rPr>
      </w:pPr>
    </w:p>
    <w:p>
      <w:pPr>
        <w:ind w:left="4" w:right="240" w:hanging="4"/>
        <w:spacing w:after="0" w:line="263" w:lineRule="auto"/>
        <w:tabs>
          <w:tab w:leader="none" w:pos="2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83" w:lineRule="exact"/>
        <w:rPr>
          <w:rFonts w:ascii="Arial" w:cs="Arial" w:eastAsia="Arial" w:hAnsi="Arial"/>
          <w:sz w:val="18"/>
          <w:szCs w:val="18"/>
          <w:color w:val="auto"/>
        </w:rPr>
      </w:pPr>
    </w:p>
    <w:p>
      <w:pPr>
        <w:ind w:left="4" w:right="80" w:hanging="4"/>
        <w:spacing w:after="0" w:line="255"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r>
        <w:rPr>
          <w:rFonts w:ascii="Arial" w:cs="Arial" w:eastAsia="Arial" w:hAnsi="Arial"/>
          <w:sz w:val="18"/>
          <w:szCs w:val="18"/>
          <w:color w:val="auto"/>
        </w:rPr>
        <w:t>.</w:t>
      </w:r>
    </w:p>
    <w:p>
      <w:pPr>
        <w:spacing w:after="0" w:line="225"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57" w:lineRule="exact"/>
        <w:rPr>
          <w:sz w:val="20"/>
          <w:szCs w:val="20"/>
          <w:color w:val="auto"/>
        </w:rPr>
      </w:pPr>
    </w:p>
    <w:p>
      <w:pPr>
        <w:jc w:val="both"/>
        <w:ind w:left="4" w:right="40" w:hanging="4"/>
        <w:spacing w:after="0" w:line="279" w:lineRule="auto"/>
        <w:tabs>
          <w:tab w:leader="none" w:pos="24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64" w:name="page65"/>
    <w:bookmarkEnd w:id="64"/>
    <w:p>
      <w:pPr>
        <w:ind w:left="264" w:hanging="264"/>
        <w:spacing w:after="0"/>
        <w:tabs>
          <w:tab w:leader="none" w:pos="264"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Sections 2.4, 2.5, 2.7, 2.8, 7.7, 8.2, 8.3, 8.5 and 8.6; and</w:t>
      </w:r>
    </w:p>
    <w:p>
      <w:pPr>
        <w:spacing w:after="0" w:line="225" w:lineRule="exact"/>
        <w:rPr>
          <w:rFonts w:ascii="Arial" w:cs="Arial" w:eastAsia="Arial" w:hAnsi="Arial"/>
          <w:sz w:val="18"/>
          <w:szCs w:val="18"/>
          <w:color w:val="auto"/>
        </w:rPr>
      </w:pPr>
    </w:p>
    <w:p>
      <w:pPr>
        <w:ind w:left="4" w:right="1880" w:hanging="4"/>
        <w:spacing w:after="0" w:line="500" w:lineRule="auto"/>
        <w:tabs>
          <w:tab w:leader="none" w:pos="2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 provided that, the following conditions shall have been satisfied:</w:t>
      </w:r>
    </w:p>
    <w:p>
      <w:pPr>
        <w:spacing w:after="0" w:line="1" w:lineRule="exact"/>
        <w:rPr>
          <w:rFonts w:ascii="Arial" w:cs="Arial" w:eastAsia="Arial" w:hAnsi="Arial"/>
          <w:sz w:val="18"/>
          <w:szCs w:val="18"/>
          <w:color w:val="auto"/>
        </w:rPr>
      </w:pPr>
    </w:p>
    <w:p>
      <w:pPr>
        <w:ind w:left="4" w:right="140" w:hanging="4"/>
        <w:spacing w:after="0" w:line="270" w:lineRule="auto"/>
        <w:tabs>
          <w:tab w:leader="none" w:pos="25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80" w:lineRule="exact"/>
        <w:rPr>
          <w:rFonts w:ascii="Arial" w:cs="Arial" w:eastAsia="Arial" w:hAnsi="Arial"/>
          <w:sz w:val="17"/>
          <w:szCs w:val="17"/>
          <w:color w:val="auto"/>
        </w:rPr>
      </w:pPr>
    </w:p>
    <w:p>
      <w:pPr>
        <w:ind w:left="4" w:hanging="4"/>
        <w:spacing w:after="0" w:line="277" w:lineRule="auto"/>
        <w:tabs>
          <w:tab w:leader="none" w:pos="2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4" w:right="380" w:hanging="4"/>
        <w:spacing w:after="0" w:line="277" w:lineRule="auto"/>
        <w:tabs>
          <w:tab w:leader="none" w:pos="229"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ind w:left="4" w:right="20" w:hanging="4"/>
        <w:spacing w:after="0" w:line="273" w:lineRule="auto"/>
        <w:tabs>
          <w:tab w:leader="none" w:pos="25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77" w:lineRule="exact"/>
        <w:rPr>
          <w:rFonts w:ascii="Arial" w:cs="Arial" w:eastAsia="Arial" w:hAnsi="Arial"/>
          <w:sz w:val="17"/>
          <w:szCs w:val="17"/>
          <w:color w:val="auto"/>
        </w:rPr>
      </w:pPr>
    </w:p>
    <w:p>
      <w:pPr>
        <w:ind w:left="4" w:right="260" w:hanging="4"/>
        <w:spacing w:after="0" w:line="277" w:lineRule="auto"/>
        <w:tabs>
          <w:tab w:leader="none" w:pos="2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left="4" w:right="520" w:hanging="4"/>
        <w:spacing w:after="0" w:line="277" w:lineRule="auto"/>
        <w:tabs>
          <w:tab w:leader="none" w:pos="21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1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4"/>
          </w:cols>
          <w:pgMar w:left="436" w:top="274" w:right="539" w:bottom="1440" w:gutter="0" w:footer="0" w:header="0"/>
        </w:sectPr>
      </w:pPr>
    </w:p>
    <w:bookmarkStart w:id="65" w:name="page66"/>
    <w:bookmarkEnd w:id="65"/>
    <w:p>
      <w:pPr>
        <w:ind w:left="4" w:right="20" w:hanging="4"/>
        <w:spacing w:after="0" w:line="253" w:lineRule="auto"/>
        <w:tabs>
          <w:tab w:leader="none" w:pos="249"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94" w:lineRule="exact"/>
        <w:rPr>
          <w:rFonts w:ascii="Arial" w:cs="Arial" w:eastAsia="Arial" w:hAnsi="Arial"/>
          <w:sz w:val="18"/>
          <w:szCs w:val="18"/>
          <w:color w:val="auto"/>
        </w:rPr>
      </w:pPr>
    </w:p>
    <w:p>
      <w:pPr>
        <w:ind w:left="4" w:right="20" w:hanging="4"/>
        <w:spacing w:after="0" w:line="277" w:lineRule="auto"/>
        <w:tabs>
          <w:tab w:leader="none" w:pos="2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Securities of such Series shall have occurred and be continuing on the date of such deposit;</w:t>
      </w:r>
    </w:p>
    <w:p>
      <w:pPr>
        <w:spacing w:after="0" w:line="236" w:lineRule="exact"/>
        <w:rPr>
          <w:rFonts w:ascii="Arial" w:cs="Arial" w:eastAsia="Arial" w:hAnsi="Arial"/>
          <w:sz w:val="17"/>
          <w:szCs w:val="17"/>
          <w:color w:val="auto"/>
        </w:rPr>
      </w:pPr>
    </w:p>
    <w:p>
      <w:pPr>
        <w:ind w:left="4" w:hanging="4"/>
        <w:spacing w:after="0" w:line="293" w:lineRule="auto"/>
        <w:tabs>
          <w:tab w:leader="none" w:pos="25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164" w:lineRule="exact"/>
        <w:rPr>
          <w:rFonts w:ascii="Arial" w:cs="Arial" w:eastAsia="Arial" w:hAnsi="Arial"/>
          <w:sz w:val="16"/>
          <w:szCs w:val="16"/>
          <w:color w:val="auto"/>
        </w:rPr>
      </w:pPr>
    </w:p>
    <w:p>
      <w:pPr>
        <w:ind w:left="4" w:right="580" w:hanging="4"/>
        <w:spacing w:after="0" w:line="277" w:lineRule="auto"/>
        <w:tabs>
          <w:tab w:leader="none" w:pos="24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left="4" w:hanging="4"/>
        <w:spacing w:after="0" w:line="277" w:lineRule="auto"/>
        <w:tabs>
          <w:tab w:leader="none" w:pos="22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225"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4"/>
          </w:cols>
          <w:pgMar w:left="436" w:top="274" w:right="499" w:bottom="1440" w:gutter="0" w:footer="0" w:header="0"/>
        </w:sectPr>
      </w:pPr>
    </w:p>
    <w:bookmarkStart w:id="66" w:name="page67"/>
    <w:bookmarkEnd w:id="6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AMENDMENTS AND WAIVERS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and the Trustee may amend or supplement this Indenture or the Securities of one or more Series without the consent of any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Securityholder:</w:t>
      </w:r>
    </w:p>
    <w:p>
      <w:pPr>
        <w:spacing w:after="0" w:line="211" w:lineRule="exact"/>
        <w:rPr>
          <w:sz w:val="20"/>
          <w:szCs w:val="20"/>
          <w:color w:val="auto"/>
        </w:rPr>
      </w:pPr>
    </w:p>
    <w:p>
      <w:pPr>
        <w:ind w:left="244" w:hanging="244"/>
        <w:spacing w:after="0"/>
        <w:tabs>
          <w:tab w:leader="none" w:pos="2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cure any ambiguity, defect or inconsistency as evidenced by an Officer Certificate;</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Securities of any Series as permitted by this Indenture;</w:t>
      </w:r>
    </w:p>
    <w:p>
      <w:pPr>
        <w:spacing w:after="0" w:line="236" w:lineRule="exact"/>
        <w:rPr>
          <w:rFonts w:ascii="Arial" w:cs="Arial" w:eastAsia="Arial" w:hAnsi="Arial"/>
          <w:sz w:val="17"/>
          <w:szCs w:val="17"/>
          <w:color w:val="auto"/>
        </w:rPr>
      </w:pPr>
    </w:p>
    <w:p>
      <w:pPr>
        <w:jc w:val="both"/>
        <w:ind w:left="4" w:right="100" w:hanging="4"/>
        <w:spacing w:after="0" w:line="263" w:lineRule="auto"/>
        <w:tabs>
          <w:tab w:leader="none" w:pos="2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rFonts w:ascii="Arial" w:cs="Arial" w:eastAsia="Arial" w:hAnsi="Arial"/>
          <w:sz w:val="18"/>
          <w:szCs w:val="18"/>
          <w:color w:val="auto"/>
        </w:rPr>
      </w:pPr>
    </w:p>
    <w:p>
      <w:pPr>
        <w:ind w:left="4" w:right="440" w:hanging="4"/>
        <w:spacing w:after="0" w:line="286" w:lineRule="auto"/>
        <w:tabs>
          <w:tab w:leader="none" w:pos="219"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165" w:lineRule="exact"/>
        <w:rPr>
          <w:rFonts w:ascii="Arial" w:cs="Arial" w:eastAsia="Arial" w:hAnsi="Arial"/>
          <w:sz w:val="17"/>
          <w:szCs w:val="17"/>
          <w:color w:val="auto"/>
        </w:rPr>
      </w:pPr>
    </w:p>
    <w:p>
      <w:pPr>
        <w:ind w:left="4" w:right="40" w:hanging="4"/>
        <w:spacing w:after="0" w:line="277" w:lineRule="auto"/>
        <w:tabs>
          <w:tab w:leader="none" w:pos="30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conform any provision of this Indenture, in so far as it relates to the Securities of such Series, to the description of the Securities of such Series in the prospectus supplement relation to the offering of the Securities of such Series.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25"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0" w:right="479" w:bottom="1440" w:gutter="0" w:footer="0" w:header="0"/>
        </w:sectPr>
      </w:pPr>
    </w:p>
    <w:bookmarkStart w:id="67" w:name="page68"/>
    <w:bookmarkEnd w:id="67"/>
    <w:p>
      <w:pPr>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225" w:lineRule="exact"/>
        <w:rPr>
          <w:sz w:val="20"/>
          <w:szCs w:val="20"/>
          <w:color w:val="auto"/>
        </w:rPr>
      </w:pPr>
    </w:p>
    <w:p>
      <w:pPr>
        <w:ind w:left="244" w:hanging="244"/>
        <w:spacing w:after="0"/>
        <w:tabs>
          <w:tab w:leader="none" w:pos="2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left="4" w:right="520" w:hanging="4"/>
        <w:spacing w:after="0" w:line="277" w:lineRule="auto"/>
        <w:tabs>
          <w:tab w:leader="none" w:pos="2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ind w:left="4" w:right="180" w:hanging="4"/>
        <w:spacing w:after="0" w:line="263" w:lineRule="auto"/>
        <w:tabs>
          <w:tab w:leader="none" w:pos="2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3" w:lineRule="exact"/>
        <w:rPr>
          <w:rFonts w:ascii="Arial" w:cs="Arial" w:eastAsia="Arial" w:hAnsi="Arial"/>
          <w:sz w:val="18"/>
          <w:szCs w:val="18"/>
          <w:color w:val="auto"/>
        </w:rPr>
      </w:pPr>
    </w:p>
    <w:p>
      <w:pPr>
        <w:ind w:left="224" w:hanging="224"/>
        <w:spacing w:after="0"/>
        <w:tabs>
          <w:tab w:leader="none" w:pos="2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4"/>
          </w:cols>
          <w:pgMar w:left="436" w:top="274" w:right="499" w:bottom="1440" w:gutter="0" w:footer="0" w:header="0"/>
        </w:sectPr>
      </w:pPr>
    </w:p>
    <w:bookmarkStart w:id="68" w:name="page69"/>
    <w:bookmarkEnd w:id="68"/>
    <w:p>
      <w:pPr>
        <w:ind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Alector,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131 Oyster Point Boulevard,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69" w:name="page70"/>
    <w:bookmarkEnd w:id="6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Michael E. Coke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[__________]</w:t>
      </w:r>
    </w:p>
    <w:p>
      <w:pPr>
        <w:spacing w:after="0" w:line="211"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84"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the Company sends a notice or communication to Securityholders, it shall send a copy to the Trustee and each Agent at the same time.</w:t>
      </w:r>
    </w:p>
    <w:p>
      <w:pPr>
        <w:spacing w:after="0" w:line="225"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225"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Upon any request or application by the Company to the Trustee to take any action under this Indenture, the Company shall furnish to the Trustee:</w:t>
      </w:r>
    </w:p>
    <w:p>
      <w:pPr>
        <w:spacing w:after="0" w:line="237" w:lineRule="exact"/>
        <w:rPr>
          <w:sz w:val="20"/>
          <w:szCs w:val="20"/>
          <w:color w:val="auto"/>
        </w:rPr>
      </w:pPr>
    </w:p>
    <w:p>
      <w:pPr>
        <w:ind w:left="4" w:right="580" w:hanging="4"/>
        <w:spacing w:after="0" w:line="277" w:lineRule="auto"/>
        <w:tabs>
          <w:tab w:leader="none" w:pos="2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5424" w:right="3620" w:hanging="5424"/>
        <w:spacing w:after="0" w:line="449" w:lineRule="auto"/>
        <w:tabs>
          <w:tab w:leader="none" w:pos="2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 31</w:t>
      </w:r>
    </w:p>
    <w:p>
      <w:pPr>
        <w:sectPr>
          <w:pgSz w:w="11900" w:h="16838" w:orient="portrait"/>
          <w:cols w:equalWidth="0" w:num="1">
            <w:col w:w="10984"/>
          </w:cols>
          <w:pgMar w:left="436" w:top="274" w:right="479" w:bottom="1440" w:gutter="0" w:footer="0" w:header="0"/>
        </w:sectPr>
      </w:pPr>
    </w:p>
    <w:bookmarkStart w:id="70" w:name="page71"/>
    <w:bookmarkEnd w:id="70"/>
    <w:p>
      <w:pPr>
        <w:ind w:left="4" w:hanging="4"/>
        <w:spacing w:after="0" w:line="277" w:lineRule="auto"/>
        <w:tabs>
          <w:tab w:leader="none" w:pos="259"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4" w:right="180" w:hanging="4"/>
        <w:spacing w:after="0" w:line="277" w:lineRule="auto"/>
        <w:tabs>
          <w:tab w:leader="none" w:pos="2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22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Legal Holiday</w:t>
      </w:r>
      <w:r>
        <w:rPr>
          <w:rFonts w:ascii="Arial" w:cs="Arial" w:eastAsia="Arial" w:hAnsi="Arial"/>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jc w:val="both"/>
        <w:ind w:left="4" w:right="200"/>
        <w:spacing w:after="0" w:line="311" w:lineRule="auto"/>
        <w:rPr>
          <w:sz w:val="20"/>
          <w:szCs w:val="20"/>
          <w:color w:val="auto"/>
        </w:rPr>
      </w:pPr>
      <w:r>
        <w:rPr>
          <w:rFonts w:ascii="Arial" w:cs="Arial" w:eastAsia="Arial" w:hAnsi="Arial"/>
          <w:sz w:val="16"/>
          <w:szCs w:val="16"/>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 Waiver of Jury Trial; Consent to Jurisdiction</w:t>
      </w:r>
      <w:r>
        <w:rPr>
          <w:rFonts w:ascii="Arial" w:cs="Arial" w:eastAsia="Arial" w:hAnsi="Arial"/>
          <w:sz w:val="18"/>
          <w:szCs w:val="18"/>
          <w:color w:val="auto"/>
        </w:rPr>
        <w:t>.</w:t>
      </w:r>
    </w:p>
    <w:p>
      <w:pPr>
        <w:spacing w:after="0" w:line="329" w:lineRule="exact"/>
        <w:rPr>
          <w:sz w:val="20"/>
          <w:szCs w:val="20"/>
          <w:color w:val="auto"/>
        </w:rPr>
      </w:pPr>
    </w:p>
    <w:p>
      <w:pPr>
        <w:ind w:left="4" w:right="40"/>
        <w:spacing w:after="0" w:line="256"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83"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8"/>
          <w:szCs w:val="18"/>
          <w:i w:val="1"/>
          <w:iCs w:val="1"/>
          <w:color w:val="auto"/>
        </w:rPr>
        <w:t>Required</w:t>
      </w:r>
      <w:r>
        <w:rPr>
          <w:rFonts w:ascii="Arial" w:cs="Arial" w:eastAsia="Arial" w:hAnsi="Arial"/>
          <w:sz w:val="18"/>
          <w:szCs w:val="18"/>
          <w:color w:val="auto"/>
        </w:rPr>
        <w:t xml:space="preserve"> </w:t>
      </w:r>
      <w:r>
        <w:rPr>
          <w:rFonts w:ascii="Arial" w:cs="Arial" w:eastAsia="Arial" w:hAnsi="Arial"/>
          <w:sz w:val="18"/>
          <w:szCs w:val="18"/>
          <w:i w:val="1"/>
          <w:iCs w:val="1"/>
          <w:color w:val="auto"/>
        </w:rPr>
        <w:t>Currency</w:t>
      </w:r>
      <w:r>
        <w:rPr>
          <w:rFonts w:ascii="Arial" w:cs="Arial" w:eastAsia="Arial" w:hAnsi="Arial"/>
          <w:sz w:val="18"/>
          <w:szCs w:val="18"/>
          <w:color w:val="auto"/>
        </w:rPr>
        <w:t>”) into a currency in which a judgment will be rendered (the “</w:t>
      </w:r>
      <w:r>
        <w:rPr>
          <w:rFonts w:ascii="Arial" w:cs="Arial" w:eastAsia="Arial" w:hAnsi="Arial"/>
          <w:sz w:val="18"/>
          <w:szCs w:val="18"/>
          <w:i w:val="1"/>
          <w:iCs w:val="1"/>
          <w:color w:val="auto"/>
        </w:rPr>
        <w:t>Judgment Currency</w:t>
      </w:r>
      <w:r>
        <w:rPr>
          <w:rFonts w:ascii="Arial" w:cs="Arial" w:eastAsia="Arial" w:hAnsi="Arial"/>
          <w:sz w:val="18"/>
          <w:szCs w:val="18"/>
          <w:color w:val="auto"/>
        </w:rPr>
        <w:t>”), the rate of exchange used shall be the rate at which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72" w:name="page73"/>
    <w:bookmarkEnd w:id="7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Saturday, Sunday or a Legal Holiday in The City of New York on which banking institutions are authorized or required by law, regulation or executive order to close.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11.2. Each sinking fund payment shall be applied to the redemption of Securities of any Series as provided for by the terms of the Securities of such Series.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73" w:name="page74"/>
    <w:bookmarkEnd w:id="7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day and year first above written.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ALECTOR,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54455" cy="643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1354455" cy="64325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Professional Corporation</w:t>
      </w:r>
    </w:p>
    <w:p>
      <w:pPr>
        <w:spacing w:after="0" w:line="1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Palo Alto, California 94304-1050</w:t>
      </w:r>
    </w:p>
    <w:p>
      <w:pPr>
        <w:spacing w:after="0" w:line="116"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(650) 493-9300</w:t>
      </w:r>
    </w:p>
    <w:p>
      <w:pPr>
        <w:spacing w:after="0" w:line="35"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(650) 493-6811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Alector,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131 Oyster Point Boulevard,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3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Alector, Inc. – 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opinion is furnished to you in connection with the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that Alector, Inc.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is filing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 February 28, 2023 for the purpose of registering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 shares of the Company’s common stock, $0.0001 par value per share (the “</w:t>
      </w:r>
      <w:r>
        <w:rPr>
          <w:rFonts w:ascii="Arial" w:cs="Arial" w:eastAsia="Arial" w:hAnsi="Arial"/>
          <w:sz w:val="16"/>
          <w:szCs w:val="16"/>
          <w:b w:val="1"/>
          <w:bCs w:val="1"/>
          <w:color w:val="auto"/>
        </w:rPr>
        <w:t>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w:t>
      </w:r>
      <w:r>
        <w:rPr>
          <w:rFonts w:ascii="Arial" w:cs="Arial" w:eastAsia="Arial" w:hAnsi="Arial"/>
          <w:sz w:val="16"/>
          <w:szCs w:val="16"/>
          <w:color w:val="auto"/>
        </w:rPr>
        <w:t>”); (ii) shares of the Company’s preferred stock, $0.0001 par value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(iii) debt securities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Securities</w:t>
      </w:r>
      <w:r>
        <w:rPr>
          <w:rFonts w:ascii="Arial" w:cs="Arial" w:eastAsia="Arial" w:hAnsi="Arial"/>
          <w:sz w:val="17"/>
          <w:szCs w:val="17"/>
          <w:color w:val="auto"/>
        </w:rPr>
        <w:t>”), which may be issued pursuant to an indenture, between the Company and a trustee to be named therein (the “</w:t>
      </w:r>
      <w:r>
        <w:rPr>
          <w:rFonts w:ascii="Arial" w:cs="Arial" w:eastAsia="Arial" w:hAnsi="Arial"/>
          <w:sz w:val="17"/>
          <w:szCs w:val="17"/>
          <w:b w:val="1"/>
          <w:bCs w:val="1"/>
          <w:color w:val="auto"/>
        </w:rPr>
        <w:t>Trustee</w:t>
      </w:r>
      <w:r>
        <w:rPr>
          <w:rFonts w:ascii="Arial" w:cs="Arial" w:eastAsia="Arial" w:hAnsi="Arial"/>
          <w:sz w:val="17"/>
          <w:szCs w:val="17"/>
          <w:color w:val="auto"/>
        </w:rPr>
        <w: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(iv) warrants of the Company (the “</w:t>
      </w:r>
      <w:r>
        <w:rPr>
          <w:rFonts w:ascii="Arial" w:cs="Arial" w:eastAsia="Arial" w:hAnsi="Arial"/>
          <w:sz w:val="17"/>
          <w:szCs w:val="17"/>
          <w:b w:val="1"/>
          <w:bCs w:val="1"/>
          <w:color w:val="auto"/>
        </w:rPr>
        <w:t>Warrants</w:t>
      </w:r>
      <w:r>
        <w:rPr>
          <w:rFonts w:ascii="Arial" w:cs="Arial" w:eastAsia="Arial" w:hAnsi="Arial"/>
          <w:sz w:val="17"/>
          <w:szCs w:val="17"/>
          <w:color w:val="auto"/>
        </w:rPr>
        <w:t>”), which may be issued pursuant to a warrant agreement (the “</w:t>
      </w:r>
      <w:r>
        <w:rPr>
          <w:rFonts w:ascii="Arial" w:cs="Arial" w:eastAsia="Arial" w:hAnsi="Arial"/>
          <w:sz w:val="17"/>
          <w:szCs w:val="17"/>
          <w:b w:val="1"/>
          <w:bCs w:val="1"/>
          <w:color w:val="auto"/>
        </w:rPr>
        <w:t>Warrant Agreement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between the Company and the warrant agent to be named therein (the “</w:t>
      </w:r>
      <w:r>
        <w:rPr>
          <w:rFonts w:ascii="Arial" w:cs="Arial" w:eastAsia="Arial" w:hAnsi="Arial"/>
          <w:sz w:val="16"/>
          <w:szCs w:val="16"/>
          <w:b w:val="1"/>
          <w:bCs w:val="1"/>
          <w:color w:val="auto"/>
        </w:rPr>
        <w:t>Warrant Agent</w:t>
      </w:r>
      <w:r>
        <w:rPr>
          <w:rFonts w:ascii="Arial" w:cs="Arial" w:eastAsia="Arial" w:hAnsi="Arial"/>
          <w:sz w:val="16"/>
          <w:szCs w:val="16"/>
          <w:color w:val="auto"/>
        </w:rPr>
        <w:t>”); (v) purchase contracts (the “</w:t>
      </w:r>
      <w:r>
        <w:rPr>
          <w:rFonts w:ascii="Arial" w:cs="Arial" w:eastAsia="Arial" w:hAnsi="Arial"/>
          <w:sz w:val="16"/>
          <w:szCs w:val="16"/>
          <w:b w:val="1"/>
          <w:bCs w:val="1"/>
          <w:color w:val="auto"/>
        </w:rPr>
        <w:t>Purchase Contracts</w:t>
      </w:r>
      <w:r>
        <w:rPr>
          <w:rFonts w:ascii="Arial" w:cs="Arial" w:eastAsia="Arial" w:hAnsi="Arial"/>
          <w:sz w:val="16"/>
          <w:szCs w:val="16"/>
          <w:color w:val="auto"/>
        </w:rPr>
        <w: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issued under one or more purchase contract agreements (each such Purchase Contract, a “</w:t>
      </w:r>
      <w:r>
        <w:rPr>
          <w:rFonts w:ascii="Arial" w:cs="Arial" w:eastAsia="Arial" w:hAnsi="Arial"/>
          <w:sz w:val="16"/>
          <w:szCs w:val="16"/>
          <w:b w:val="1"/>
          <w:bCs w:val="1"/>
          <w:color w:val="auto"/>
        </w:rPr>
        <w:t>Purchase Contract Agreement</w:t>
      </w:r>
      <w:r>
        <w:rPr>
          <w:rFonts w:ascii="Arial" w:cs="Arial" w:eastAsia="Arial" w:hAnsi="Arial"/>
          <w:sz w:val="16"/>
          <w:szCs w:val="16"/>
          <w:color w:val="auto"/>
        </w:rPr>
        <w:t>”) to be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the Company and the purchase contract agent to be named therein (the “</w:t>
      </w:r>
      <w:r>
        <w:rPr>
          <w:rFonts w:ascii="Arial" w:cs="Arial" w:eastAsia="Arial" w:hAnsi="Arial"/>
          <w:sz w:val="16"/>
          <w:szCs w:val="16"/>
          <w:b w:val="1"/>
          <w:bCs w:val="1"/>
          <w:color w:val="auto"/>
        </w:rPr>
        <w:t>Purchase Contract Agent</w:t>
      </w:r>
      <w:r>
        <w:rPr>
          <w:rFonts w:ascii="Arial" w:cs="Arial" w:eastAsia="Arial" w:hAnsi="Arial"/>
          <w:sz w:val="16"/>
          <w:szCs w:val="16"/>
          <w:color w:val="auto"/>
        </w:rPr>
        <w:t>”); and (vi) units (the “</w:t>
      </w:r>
      <w:r>
        <w:rPr>
          <w:rFonts w:ascii="Arial" w:cs="Arial" w:eastAsia="Arial" w:hAnsi="Arial"/>
          <w:sz w:val="16"/>
          <w:szCs w:val="16"/>
          <w:b w:val="1"/>
          <w:bCs w:val="1"/>
          <w:color w:val="auto"/>
        </w:rPr>
        <w:t>Units</w:t>
      </w:r>
      <w:r>
        <w:rPr>
          <w:rFonts w:ascii="Arial" w:cs="Arial" w:eastAsia="Arial" w:hAnsi="Arial"/>
          <w:sz w:val="16"/>
          <w:szCs w:val="16"/>
          <w:color w:val="auto"/>
        </w:rPr>
        <w:t>”) to be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and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of the Units (each such unit agreement, a “</w:t>
      </w:r>
      <w:r>
        <w:rPr>
          <w:rFonts w:ascii="Arial" w:cs="Arial" w:eastAsia="Arial" w:hAnsi="Arial"/>
          <w:sz w:val="18"/>
          <w:szCs w:val="18"/>
          <w:b w:val="1"/>
          <w:bCs w:val="1"/>
          <w:color w:val="auto"/>
        </w:rPr>
        <w:t>Unit Agreement</w:t>
      </w:r>
      <w:r>
        <w:rPr>
          <w:rFonts w:ascii="Arial" w:cs="Arial" w:eastAsia="Arial" w:hAnsi="Arial"/>
          <w:sz w:val="18"/>
          <w:szCs w:val="18"/>
          <w:color w:val="auto"/>
        </w:rPr>
        <w:t>”).</w:t>
      </w:r>
    </w:p>
    <w:p>
      <w:pPr>
        <w:spacing w:after="0" w:line="21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We are acting as counsel for the Company in connection with the issuance and sale of the Common Stock, Preferred Stock, Debt Securities, Warrants, Purchase Contracts and Units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92"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We express no opinion herein as to the laws of any state or jurisdiction other than the General Corporation Law of the State of Delaware</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(including the statutory provisions and all applicable judicial decisions interpreting those laws) and the federal laws of the United States of America.</w:t>
      </w:r>
    </w:p>
    <w:p>
      <w:pPr>
        <w:sectPr>
          <w:pgSz w:w="11900" w:h="16838" w:orient="portrait"/>
          <w:cols w:equalWidth="0" w:num="1">
            <w:col w:w="11020"/>
          </w:cols>
          <w:pgMar w:left="440" w:top="121"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96925" cy="386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96925" cy="386080"/>
                    </a:xfrm>
                    <a:prstGeom prst="rect">
                      <a:avLst/>
                    </a:prstGeom>
                    <a:noFill/>
                  </pic:spPr>
                </pic:pic>
              </a:graphicData>
            </a:graphic>
          </wp:anchor>
        </w:drawing>
        <w:t>February 28,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we advise you that, in our opinion:</w:t>
      </w:r>
    </w:p>
    <w:p>
      <w:pPr>
        <w:spacing w:after="0" w:line="131" w:lineRule="exact"/>
        <w:rPr>
          <w:sz w:val="20"/>
          <w:szCs w:val="20"/>
          <w:color w:val="auto"/>
        </w:rPr>
      </w:pPr>
    </w:p>
    <w:p>
      <w:pPr>
        <w:ind w:left="960" w:hanging="532"/>
        <w:spacing w:after="0" w:line="272" w:lineRule="auto"/>
        <w:tabs>
          <w:tab w:leader="none" w:pos="9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Arial" w:cs="Arial" w:eastAsia="Arial" w:hAnsi="Arial"/>
          <w:sz w:val="17"/>
          <w:szCs w:val="17"/>
          <w:b w:val="1"/>
          <w:bCs w:val="1"/>
          <w:color w:val="auto"/>
        </w:rPr>
        <w:t>Offered Security</w:t>
      </w:r>
      <w:r>
        <w:rPr>
          <w:rFonts w:ascii="Arial" w:cs="Arial" w:eastAsia="Arial" w:hAnsi="Arial"/>
          <w:sz w:val="17"/>
          <w:szCs w:val="17"/>
          <w:color w:val="auto"/>
        </w:rPr>
        <w:t>”), in accordance with terms of such Offered Security or the instrument governing such Offered Security providing for such conversion or exercise as approved by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for the consideration approved by the Board (which consideration is not less than the par value of the Common Stock), such shares of Common Stock will be validly issued, fully-paid and non-assessable.</w:t>
      </w:r>
    </w:p>
    <w:p>
      <w:pPr>
        <w:spacing w:after="0" w:line="82" w:lineRule="exact"/>
        <w:rPr>
          <w:rFonts w:ascii="Arial" w:cs="Arial" w:eastAsia="Arial" w:hAnsi="Arial"/>
          <w:sz w:val="17"/>
          <w:szCs w:val="17"/>
          <w:color w:val="auto"/>
        </w:rPr>
      </w:pPr>
    </w:p>
    <w:p>
      <w:pPr>
        <w:ind w:left="960" w:hanging="532"/>
        <w:spacing w:after="0" w:line="25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designation of the relative rights, preferences and limitations of any series of Preferred Stock by the Board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97" w:lineRule="exact"/>
        <w:rPr>
          <w:rFonts w:ascii="Arial" w:cs="Arial" w:eastAsia="Arial" w:hAnsi="Arial"/>
          <w:sz w:val="18"/>
          <w:szCs w:val="18"/>
          <w:color w:val="auto"/>
        </w:rPr>
      </w:pPr>
    </w:p>
    <w:p>
      <w:pPr>
        <w:ind w:left="960" w:right="120" w:hanging="532"/>
        <w:spacing w:after="0" w:line="296" w:lineRule="auto"/>
        <w:tabs>
          <w:tab w:leader="none" w:pos="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When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66" w:lineRule="exact"/>
        <w:rPr>
          <w:rFonts w:ascii="Arial" w:cs="Arial" w:eastAsia="Arial" w:hAnsi="Arial"/>
          <w:sz w:val="16"/>
          <w:szCs w:val="16"/>
          <w:color w:val="auto"/>
        </w:rPr>
      </w:pPr>
    </w:p>
    <w:p>
      <w:pPr>
        <w:ind w:left="960" w:right="80" w:hanging="532"/>
        <w:spacing w:after="0" w:line="293" w:lineRule="auto"/>
        <w:tabs>
          <w:tab w:leader="none" w:pos="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69" w:lineRule="exact"/>
        <w:rPr>
          <w:rFonts w:ascii="Arial" w:cs="Arial" w:eastAsia="Arial" w:hAnsi="Arial"/>
          <w:sz w:val="16"/>
          <w:szCs w:val="16"/>
          <w:color w:val="auto"/>
        </w:rPr>
      </w:pPr>
    </w:p>
    <w:p>
      <w:pPr>
        <w:ind w:left="960" w:hanging="532"/>
        <w:spacing w:after="0" w:line="272" w:lineRule="auto"/>
        <w:tabs>
          <w:tab w:leader="none" w:pos="9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0960"/>
          </w:cols>
          <w:pgMar w:left="440" w:top="989" w:right="499" w:bottom="1440" w:gutter="0" w:footer="0" w:header="0"/>
        </w:sectPr>
      </w:pPr>
    </w:p>
    <w:bookmarkStart w:id="76" w:name="page77"/>
    <w:bookmarkEnd w:id="7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96925" cy="386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96925" cy="386080"/>
                    </a:xfrm>
                    <a:prstGeom prst="rect">
                      <a:avLst/>
                    </a:prstGeom>
                    <a:noFill/>
                  </pic:spPr>
                </pic:pic>
              </a:graphicData>
            </a:graphic>
          </wp:anchor>
        </w:drawing>
        <w:t>February 28, 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964" w:hanging="532"/>
        <w:spacing w:after="0" w:line="273" w:lineRule="auto"/>
        <w:tabs>
          <w:tab w:leader="none" w:pos="964" w:val="left"/>
        </w:tabs>
        <w:numPr>
          <w:ilvl w:val="0"/>
          <w:numId w:val="72"/>
        </w:numPr>
        <w:rPr>
          <w:rFonts w:ascii="Arial" w:cs="Arial" w:eastAsia="Arial" w:hAnsi="Arial"/>
          <w:sz w:val="17"/>
          <w:szCs w:val="17"/>
          <w:color w:val="auto"/>
        </w:rPr>
      </w:pPr>
      <w:r>
        <w:rPr>
          <w:rFonts w:ascii="Arial" w:cs="Arial" w:eastAsia="Arial" w:hAnsi="Arial"/>
          <w:sz w:val="17"/>
          <w:szCs w:val="17"/>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78" w:lineRule="exact"/>
        <w:rPr>
          <w:sz w:val="20"/>
          <w:szCs w:val="20"/>
          <w:color w:val="auto"/>
        </w:rPr>
      </w:pPr>
    </w:p>
    <w:p>
      <w:pPr>
        <w:jc w:val="both"/>
        <w:ind w:left="4" w:right="180" w:firstLine="440"/>
        <w:spacing w:after="0" w:line="287"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shall have duly established the terms of such security and duly authorized the issuance and sale of such security and such authorization shall not have been modified or rescinded; (ii) the Company shall remain validly existing as a corporation in good standing under the laws of the State of Delaware;</w:t>
      </w:r>
    </w:p>
    <w:p>
      <w:pPr>
        <w:spacing w:after="0" w:line="2" w:lineRule="exact"/>
        <w:rPr>
          <w:sz w:val="20"/>
          <w:szCs w:val="20"/>
          <w:color w:val="auto"/>
        </w:rPr>
      </w:pPr>
    </w:p>
    <w:p>
      <w:pPr>
        <w:ind w:left="4" w:right="80" w:hanging="4"/>
        <w:spacing w:after="0" w:line="288" w:lineRule="auto"/>
        <w:tabs>
          <w:tab w:leader="none" w:pos="319"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Registration Statement shall have become effective and such effectiveness shall not have been terminated or rescinded; (iv) the Purchase Contract Agreement, the Purchase Agreements, the Unit Agreement, the Units, the Warrant Agreement, the Warrants, the Indenture and the Debt Securities are each valid, binding and enforceable agreements of each party thereto (other than as expressly covered above in respect of the Company); and (v) there shall not have occurred any change in law affecting the validity or enforceability of such security. We have also assumed that none of the terms of any security to be established subsequent to the date hereof, the issuance and delivery of such security 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68"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We hereby consent to the filing of this opinion as an exhibit to the Registration Statement referred to above, for incorporation by reference into the Registration Statement, and to the use of our name wherever it appears in the Registration Statement, and in any amendment or supplement thereto.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WILSON SONSINI GOODRICH &amp; ROSATI</w:t>
      </w:r>
    </w:p>
    <w:p>
      <w:pPr>
        <w:spacing w:after="0" w:line="2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Wilson Sonsini Goodrich &amp; Rosati P.C.</w:t>
      </w:r>
    </w:p>
    <w:p>
      <w:pPr>
        <w:sectPr>
          <w:pgSz w:w="11900" w:h="16838" w:orient="portrait"/>
          <w:cols w:equalWidth="0" w:num="1">
            <w:col w:w="11004"/>
          </w:cols>
          <w:pgMar w:left="436" w:top="989" w:right="4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Alector, Inc. for the registration of debt securities, common stock, preferred stock, warrants, purchase contracts, and units and to the incorporation by reference therein of our reports dated February 28, 2023, with respect to the consolidated financial statements of Alector, Inc. and the effectiveness of internal control over financial reporting of Alector, Inc. included in its Annual Report (Form 10-K) for the year ended December 31, 2022,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020"/>
          </w:cols>
          <w:pgMar w:left="440" w:top="121" w:right="4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Alector,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 Newly Registered and Carry Forward Securities</w:t>
      </w:r>
    </w:p>
    <w:p>
      <w:pPr>
        <w:spacing w:after="0" w:line="250" w:lineRule="exact"/>
        <w:rPr>
          <w:sz w:val="20"/>
          <w:szCs w:val="20"/>
          <w:color w:val="auto"/>
        </w:rPr>
      </w:pPr>
    </w:p>
    <w:tbl>
      <w:tblPr>
        <w:tblLayout w:type="fixed"/>
        <w:tblInd w:w="54" w:type="dxa"/>
        <w:tblCellMar>
          <w:top w:w="0" w:type="dxa"/>
          <w:left w:w="0" w:type="dxa"/>
          <w:bottom w:w="0" w:type="dxa"/>
          <w:right w:w="0" w:type="dxa"/>
        </w:tblCellMar>
      </w:tblPr>
      <w:tr>
        <w:trPr>
          <w:trHeight w:val="144"/>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Filing Fee</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Previously</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Carry</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Paid In</w:t>
            </w:r>
          </w:p>
        </w:tc>
        <w:tc>
          <w:tcPr>
            <w:tcW w:w="0" w:type="dxa"/>
            <w:vAlign w:val="bottom"/>
          </w:tcPr>
          <w:p>
            <w:pPr>
              <w:spacing w:after="0"/>
              <w:rPr>
                <w:sz w:val="1"/>
                <w:szCs w:val="1"/>
                <w:color w:val="auto"/>
              </w:rPr>
            </w:pPr>
          </w:p>
        </w:tc>
      </w:tr>
      <w:tr>
        <w:trPr>
          <w:trHeight w:val="126"/>
        </w:trPr>
        <w:tc>
          <w:tcPr>
            <w:tcW w:w="9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0"/>
              </w:rPr>
              <w:t>Fee</w:t>
            </w:r>
          </w:p>
        </w:tc>
        <w:tc>
          <w:tcPr>
            <w:tcW w:w="6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3"/>
              </w:rPr>
              <w:t>Proposed</w:t>
            </w:r>
          </w:p>
        </w:tc>
        <w:tc>
          <w:tcPr>
            <w:tcW w:w="13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6"/>
              </w:rPr>
              <w:t>Connection</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Carry</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Carry</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with Unsold</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or Carry</w:t>
            </w: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Forward</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Initial</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Securities to</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Security</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Class</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Form</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File</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Effective</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be Carried</w:t>
            </w:r>
          </w:p>
        </w:tc>
        <w:tc>
          <w:tcPr>
            <w:tcW w:w="0" w:type="dxa"/>
            <w:vAlign w:val="bottom"/>
          </w:tcPr>
          <w:p>
            <w:pPr>
              <w:spacing w:after="0"/>
              <w:rPr>
                <w:sz w:val="1"/>
                <w:szCs w:val="1"/>
                <w:color w:val="auto"/>
              </w:rPr>
            </w:pPr>
          </w:p>
        </w:tc>
      </w:tr>
      <w:tr>
        <w:trPr>
          <w:trHeight w:val="174"/>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Fee</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Type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Forward</w:t>
            </w:r>
          </w:p>
        </w:tc>
        <w:tc>
          <w:tcPr>
            <w:tcW w:w="0" w:type="dxa"/>
            <w:vAlign w:val="bottom"/>
          </w:tcPr>
          <w:p>
            <w:pPr>
              <w:spacing w:after="0"/>
              <w:rPr>
                <w:sz w:val="1"/>
                <w:szCs w:val="1"/>
                <w:color w:val="auto"/>
              </w:rPr>
            </w:pPr>
          </w:p>
        </w:tc>
      </w:tr>
      <w:tr>
        <w:trPr>
          <w:trHeight w:val="231"/>
        </w:trPr>
        <w:tc>
          <w:tcPr>
            <w:tcW w:w="96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w w:val="96"/>
              </w:rPr>
              <w:t>Newly Registered Securities</w:t>
            </w:r>
          </w:p>
        </w:tc>
        <w:tc>
          <w:tcPr>
            <w:tcW w:w="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7"/>
              </w:rPr>
              <w:t>Fees to Be</w:t>
            </w: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8"/>
              </w:rPr>
              <w:t>Paid</w:t>
            </w: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$0.0001</w:t>
            </w: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par value</w:t>
            </w: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Rule 457(o)</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Borders>
              <w:left w:val="single" w:sz="8" w:color="auto"/>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Preferred</w:t>
            </w:r>
          </w:p>
        </w:tc>
        <w:tc>
          <w:tcPr>
            <w:tcW w:w="9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$0.0001</w:t>
            </w: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par value</w:t>
            </w: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Rule 457(o)</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Borders>
              <w:left w:val="single" w:sz="8" w:color="auto"/>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Debt</w:t>
            </w:r>
          </w:p>
        </w:tc>
        <w:tc>
          <w:tcPr>
            <w:tcW w:w="9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Securities</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Rule 457(o)</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tcBorders>
              <w:left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Rule 457(o)</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8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960" w:type="dxa"/>
            <w:vAlign w:val="bottom"/>
            <w:tcBorders>
              <w:left w:val="single" w:sz="8" w:color="auto"/>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Purchase</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Contracts</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Rule 457(o)</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tcBorders>
              <w:left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Units(3)</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Rule 457(o)</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8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Rule 457(o)</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$44,080</w:t>
            </w:r>
          </w:p>
        </w:tc>
        <w:tc>
          <w:tcPr>
            <w:tcW w:w="6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4"/>
              </w:rPr>
              <w:t>Fees</w:t>
            </w: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Previously</w:t>
            </w: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96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8"/>
              </w:rPr>
              <w:t>Paid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Carry Forward Securities</w:t>
            </w:r>
          </w:p>
        </w:tc>
        <w:tc>
          <w:tcPr>
            <w:tcW w:w="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5"/>
              </w:rPr>
              <w:t>Carry</w:t>
            </w: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Forward</w:t>
            </w: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Securities</w:t>
            </w: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$0.0001</w:t>
            </w:r>
          </w:p>
        </w:tc>
        <w:tc>
          <w:tcPr>
            <w:tcW w:w="9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par value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Rule 457(o)</w:t>
            </w: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Rule 457(p)</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$150,000,000(4)</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0.0001298</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424B5</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3"/>
              </w:rPr>
              <w:t>333-238230</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May 13, 2020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$19,470</w:t>
            </w: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Total Offering Amounts</w:t>
            </w: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$44,080</w:t>
            </w:r>
          </w:p>
        </w:tc>
        <w:tc>
          <w:tcPr>
            <w:tcW w:w="6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Total Fees Previously Paid</w:t>
            </w: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c>
          <w:tcPr>
            <w:tcW w:w="6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Total Fee Offsets</w:t>
            </w: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$19,470</w:t>
            </w:r>
          </w:p>
        </w:tc>
        <w:tc>
          <w:tcPr>
            <w:tcW w:w="6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Net Fee Due</w:t>
            </w:r>
          </w:p>
        </w:tc>
        <w:tc>
          <w:tcPr>
            <w:tcW w:w="6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$24,610</w:t>
            </w:r>
          </w:p>
        </w:tc>
        <w:tc>
          <w:tcPr>
            <w:tcW w:w="6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40" w:hanging="424"/>
        <w:spacing w:after="0" w:line="268" w:lineRule="auto"/>
        <w:tabs>
          <w:tab w:leader="none" w:pos="424"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indeterminate aggregate initial offering price or number of the securities of each identified class is being registered as may from time to time be issued at indeterminate prices. Separate consideration may not be received for registered securities that are issuable upon the exercise, conversion or exchange of other securities. Pursuant to Rule 416 under the Securities Act of 1933, as amended, or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aggregate maximum offering price of all securities issued under this Registration Statement will not exceed $400,000,000.</w:t>
      </w:r>
    </w:p>
    <w:p>
      <w:pPr>
        <w:ind w:left="424" w:right="100" w:hanging="424"/>
        <w:spacing w:after="0" w:line="250" w:lineRule="auto"/>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pursuant to General Instruction II.D. of Form S-3 under the Securities Act. Separate consideration may or may not be received for securities that are issuable on exercise, conversion or exchange of other securities, or that are issued in units.</w:t>
      </w:r>
    </w:p>
    <w:p>
      <w:pPr>
        <w:spacing w:after="0" w:line="1" w:lineRule="exact"/>
        <w:rPr>
          <w:rFonts w:ascii="Arial" w:cs="Arial" w:eastAsia="Arial" w:hAnsi="Arial"/>
          <w:sz w:val="18"/>
          <w:szCs w:val="18"/>
          <w:color w:val="auto"/>
        </w:rPr>
      </w:pPr>
    </w:p>
    <w:p>
      <w:pPr>
        <w:ind w:left="424" w:right="460" w:hanging="424"/>
        <w:spacing w:after="0" w:line="250" w:lineRule="auto"/>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Consisting of some or all of the securities listed above, in any combination, including common stock, preferred stock, warrants and purchase contracts.</w:t>
      </w:r>
    </w:p>
    <w:p>
      <w:pPr>
        <w:ind w:left="424" w:right="20" w:hanging="424"/>
        <w:spacing w:after="0" w:line="252" w:lineRule="auto"/>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Pursuant Rule 457(p) under the Securities Act, the Registrant hereby offsets $19,470 of the total registration fee due under this Registration Statement by the amount of the filing fee associated with the unsold securities from the Registrant’s Prospectus Supplement to its prior Registration Statement (File No. 333-238230), filed on May 13, 2020 registering common stock for a maximum aggregate offering price of $150,000,000, the entire amount of which remains unsold as of the filing date of this Registration Statement, and which the Registrant has terminated such offering. Pursuant to Rule 457(p), the associated filing fee of $19,470 is hereby used to offset the current registration fee due. As a result, a filing fee of $24,610 is being paid herewith.</w:t>
      </w:r>
    </w:p>
    <w:sectPr>
      <w:pgSz w:w="11900" w:h="16838" w:orient="portrait"/>
      <w:cols w:equalWidth="0" w:num="1">
        <w:col w:w="11024"/>
      </w:cols>
      <w:pgMar w:left="436" w:top="121" w:right="439" w:bottom="100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lowerRoman"/>
      <w:start w:val="2"/>
    </w:lvl>
  </w:abstractNum>
  <w:abstractNum w:abstractNumId="23">
    <w:nsid w:val="684A481A"/>
    <w:multiLevelType w:val="hybridMultilevel"/>
    <w:lvl w:ilvl="0">
      <w:lvlJc w:val="left"/>
      <w:lvlText w:val="(%1)"/>
      <w:numFmt w:val="decimal"/>
      <w:start w:val="2"/>
    </w:lvl>
  </w:abstractNum>
  <w:abstractNum w:abstractNumId="24">
    <w:nsid w:val="579478FE"/>
    <w:multiLevelType w:val="hybridMultilevel"/>
    <w:lvl w:ilvl="0">
      <w:lvlJc w:val="left"/>
      <w:lvlText w:val="(%1)"/>
      <w:numFmt w:val="upperLetter"/>
      <w:start w:val="1"/>
    </w:lvl>
  </w:abstractNum>
  <w:abstractNum w:abstractNumId="25">
    <w:nsid w:val="749ABB43"/>
    <w:multiLevelType w:val="hybridMultilevel"/>
    <w:lvl w:ilvl="0">
      <w:lvlJc w:val="left"/>
      <w:lvlText w:val="(%1)"/>
      <w:numFmt w:val="decimal"/>
      <w:start w:val="5"/>
    </w:lvl>
  </w:abstractNum>
  <w:abstractNum w:abstractNumId="26">
    <w:nsid w:val="3DC240FB"/>
    <w:multiLevelType w:val="hybridMultilevel"/>
    <w:lvl w:ilvl="0">
      <w:lvlJc w:val="left"/>
      <w:lvlText w:val="(%1)"/>
      <w:numFmt w:val="lowerRoman"/>
      <w:start w:val="1"/>
    </w:lvl>
  </w:abstractNum>
  <w:abstractNum w:abstractNumId="27">
    <w:nsid w:val="1BA026FA"/>
    <w:multiLevelType w:val="hybridMultilevel"/>
    <w:lvl w:ilvl="0">
      <w:lvlJc w:val="left"/>
      <w:lvlText w:val="(%1)"/>
      <w:numFmt w:val="decimal"/>
      <w:start w:val="6"/>
    </w:lvl>
  </w:abstractNum>
  <w:abstractNum w:abstractNumId="28">
    <w:nsid w:val="79A1DEAA"/>
    <w:multiLevelType w:val="hybridMultilevel"/>
    <w:lvl w:ilvl="0">
      <w:lvlJc w:val="left"/>
      <w:lvlText w:val="(%1)"/>
      <w:numFmt w:val="lowerLetter"/>
      <w:start w:val="2"/>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1)"/>
      <w:numFmt w:val="lowerLetter"/>
      <w:start w:val="1"/>
    </w:lvl>
  </w:abstractNum>
  <w:abstractNum w:abstractNumId="31">
    <w:nsid w:val="70C6A529"/>
    <w:multiLevelType w:val="hybridMultilevel"/>
    <w:lvl w:ilvl="0">
      <w:lvlJc w:val="left"/>
      <w:lvlText w:val="(%1)"/>
      <w:numFmt w:val="lowerLetter"/>
      <w:start w:val="2"/>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lowerLetter"/>
      <w:start w:val="6"/>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1)"/>
      <w:numFmt w:val="lowerLetter"/>
      <w:start w:val="2"/>
    </w:lvl>
  </w:abstractNum>
  <w:abstractNum w:abstractNumId="37">
    <w:nsid w:val="275AC794"/>
    <w:multiLevelType w:val="hybridMultilevel"/>
    <w:lvl w:ilvl="0">
      <w:lvlJc w:val="left"/>
      <w:lvlText w:val="(%1)"/>
      <w:numFmt w:val="lowerLetter"/>
      <w:start w:val="4"/>
    </w:lvl>
  </w:abstractNum>
  <w:abstractNum w:abstractNumId="38">
    <w:nsid w:val="39386575"/>
    <w:multiLevelType w:val="hybridMultilevel"/>
    <w:lvl w:ilvl="0">
      <w:lvlJc w:val="left"/>
      <w:lvlText w:val="(%1)"/>
      <w:numFmt w:val="lowerRoman"/>
      <w:start w:val="1"/>
    </w:lvl>
  </w:abstractNum>
  <w:abstractNum w:abstractNumId="39">
    <w:nsid w:val="1CF10FD8"/>
    <w:multiLevelType w:val="hybridMultilevel"/>
    <w:lvl w:ilvl="0">
      <w:lvlJc w:val="left"/>
      <w:lvlText w:val="(%1)"/>
      <w:numFmt w:val="lowerLetter"/>
      <w:start w:val="5"/>
    </w:lvl>
  </w:abstractNum>
  <w:abstractNum w:abstractNumId="40">
    <w:nsid w:val="180115BE"/>
    <w:multiLevelType w:val="hybridMultilevel"/>
    <w:lvl w:ilvl="0">
      <w:lvlJc w:val="left"/>
      <w:lvlText w:val="(%1)"/>
      <w:numFmt w:val="lowerLetter"/>
      <w:start w:val="9"/>
    </w:lvl>
  </w:abstractNum>
  <w:abstractNum w:abstractNumId="41">
    <w:nsid w:val="235BA861"/>
    <w:multiLevelType w:val="hybridMultilevel"/>
    <w:lvl w:ilvl="0">
      <w:lvlJc w:val="left"/>
      <w:lvlText w:val="(%1)"/>
      <w:numFmt w:val="lowerLetter"/>
      <w:start w:val="35"/>
    </w:lvl>
  </w:abstractNum>
  <w:abstractNum w:abstractNumId="42">
    <w:nsid w:val="47398C89"/>
    <w:multiLevelType w:val="hybridMultilevel"/>
    <w:lvl w:ilvl="0">
      <w:lvlJc w:val="left"/>
      <w:lvlText w:val="(%1)"/>
      <w:numFmt w:val="lowerLetter"/>
      <w:start w:val="61"/>
    </w:lvl>
  </w:abstractNum>
  <w:abstractNum w:abstractNumId="43">
    <w:nsid w:val="354FE9F9"/>
    <w:multiLevelType w:val="hybridMultilevel"/>
    <w:lvl w:ilvl="0">
      <w:lvlJc w:val="left"/>
      <w:lvlText w:val="(%1)"/>
      <w:numFmt w:val="lowerLetter"/>
      <w:start w:val="6"/>
    </w:lvl>
  </w:abstractNum>
  <w:abstractNum w:abstractNumId="44">
    <w:nsid w:val="15B5AF5C"/>
    <w:multiLevelType w:val="hybridMultilevel"/>
    <w:lvl w:ilvl="0">
      <w:lvlJc w:val="left"/>
      <w:lvlText w:val="(%1)"/>
      <w:numFmt w:val="lowerLetter"/>
      <w:start w:val="1"/>
    </w:lvl>
  </w:abstractNum>
  <w:abstractNum w:abstractNumId="45">
    <w:nsid w:val="741226BB"/>
    <w:multiLevelType w:val="hybridMultilevel"/>
    <w:lvl w:ilvl="0">
      <w:lvlJc w:val="left"/>
      <w:lvlText w:val="(%1)"/>
      <w:numFmt w:val="lowerLetter"/>
      <w:start w:val="1"/>
    </w:lvl>
  </w:abstractNum>
  <w:abstractNum w:abstractNumId="46">
    <w:nsid w:val="D34B6A8"/>
    <w:multiLevelType w:val="hybridMultilevel"/>
    <w:lvl w:ilvl="0">
      <w:lvlJc w:val="left"/>
      <w:lvlText w:val="(%1)"/>
      <w:numFmt w:val="lowerLetter"/>
      <w:start w:val="1"/>
    </w:lvl>
  </w:abstractNum>
  <w:abstractNum w:abstractNumId="47">
    <w:nsid w:val="10233C99"/>
    <w:multiLevelType w:val="hybridMultilevel"/>
    <w:lvl w:ilvl="0">
      <w:lvlJc w:val="left"/>
      <w:lvlText w:val="(%1)"/>
      <w:numFmt w:val="lowerLetter"/>
      <w:start w:val="1"/>
    </w:lvl>
  </w:abstractNum>
  <w:abstractNum w:abstractNumId="48">
    <w:nsid w:val="3F6AB60F"/>
    <w:multiLevelType w:val="hybridMultilevel"/>
    <w:lvl w:ilvl="0">
      <w:lvlJc w:val="left"/>
      <w:lvlText w:val="(%1)"/>
      <w:numFmt w:val="lowerLetter"/>
      <w:start w:val="1"/>
    </w:lvl>
  </w:abstractNum>
  <w:abstractNum w:abstractNumId="49">
    <w:nsid w:val="61574095"/>
    <w:multiLevelType w:val="hybridMultilevel"/>
    <w:lvl w:ilvl="0">
      <w:lvlJc w:val="left"/>
      <w:lvlText w:val="(%1)"/>
      <w:numFmt w:val="lowerRoman"/>
      <w:start w:val="1"/>
    </w:lvl>
  </w:abstractNum>
  <w:abstractNum w:abstractNumId="50">
    <w:nsid w:val="7E0C57B1"/>
    <w:multiLevelType w:val="hybridMultilevel"/>
    <w:lvl w:ilvl="0">
      <w:lvlJc w:val="left"/>
      <w:lvlText w:val="(%1)"/>
      <w:numFmt w:val="lowerLetter"/>
      <w:start w:val="3"/>
    </w:lvl>
  </w:abstractNum>
  <w:abstractNum w:abstractNumId="51">
    <w:nsid w:val="77AE35EB"/>
    <w:multiLevelType w:val="hybridMultilevel"/>
    <w:lvl w:ilvl="0">
      <w:lvlJc w:val="left"/>
      <w:lvlText w:val="(%1)"/>
      <w:numFmt w:val="lowerLetter"/>
      <w:start w:val="9"/>
    </w:lvl>
  </w:abstractNum>
  <w:abstractNum w:abstractNumId="52">
    <w:nsid w:val="579BE4F1"/>
    <w:multiLevelType w:val="hybridMultilevel"/>
    <w:lvl w:ilvl="0">
      <w:lvlJc w:val="left"/>
      <w:lvlText w:val="(%1)"/>
      <w:numFmt w:val="lowerRoman"/>
      <w:start w:val="2"/>
    </w:lvl>
  </w:abstractNum>
  <w:abstractNum w:abstractNumId="53">
    <w:nsid w:val="310C50B3"/>
    <w:multiLevelType w:val="hybridMultilevel"/>
    <w:lvl w:ilvl="0">
      <w:lvlJc w:val="left"/>
      <w:lvlText w:val="(%1)"/>
      <w:numFmt w:val="lowerLetter"/>
      <w:start w:val="4"/>
    </w:lvl>
  </w:abstractNum>
  <w:abstractNum w:abstractNumId="54">
    <w:nsid w:val="5FF87E05"/>
    <w:multiLevelType w:val="hybridMultilevel"/>
    <w:lvl w:ilvl="0">
      <w:lvlJc w:val="left"/>
      <w:lvlText w:val="(%1)"/>
      <w:numFmt w:val="lowerLetter"/>
      <w:start w:val="8"/>
    </w:lvl>
  </w:abstractNum>
  <w:abstractNum w:abstractNumId="55">
    <w:nsid w:val="2F305DEF"/>
    <w:multiLevelType w:val="hybridMultilevel"/>
    <w:lvl w:ilvl="0">
      <w:lvlJc w:val="left"/>
      <w:lvlText w:val="(%1)"/>
      <w:numFmt w:val="lowerLetter"/>
      <w:start w:val="1"/>
    </w:lvl>
  </w:abstractNum>
  <w:abstractNum w:abstractNumId="56">
    <w:nsid w:val="25A70BF7"/>
    <w:multiLevelType w:val="hybridMultilevel"/>
    <w:lvl w:ilvl="0">
      <w:lvlJc w:val="left"/>
      <w:lvlText w:val="(%1)"/>
      <w:numFmt w:val="lowerLetter"/>
      <w:start w:val="14"/>
    </w:lvl>
  </w:abstractNum>
  <w:abstractNum w:abstractNumId="57">
    <w:nsid w:val="1DBABF00"/>
    <w:multiLevelType w:val="hybridMultilevel"/>
    <w:lvl w:ilvl="0">
      <w:lvlJc w:val="left"/>
      <w:lvlText w:val="(%1)"/>
      <w:numFmt w:val="lowerLetter"/>
      <w:start w:val="1"/>
    </w:lvl>
  </w:abstractNum>
  <w:abstractNum w:abstractNumId="58">
    <w:nsid w:val="4AD084E9"/>
    <w:multiLevelType w:val="hybridMultilevel"/>
    <w:lvl w:ilvl="0">
      <w:lvlJc w:val="left"/>
      <w:lvlText w:val="(%1)"/>
      <w:numFmt w:val="lowerRoman"/>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lowerLetter"/>
      <w:start w:val="2"/>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lowerLetter"/>
      <w:start w:val="2"/>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lowerLetter"/>
      <w:start w:val="1"/>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2"/>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1."/>
      <w:numFmt w:val="decimal"/>
      <w:start w:val="6"/>
    </w:lvl>
  </w:abstractNum>
  <w:abstractNum w:abstractNumId="72">
    <w:nsid w:val="661E3F1E"/>
    <w:multiLevelType w:val="hybridMultilevel"/>
    <w:lvl w:ilvl="0">
      <w:lvlJc w:val="left"/>
      <w:lvlText w:val="(%1)"/>
      <w:numFmt w:val="lowerRoman"/>
      <w:start w:val="3"/>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jpeg"/><Relationship Id="rId106" Type="http://schemas.openxmlformats.org/officeDocument/2006/relationships/image" Target="media/image92.png"/><Relationship Id="rId107" Type="http://schemas.openxmlformats.org/officeDocument/2006/relationships/image" Target="media/image93.jpeg"/><Relationship Id="rId108" Type="http://schemas.openxmlformats.org/officeDocument/2006/relationships/image" Target="media/image94.png"/><Relationship Id="rId109" Type="http://schemas.openxmlformats.org/officeDocument/2006/relationships/image" Target="media/image95.jpeg"/><Relationship Id="rId50" Type="http://schemas.openxmlformats.org/officeDocument/2006/relationships/hyperlink" Target="http://www.sec.gov/ix?doc=/Archives/edgar/data/1653087/000095017023005111/alec-20221231.htm" TargetMode="External"/><Relationship Id="rId51" Type="http://schemas.openxmlformats.org/officeDocument/2006/relationships/hyperlink" Target="http://www.sec.gov/Archives/edgar/data/1653087/000119312519024072/d708505d8a12b.htm" TargetMode="External"/><Relationship Id="rId57" Type="http://schemas.openxmlformats.org/officeDocument/2006/relationships/hyperlink" Target="http://www.sec.gov/Archives/edgar/data/1653087/000119312519033930/d702882dex31.htm" TargetMode="External"/><Relationship Id="rId58" Type="http://schemas.openxmlformats.org/officeDocument/2006/relationships/hyperlink" Target="http://www.sec.gov/Archives/edgar/data/1653087/000156459020045922/alec-ex31_6.htm" TargetMode="External"/><Relationship Id="rId59" Type="http://schemas.openxmlformats.org/officeDocument/2006/relationships/hyperlink" Target="http://www.sec.gov/Archives/edgar/data/1653087/000119312519003772/d550248dex41.htm" TargetMode="External"/><Relationship Id="rId60" Type="http://schemas.openxmlformats.org/officeDocument/2006/relationships/hyperlink" Target="http://www.sec.gov/Archives/edgar/data/1653087/000119312519003772/d550248dex42.htm" TargetMode="External"/><Relationship Id="rId61" Type="http://schemas.openxmlformats.org/officeDocument/2006/relationships/hyperlink" Target="http://www.sec.gov/Archives/edgar/data/1653087/000156459021008860/alec-ex43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2023-03-01T01:07:52Z</dcterms:created>
  <dcterms:modified xsi:type="dcterms:W3CDTF">2023-03-01T01:07:52Z</dcterms:modified>
</cp:coreProperties>
</file>