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9"/>
          <w:szCs w:val="19"/>
          <w:b w:val="1"/>
          <w:bCs w:val="1"/>
          <w:u w:val="single" w:color="auto"/>
          <w:color w:val="0000EE"/>
        </w:rPr>
      </w:pPr>
      <w:hyperlink w:anchor="page8">
        <w:r>
          <w:rPr>
            <w:rFonts w:ascii="Arial" w:cs="Arial" w:eastAsia="Arial" w:hAnsi="Arial"/>
            <w:sz w:val="19"/>
            <w:szCs w:val="19"/>
            <w:b w:val="1"/>
            <w:bCs w:val="1"/>
            <w:u w:val="single" w:color="auto"/>
            <w:color w:val="0000EE"/>
          </w:rPr>
          <w:t>Table of Contents</w:t>
        </w:r>
      </w:hyperlink>
    </w:p>
    <w:p>
      <w:pPr>
        <w:spacing w:after="0" w:line="320"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As filed with the Securities and Exchange Commission on February 6, 2019.</w:t>
      </w:r>
    </w:p>
    <w:p>
      <w:pPr>
        <w:jc w:val="right"/>
        <w:spacing w:after="0"/>
        <w:rPr>
          <w:sz w:val="20"/>
          <w:szCs w:val="20"/>
          <w:color w:val="auto"/>
        </w:rPr>
      </w:pPr>
      <w:r>
        <w:rPr>
          <w:rFonts w:ascii="Arial" w:cs="Arial" w:eastAsia="Arial" w:hAnsi="Arial"/>
          <w:sz w:val="15"/>
          <w:szCs w:val="15"/>
          <w:b w:val="1"/>
          <w:bCs w:val="1"/>
          <w:color w:val="auto"/>
        </w:rPr>
        <w:t>Registration No. 333-229152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wp:posOffset>
            </wp:positionH>
            <wp:positionV relativeFrom="paragraph">
              <wp:posOffset>57785</wp:posOffset>
            </wp:positionV>
            <wp:extent cx="7389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103505</wp:posOffset>
            </wp:positionV>
            <wp:extent cx="7389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pacing w:after="0" w:line="218"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90170</wp:posOffset>
            </wp:positionV>
            <wp:extent cx="1557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141"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AMENDMENT NO. 2</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TO</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FORM S-1</w:t>
      </w:r>
    </w:p>
    <w:p>
      <w:pPr>
        <w:jc w:val="center"/>
        <w:ind w:right="-179"/>
        <w:spacing w:after="0" w:line="237" w:lineRule="auto"/>
        <w:rPr>
          <w:sz w:val="20"/>
          <w:szCs w:val="20"/>
          <w:color w:val="auto"/>
        </w:rPr>
      </w:pPr>
      <w:r>
        <w:rPr>
          <w:rFonts w:ascii="Arial" w:cs="Arial" w:eastAsia="Arial" w:hAnsi="Arial"/>
          <w:sz w:val="27"/>
          <w:szCs w:val="27"/>
          <w:b w:val="1"/>
          <w:bCs w:val="1"/>
          <w:color w:val="auto"/>
        </w:rPr>
        <w:t>REGISTRATION STATEMENT</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97790</wp:posOffset>
            </wp:positionV>
            <wp:extent cx="1557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164" w:lineRule="exact"/>
        <w:rPr>
          <w:sz w:val="24"/>
          <w:szCs w:val="24"/>
          <w:color w:val="auto"/>
        </w:rPr>
      </w:pPr>
    </w:p>
    <w:p>
      <w:pPr>
        <w:jc w:val="center"/>
        <w:ind w:right="-179"/>
        <w:spacing w:after="0"/>
        <w:rPr>
          <w:sz w:val="20"/>
          <w:szCs w:val="20"/>
          <w:color w:val="auto"/>
        </w:rPr>
      </w:pPr>
      <w:r>
        <w:rPr>
          <w:rFonts w:ascii="Arial" w:cs="Arial" w:eastAsia="Arial" w:hAnsi="Arial"/>
          <w:sz w:val="38"/>
          <w:szCs w:val="38"/>
          <w:b w:val="1"/>
          <w:bCs w:val="1"/>
          <w:color w:val="auto"/>
        </w:rPr>
        <w:t>ALECTOR, INC.</w:t>
      </w:r>
    </w:p>
    <w:p>
      <w:pPr>
        <w:spacing w:after="0" w:line="44"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65405</wp:posOffset>
            </wp:positionV>
            <wp:extent cx="1557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172" w:lineRule="exact"/>
        <w:rPr>
          <w:sz w:val="24"/>
          <w:szCs w:val="24"/>
          <w:color w:val="auto"/>
        </w:rPr>
      </w:pPr>
    </w:p>
    <w:tbl>
      <w:tblPr>
        <w:tblLayout w:type="fixed"/>
        <w:tblInd w:w="1160" w:type="dxa"/>
        <w:tblCellMar>
          <w:top w:w="0" w:type="dxa"/>
          <w:left w:w="0" w:type="dxa"/>
          <w:bottom w:w="0" w:type="dxa"/>
          <w:right w:w="0" w:type="dxa"/>
        </w:tblCellMar>
      </w:tblPr>
      <w:tr>
        <w:trPr>
          <w:trHeight w:val="172"/>
        </w:trPr>
        <w:tc>
          <w:tcPr>
            <w:tcW w:w="2980" w:type="dxa"/>
            <w:vAlign w:val="bottom"/>
          </w:tcPr>
          <w:p>
            <w:pPr>
              <w:jc w:val="center"/>
              <w:ind w:right="924"/>
              <w:spacing w:after="0"/>
              <w:rPr>
                <w:sz w:val="20"/>
                <w:szCs w:val="20"/>
                <w:color w:val="auto"/>
              </w:rPr>
            </w:pPr>
            <w:r>
              <w:rPr>
                <w:rFonts w:ascii="Arial" w:cs="Arial" w:eastAsia="Arial" w:hAnsi="Arial"/>
                <w:sz w:val="15"/>
                <w:szCs w:val="15"/>
                <w:b w:val="1"/>
                <w:bCs w:val="1"/>
                <w:color w:val="auto"/>
                <w:w w:val="94"/>
              </w:rPr>
              <w:t>Delaware</w:t>
            </w:r>
          </w:p>
        </w:tc>
        <w:tc>
          <w:tcPr>
            <w:tcW w:w="4000" w:type="dxa"/>
            <w:vAlign w:val="bottom"/>
          </w:tcPr>
          <w:p>
            <w:pPr>
              <w:jc w:val="center"/>
              <w:spacing w:after="0"/>
              <w:rPr>
                <w:sz w:val="20"/>
                <w:szCs w:val="20"/>
                <w:color w:val="auto"/>
              </w:rPr>
            </w:pPr>
            <w:r>
              <w:rPr>
                <w:rFonts w:ascii="Arial" w:cs="Arial" w:eastAsia="Arial" w:hAnsi="Arial"/>
                <w:sz w:val="15"/>
                <w:szCs w:val="15"/>
                <w:b w:val="1"/>
                <w:bCs w:val="1"/>
                <w:color w:val="auto"/>
                <w:w w:val="95"/>
              </w:rPr>
              <w:t>2836</w:t>
            </w:r>
          </w:p>
        </w:tc>
        <w:tc>
          <w:tcPr>
            <w:tcW w:w="2560" w:type="dxa"/>
            <w:vAlign w:val="bottom"/>
          </w:tcPr>
          <w:p>
            <w:pPr>
              <w:jc w:val="center"/>
              <w:ind w:left="984"/>
              <w:spacing w:after="0"/>
              <w:rPr>
                <w:sz w:val="20"/>
                <w:szCs w:val="20"/>
                <w:color w:val="auto"/>
              </w:rPr>
            </w:pPr>
            <w:r>
              <w:rPr>
                <w:rFonts w:ascii="Arial" w:cs="Arial" w:eastAsia="Arial" w:hAnsi="Arial"/>
                <w:sz w:val="15"/>
                <w:szCs w:val="15"/>
                <w:b w:val="1"/>
                <w:bCs w:val="1"/>
                <w:color w:val="auto"/>
                <w:w w:val="92"/>
              </w:rPr>
              <w:t>82-2933343</w:t>
            </w:r>
          </w:p>
        </w:tc>
      </w:tr>
      <w:tr>
        <w:trPr>
          <w:trHeight w:val="157"/>
        </w:trPr>
        <w:tc>
          <w:tcPr>
            <w:tcW w:w="2980" w:type="dxa"/>
            <w:vAlign w:val="bottom"/>
          </w:tcPr>
          <w:p>
            <w:pPr>
              <w:jc w:val="center"/>
              <w:ind w:right="924"/>
              <w:spacing w:after="0" w:line="157" w:lineRule="exact"/>
              <w:rPr>
                <w:sz w:val="20"/>
                <w:szCs w:val="20"/>
                <w:color w:val="auto"/>
              </w:rPr>
            </w:pPr>
            <w:r>
              <w:rPr>
                <w:rFonts w:ascii="Arial" w:cs="Arial" w:eastAsia="Arial" w:hAnsi="Arial"/>
                <w:sz w:val="15"/>
                <w:szCs w:val="15"/>
                <w:b w:val="1"/>
                <w:bCs w:val="1"/>
                <w:color w:val="auto"/>
                <w:w w:val="92"/>
              </w:rPr>
              <w:t>(State or other jurisdiction of</w:t>
            </w:r>
          </w:p>
        </w:tc>
        <w:tc>
          <w:tcPr>
            <w:tcW w:w="400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5"/>
              </w:rPr>
              <w:t>(Primary Standard Industrial</w:t>
            </w:r>
          </w:p>
        </w:tc>
        <w:tc>
          <w:tcPr>
            <w:tcW w:w="2560" w:type="dxa"/>
            <w:vAlign w:val="bottom"/>
          </w:tcPr>
          <w:p>
            <w:pPr>
              <w:jc w:val="center"/>
              <w:ind w:left="984"/>
              <w:spacing w:after="0" w:line="157" w:lineRule="exact"/>
              <w:rPr>
                <w:sz w:val="20"/>
                <w:szCs w:val="20"/>
                <w:color w:val="auto"/>
              </w:rPr>
            </w:pPr>
            <w:r>
              <w:rPr>
                <w:rFonts w:ascii="Arial" w:cs="Arial" w:eastAsia="Arial" w:hAnsi="Arial"/>
                <w:sz w:val="15"/>
                <w:szCs w:val="15"/>
                <w:b w:val="1"/>
                <w:bCs w:val="1"/>
                <w:color w:val="auto"/>
                <w:w w:val="95"/>
              </w:rPr>
              <w:t>(I.R.S. Employer</w:t>
            </w:r>
          </w:p>
        </w:tc>
      </w:tr>
      <w:tr>
        <w:trPr>
          <w:trHeight w:val="195"/>
        </w:trPr>
        <w:tc>
          <w:tcPr>
            <w:tcW w:w="2980" w:type="dxa"/>
            <w:vAlign w:val="bottom"/>
          </w:tcPr>
          <w:p>
            <w:pPr>
              <w:jc w:val="center"/>
              <w:ind w:right="924"/>
              <w:spacing w:after="0"/>
              <w:rPr>
                <w:sz w:val="20"/>
                <w:szCs w:val="20"/>
                <w:color w:val="auto"/>
              </w:rPr>
            </w:pPr>
            <w:r>
              <w:rPr>
                <w:rFonts w:ascii="Arial" w:cs="Arial" w:eastAsia="Arial" w:hAnsi="Arial"/>
                <w:sz w:val="15"/>
                <w:szCs w:val="15"/>
                <w:b w:val="1"/>
                <w:bCs w:val="1"/>
                <w:color w:val="auto"/>
                <w:w w:val="92"/>
              </w:rPr>
              <w:t>incorporation or organization)</w:t>
            </w:r>
          </w:p>
        </w:tc>
        <w:tc>
          <w:tcPr>
            <w:tcW w:w="4000" w:type="dxa"/>
            <w:vAlign w:val="bottom"/>
          </w:tcPr>
          <w:p>
            <w:pPr>
              <w:jc w:val="center"/>
              <w:spacing w:after="0"/>
              <w:rPr>
                <w:sz w:val="20"/>
                <w:szCs w:val="20"/>
                <w:color w:val="auto"/>
              </w:rPr>
            </w:pPr>
            <w:r>
              <w:rPr>
                <w:rFonts w:ascii="Arial" w:cs="Arial" w:eastAsia="Arial" w:hAnsi="Arial"/>
                <w:sz w:val="15"/>
                <w:szCs w:val="15"/>
                <w:b w:val="1"/>
                <w:bCs w:val="1"/>
                <w:color w:val="auto"/>
                <w:w w:val="91"/>
              </w:rPr>
              <w:t>Classification Code Number)</w:t>
            </w:r>
          </w:p>
        </w:tc>
        <w:tc>
          <w:tcPr>
            <w:tcW w:w="2560" w:type="dxa"/>
            <w:vAlign w:val="bottom"/>
          </w:tcPr>
          <w:p>
            <w:pPr>
              <w:jc w:val="center"/>
              <w:ind w:left="984"/>
              <w:spacing w:after="0"/>
              <w:rPr>
                <w:sz w:val="20"/>
                <w:szCs w:val="20"/>
                <w:color w:val="auto"/>
              </w:rPr>
            </w:pPr>
            <w:r>
              <w:rPr>
                <w:rFonts w:ascii="Arial" w:cs="Arial" w:eastAsia="Arial" w:hAnsi="Arial"/>
                <w:sz w:val="15"/>
                <w:szCs w:val="15"/>
                <w:b w:val="1"/>
                <w:bCs w:val="1"/>
                <w:color w:val="auto"/>
                <w:w w:val="94"/>
              </w:rPr>
              <w:t>Identification Number)</w:t>
            </w:r>
          </w:p>
        </w:tc>
      </w:tr>
    </w:tbl>
    <w:p>
      <w:pPr>
        <w:spacing w:after="0" w:line="47"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151 Oyster Point Blvd. Suite 300</w:t>
      </w:r>
    </w:p>
    <w:p>
      <w:pPr>
        <w:jc w:val="center"/>
        <w:ind w:right="-179"/>
        <w:spacing w:after="0" w:line="218" w:lineRule="auto"/>
        <w:rPr>
          <w:sz w:val="20"/>
          <w:szCs w:val="20"/>
          <w:color w:val="auto"/>
        </w:rPr>
      </w:pPr>
      <w:r>
        <w:rPr>
          <w:rFonts w:ascii="Arial" w:cs="Arial" w:eastAsia="Arial" w:hAnsi="Arial"/>
          <w:sz w:val="15"/>
          <w:szCs w:val="15"/>
          <w:b w:val="1"/>
          <w:bCs w:val="1"/>
          <w:color w:val="auto"/>
        </w:rPr>
        <w:t>South San Francisco, California 94080</w:t>
      </w:r>
    </w:p>
    <w:p>
      <w:pPr>
        <w:jc w:val="center"/>
        <w:ind w:right="-179"/>
        <w:spacing w:after="0" w:line="219" w:lineRule="auto"/>
        <w:rPr>
          <w:sz w:val="20"/>
          <w:szCs w:val="20"/>
          <w:color w:val="auto"/>
        </w:rPr>
      </w:pPr>
      <w:r>
        <w:rPr>
          <w:rFonts w:ascii="Arial" w:cs="Arial" w:eastAsia="Arial" w:hAnsi="Arial"/>
          <w:sz w:val="15"/>
          <w:szCs w:val="15"/>
          <w:b w:val="1"/>
          <w:bCs w:val="1"/>
          <w:color w:val="auto"/>
        </w:rPr>
        <w:t>415-231-5660</w:t>
      </w:r>
    </w:p>
    <w:p>
      <w:pPr>
        <w:jc w:val="center"/>
        <w:ind w:right="-179"/>
        <w:spacing w:after="0"/>
        <w:rPr>
          <w:sz w:val="20"/>
          <w:szCs w:val="20"/>
          <w:color w:val="auto"/>
        </w:rPr>
      </w:pPr>
      <w:r>
        <w:rPr>
          <w:rFonts w:ascii="Arial" w:cs="Arial" w:eastAsia="Arial" w:hAnsi="Arial"/>
          <w:sz w:val="15"/>
          <w:szCs w:val="15"/>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76200</wp:posOffset>
            </wp:positionV>
            <wp:extent cx="1557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134"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Arnon Rosenthal, Ph.D.</w:t>
      </w:r>
    </w:p>
    <w:p>
      <w:pPr>
        <w:jc w:val="center"/>
        <w:ind w:right="-179"/>
        <w:spacing w:after="0" w:line="218" w:lineRule="auto"/>
        <w:rPr>
          <w:sz w:val="20"/>
          <w:szCs w:val="20"/>
          <w:color w:val="auto"/>
        </w:rPr>
      </w:pPr>
      <w:r>
        <w:rPr>
          <w:rFonts w:ascii="Arial" w:cs="Arial" w:eastAsia="Arial" w:hAnsi="Arial"/>
          <w:sz w:val="15"/>
          <w:szCs w:val="15"/>
          <w:b w:val="1"/>
          <w:bCs w:val="1"/>
          <w:color w:val="auto"/>
        </w:rPr>
        <w:t>Chief Executive Officer</w:t>
      </w:r>
    </w:p>
    <w:p>
      <w:pPr>
        <w:jc w:val="center"/>
        <w:ind w:right="-179"/>
        <w:spacing w:after="0" w:line="219" w:lineRule="auto"/>
        <w:rPr>
          <w:sz w:val="20"/>
          <w:szCs w:val="20"/>
          <w:color w:val="auto"/>
        </w:rPr>
      </w:pPr>
      <w:r>
        <w:rPr>
          <w:rFonts w:ascii="Arial" w:cs="Arial" w:eastAsia="Arial" w:hAnsi="Arial"/>
          <w:sz w:val="15"/>
          <w:szCs w:val="15"/>
          <w:b w:val="1"/>
          <w:bCs w:val="1"/>
          <w:color w:val="auto"/>
        </w:rPr>
        <w:t>Alector, Inc.</w:t>
      </w:r>
    </w:p>
    <w:p>
      <w:pPr>
        <w:jc w:val="center"/>
        <w:ind w:right="-179"/>
        <w:spacing w:after="0" w:line="218" w:lineRule="auto"/>
        <w:rPr>
          <w:sz w:val="20"/>
          <w:szCs w:val="20"/>
          <w:color w:val="auto"/>
        </w:rPr>
      </w:pPr>
      <w:r>
        <w:rPr>
          <w:rFonts w:ascii="Arial" w:cs="Arial" w:eastAsia="Arial" w:hAnsi="Arial"/>
          <w:sz w:val="15"/>
          <w:szCs w:val="15"/>
          <w:b w:val="1"/>
          <w:bCs w:val="1"/>
          <w:color w:val="auto"/>
        </w:rPr>
        <w:t>151 Oyster Point Blvd. Suite 300</w:t>
      </w:r>
    </w:p>
    <w:p>
      <w:pPr>
        <w:jc w:val="center"/>
        <w:ind w:right="-179"/>
        <w:spacing w:after="0" w:line="218" w:lineRule="auto"/>
        <w:rPr>
          <w:sz w:val="20"/>
          <w:szCs w:val="20"/>
          <w:color w:val="auto"/>
        </w:rPr>
      </w:pPr>
      <w:r>
        <w:rPr>
          <w:rFonts w:ascii="Arial" w:cs="Arial" w:eastAsia="Arial" w:hAnsi="Arial"/>
          <w:sz w:val="15"/>
          <w:szCs w:val="15"/>
          <w:b w:val="1"/>
          <w:bCs w:val="1"/>
          <w:color w:val="auto"/>
        </w:rPr>
        <w:t>South San Francisco, California 94080</w:t>
      </w:r>
    </w:p>
    <w:p>
      <w:pPr>
        <w:jc w:val="center"/>
        <w:ind w:right="-179"/>
        <w:spacing w:after="0" w:line="218" w:lineRule="auto"/>
        <w:rPr>
          <w:sz w:val="20"/>
          <w:szCs w:val="20"/>
          <w:color w:val="auto"/>
        </w:rPr>
      </w:pPr>
      <w:r>
        <w:rPr>
          <w:rFonts w:ascii="Arial" w:cs="Arial" w:eastAsia="Arial" w:hAnsi="Arial"/>
          <w:sz w:val="15"/>
          <w:szCs w:val="15"/>
          <w:b w:val="1"/>
          <w:bCs w:val="1"/>
          <w:color w:val="auto"/>
        </w:rPr>
        <w:t>415-231-5660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76200</wp:posOffset>
            </wp:positionV>
            <wp:extent cx="1557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132" w:lineRule="exact"/>
        <w:rPr>
          <w:sz w:val="24"/>
          <w:szCs w:val="24"/>
          <w:color w:val="auto"/>
        </w:rPr>
      </w:pPr>
    </w:p>
    <w:tbl>
      <w:tblPr>
        <w:tblLayout w:type="fixed"/>
        <w:tblInd w:w="860" w:type="dxa"/>
        <w:tblCellMar>
          <w:top w:w="0" w:type="dxa"/>
          <w:left w:w="0" w:type="dxa"/>
          <w:bottom w:w="0" w:type="dxa"/>
          <w:right w:w="0" w:type="dxa"/>
        </w:tblCellMar>
      </w:tblPr>
      <w:tr>
        <w:trPr>
          <w:trHeight w:val="172"/>
        </w:trPr>
        <w:tc>
          <w:tcPr>
            <w:tcW w:w="3300" w:type="dxa"/>
            <w:vAlign w:val="bottom"/>
          </w:tcPr>
          <w:p>
            <w:pPr>
              <w:spacing w:after="0"/>
              <w:rPr>
                <w:sz w:val="15"/>
                <w:szCs w:val="15"/>
                <w:color w:val="auto"/>
              </w:rPr>
            </w:pPr>
          </w:p>
        </w:tc>
        <w:tc>
          <w:tcPr>
            <w:tcW w:w="4020" w:type="dxa"/>
            <w:vAlign w:val="bottom"/>
          </w:tcPr>
          <w:p>
            <w:pPr>
              <w:ind w:left="1520"/>
              <w:spacing w:after="0"/>
              <w:rPr>
                <w:sz w:val="20"/>
                <w:szCs w:val="20"/>
                <w:color w:val="auto"/>
              </w:rPr>
            </w:pPr>
            <w:r>
              <w:rPr>
                <w:rFonts w:ascii="Arial" w:cs="Arial" w:eastAsia="Arial" w:hAnsi="Arial"/>
                <w:sz w:val="15"/>
                <w:szCs w:val="15"/>
                <w:b w:val="1"/>
                <w:bCs w:val="1"/>
                <w:i w:val="1"/>
                <w:iCs w:val="1"/>
                <w:color w:val="auto"/>
              </w:rPr>
              <w:t>Copies to:</w:t>
            </w:r>
          </w:p>
        </w:tc>
        <w:tc>
          <w:tcPr>
            <w:tcW w:w="2740" w:type="dxa"/>
            <w:vAlign w:val="bottom"/>
          </w:tcPr>
          <w:p>
            <w:pPr>
              <w:spacing w:after="0"/>
              <w:rPr>
                <w:sz w:val="15"/>
                <w:szCs w:val="15"/>
                <w:color w:val="auto"/>
              </w:rPr>
            </w:pPr>
          </w:p>
        </w:tc>
      </w:tr>
      <w:tr>
        <w:trPr>
          <w:trHeight w:val="157"/>
        </w:trPr>
        <w:tc>
          <w:tcPr>
            <w:tcW w:w="3300" w:type="dxa"/>
            <w:vAlign w:val="bottom"/>
          </w:tcPr>
          <w:p>
            <w:pPr>
              <w:jc w:val="center"/>
              <w:ind w:right="624"/>
              <w:spacing w:after="0" w:line="157" w:lineRule="exact"/>
              <w:rPr>
                <w:sz w:val="20"/>
                <w:szCs w:val="20"/>
                <w:color w:val="auto"/>
              </w:rPr>
            </w:pPr>
            <w:r>
              <w:rPr>
                <w:rFonts w:ascii="Arial" w:cs="Arial" w:eastAsia="Arial" w:hAnsi="Arial"/>
                <w:sz w:val="15"/>
                <w:szCs w:val="15"/>
                <w:b w:val="1"/>
                <w:bCs w:val="1"/>
                <w:color w:val="auto"/>
                <w:w w:val="95"/>
              </w:rPr>
              <w:t>Kenneth A. Clark</w:t>
            </w:r>
          </w:p>
        </w:tc>
        <w:tc>
          <w:tcPr>
            <w:tcW w:w="4020" w:type="dxa"/>
            <w:vAlign w:val="bottom"/>
          </w:tcPr>
          <w:p>
            <w:pPr>
              <w:jc w:val="center"/>
              <w:ind w:right="24"/>
              <w:spacing w:after="0" w:line="157" w:lineRule="exact"/>
              <w:rPr>
                <w:sz w:val="20"/>
                <w:szCs w:val="20"/>
                <w:color w:val="auto"/>
              </w:rPr>
            </w:pPr>
            <w:r>
              <w:rPr>
                <w:rFonts w:ascii="Arial" w:cs="Arial" w:eastAsia="Arial" w:hAnsi="Arial"/>
                <w:sz w:val="15"/>
                <w:szCs w:val="15"/>
                <w:b w:val="1"/>
                <w:bCs w:val="1"/>
                <w:color w:val="auto"/>
                <w:w w:val="89"/>
              </w:rPr>
              <w:t>Stephanie Yonker, Ph.D.</w:t>
            </w:r>
          </w:p>
        </w:tc>
        <w:tc>
          <w:tcPr>
            <w:tcW w:w="2740" w:type="dxa"/>
            <w:vAlign w:val="bottom"/>
          </w:tcPr>
          <w:p>
            <w:pPr>
              <w:jc w:val="center"/>
              <w:ind w:left="724"/>
              <w:spacing w:after="0" w:line="157" w:lineRule="exact"/>
              <w:rPr>
                <w:sz w:val="20"/>
                <w:szCs w:val="20"/>
                <w:color w:val="auto"/>
              </w:rPr>
            </w:pPr>
            <w:r>
              <w:rPr>
                <w:rFonts w:ascii="Arial" w:cs="Arial" w:eastAsia="Arial" w:hAnsi="Arial"/>
                <w:sz w:val="15"/>
                <w:szCs w:val="15"/>
                <w:b w:val="1"/>
                <w:bCs w:val="1"/>
                <w:color w:val="auto"/>
                <w:w w:val="92"/>
              </w:rPr>
              <w:t>Alan F. Denenberg</w:t>
            </w:r>
          </w:p>
        </w:tc>
      </w:tr>
      <w:tr>
        <w:trPr>
          <w:trHeight w:val="157"/>
        </w:trPr>
        <w:tc>
          <w:tcPr>
            <w:tcW w:w="3300" w:type="dxa"/>
            <w:vAlign w:val="bottom"/>
          </w:tcPr>
          <w:p>
            <w:pPr>
              <w:jc w:val="center"/>
              <w:ind w:right="624"/>
              <w:spacing w:after="0" w:line="157" w:lineRule="exact"/>
              <w:rPr>
                <w:sz w:val="20"/>
                <w:szCs w:val="20"/>
                <w:color w:val="auto"/>
              </w:rPr>
            </w:pPr>
            <w:r>
              <w:rPr>
                <w:rFonts w:ascii="Arial" w:cs="Arial" w:eastAsia="Arial" w:hAnsi="Arial"/>
                <w:sz w:val="15"/>
                <w:szCs w:val="15"/>
                <w:b w:val="1"/>
                <w:bCs w:val="1"/>
                <w:color w:val="auto"/>
                <w:w w:val="89"/>
              </w:rPr>
              <w:t>Tony Jeffries</w:t>
            </w:r>
          </w:p>
        </w:tc>
        <w:tc>
          <w:tcPr>
            <w:tcW w:w="4020" w:type="dxa"/>
            <w:vAlign w:val="bottom"/>
          </w:tcPr>
          <w:p>
            <w:pPr>
              <w:jc w:val="center"/>
              <w:ind w:right="24"/>
              <w:spacing w:after="0" w:line="157" w:lineRule="exact"/>
              <w:rPr>
                <w:sz w:val="20"/>
                <w:szCs w:val="20"/>
                <w:color w:val="auto"/>
              </w:rPr>
            </w:pPr>
            <w:r>
              <w:rPr>
                <w:rFonts w:ascii="Arial" w:cs="Arial" w:eastAsia="Arial" w:hAnsi="Arial"/>
                <w:sz w:val="15"/>
                <w:szCs w:val="15"/>
                <w:b w:val="1"/>
                <w:bCs w:val="1"/>
                <w:color w:val="auto"/>
                <w:w w:val="90"/>
              </w:rPr>
              <w:t>Vice President, Legal</w:t>
            </w:r>
          </w:p>
        </w:tc>
        <w:tc>
          <w:tcPr>
            <w:tcW w:w="2740" w:type="dxa"/>
            <w:vAlign w:val="bottom"/>
          </w:tcPr>
          <w:p>
            <w:pPr>
              <w:jc w:val="center"/>
              <w:ind w:left="724"/>
              <w:spacing w:after="0" w:line="157" w:lineRule="exact"/>
              <w:rPr>
                <w:sz w:val="20"/>
                <w:szCs w:val="20"/>
                <w:color w:val="auto"/>
              </w:rPr>
            </w:pPr>
            <w:r>
              <w:rPr>
                <w:rFonts w:ascii="Arial" w:cs="Arial" w:eastAsia="Arial" w:hAnsi="Arial"/>
                <w:sz w:val="15"/>
                <w:szCs w:val="15"/>
                <w:b w:val="1"/>
                <w:bCs w:val="1"/>
                <w:color w:val="auto"/>
                <w:w w:val="90"/>
              </w:rPr>
              <w:t>Stephen Salmon</w:t>
            </w:r>
          </w:p>
        </w:tc>
      </w:tr>
      <w:tr>
        <w:trPr>
          <w:trHeight w:val="157"/>
        </w:trPr>
        <w:tc>
          <w:tcPr>
            <w:tcW w:w="3300" w:type="dxa"/>
            <w:vAlign w:val="bottom"/>
          </w:tcPr>
          <w:p>
            <w:pPr>
              <w:jc w:val="center"/>
              <w:ind w:right="624"/>
              <w:spacing w:after="0" w:line="157" w:lineRule="exact"/>
              <w:rPr>
                <w:sz w:val="20"/>
                <w:szCs w:val="20"/>
                <w:color w:val="auto"/>
              </w:rPr>
            </w:pPr>
            <w:r>
              <w:rPr>
                <w:rFonts w:ascii="Arial" w:cs="Arial" w:eastAsia="Arial" w:hAnsi="Arial"/>
                <w:sz w:val="15"/>
                <w:szCs w:val="15"/>
                <w:b w:val="1"/>
                <w:bCs w:val="1"/>
                <w:color w:val="auto"/>
                <w:w w:val="94"/>
              </w:rPr>
              <w:t>Michael E. Coke</w:t>
            </w:r>
          </w:p>
        </w:tc>
        <w:tc>
          <w:tcPr>
            <w:tcW w:w="4020" w:type="dxa"/>
            <w:vAlign w:val="bottom"/>
          </w:tcPr>
          <w:p>
            <w:pPr>
              <w:jc w:val="center"/>
              <w:ind w:right="24"/>
              <w:spacing w:after="0" w:line="157" w:lineRule="exact"/>
              <w:rPr>
                <w:sz w:val="20"/>
                <w:szCs w:val="20"/>
                <w:color w:val="auto"/>
              </w:rPr>
            </w:pPr>
            <w:r>
              <w:rPr>
                <w:rFonts w:ascii="Arial" w:cs="Arial" w:eastAsia="Arial" w:hAnsi="Arial"/>
                <w:sz w:val="15"/>
                <w:szCs w:val="15"/>
                <w:b w:val="1"/>
                <w:bCs w:val="1"/>
                <w:color w:val="auto"/>
                <w:w w:val="93"/>
              </w:rPr>
              <w:t>Alector, Inc.</w:t>
            </w:r>
          </w:p>
        </w:tc>
        <w:tc>
          <w:tcPr>
            <w:tcW w:w="2740" w:type="dxa"/>
            <w:vAlign w:val="bottom"/>
          </w:tcPr>
          <w:p>
            <w:pPr>
              <w:jc w:val="center"/>
              <w:ind w:left="724"/>
              <w:spacing w:after="0" w:line="157" w:lineRule="exact"/>
              <w:rPr>
                <w:sz w:val="20"/>
                <w:szCs w:val="20"/>
                <w:color w:val="auto"/>
              </w:rPr>
            </w:pPr>
            <w:r>
              <w:rPr>
                <w:rFonts w:ascii="Arial" w:cs="Arial" w:eastAsia="Arial" w:hAnsi="Arial"/>
                <w:sz w:val="15"/>
                <w:szCs w:val="15"/>
                <w:b w:val="1"/>
                <w:bCs w:val="1"/>
                <w:color w:val="auto"/>
                <w:w w:val="96"/>
              </w:rPr>
              <w:t>Davis Polk &amp; Wardwell LLP</w:t>
            </w:r>
          </w:p>
        </w:tc>
      </w:tr>
      <w:tr>
        <w:trPr>
          <w:trHeight w:val="157"/>
        </w:trPr>
        <w:tc>
          <w:tcPr>
            <w:tcW w:w="3300" w:type="dxa"/>
            <w:vAlign w:val="bottom"/>
          </w:tcPr>
          <w:p>
            <w:pPr>
              <w:jc w:val="center"/>
              <w:ind w:right="644"/>
              <w:spacing w:after="0" w:line="157" w:lineRule="exact"/>
              <w:rPr>
                <w:sz w:val="20"/>
                <w:szCs w:val="20"/>
                <w:color w:val="auto"/>
              </w:rPr>
            </w:pPr>
            <w:r>
              <w:rPr>
                <w:rFonts w:ascii="Arial" w:cs="Arial" w:eastAsia="Arial" w:hAnsi="Arial"/>
                <w:sz w:val="15"/>
                <w:szCs w:val="15"/>
                <w:b w:val="1"/>
                <w:bCs w:val="1"/>
                <w:color w:val="auto"/>
                <w:w w:val="91"/>
              </w:rPr>
              <w:t>Wilson Sonsini Goodrich &amp; Rosati, P.C.</w:t>
            </w:r>
          </w:p>
        </w:tc>
        <w:tc>
          <w:tcPr>
            <w:tcW w:w="4020" w:type="dxa"/>
            <w:vAlign w:val="bottom"/>
          </w:tcPr>
          <w:p>
            <w:pPr>
              <w:jc w:val="center"/>
              <w:ind w:right="44"/>
              <w:spacing w:after="0" w:line="157" w:lineRule="exact"/>
              <w:rPr>
                <w:sz w:val="20"/>
                <w:szCs w:val="20"/>
                <w:color w:val="auto"/>
              </w:rPr>
            </w:pPr>
            <w:r>
              <w:rPr>
                <w:rFonts w:ascii="Arial" w:cs="Arial" w:eastAsia="Arial" w:hAnsi="Arial"/>
                <w:sz w:val="15"/>
                <w:szCs w:val="15"/>
                <w:b w:val="1"/>
                <w:bCs w:val="1"/>
                <w:color w:val="auto"/>
                <w:w w:val="91"/>
              </w:rPr>
              <w:t>151 Oyster Point Blvd. Suite 300</w:t>
            </w:r>
          </w:p>
        </w:tc>
        <w:tc>
          <w:tcPr>
            <w:tcW w:w="2740" w:type="dxa"/>
            <w:vAlign w:val="bottom"/>
          </w:tcPr>
          <w:p>
            <w:pPr>
              <w:jc w:val="center"/>
              <w:ind w:left="724"/>
              <w:spacing w:after="0" w:line="157" w:lineRule="exact"/>
              <w:rPr>
                <w:sz w:val="20"/>
                <w:szCs w:val="20"/>
                <w:color w:val="auto"/>
              </w:rPr>
            </w:pPr>
            <w:r>
              <w:rPr>
                <w:rFonts w:ascii="Arial" w:cs="Arial" w:eastAsia="Arial" w:hAnsi="Arial"/>
                <w:sz w:val="15"/>
                <w:szCs w:val="15"/>
                <w:b w:val="1"/>
                <w:bCs w:val="1"/>
                <w:color w:val="auto"/>
                <w:w w:val="94"/>
              </w:rPr>
              <w:t>1600 El Camino Real</w:t>
            </w:r>
          </w:p>
        </w:tc>
      </w:tr>
      <w:tr>
        <w:trPr>
          <w:trHeight w:val="157"/>
        </w:trPr>
        <w:tc>
          <w:tcPr>
            <w:tcW w:w="3300" w:type="dxa"/>
            <w:vAlign w:val="bottom"/>
          </w:tcPr>
          <w:p>
            <w:pPr>
              <w:jc w:val="center"/>
              <w:ind w:right="644"/>
              <w:spacing w:after="0" w:line="157" w:lineRule="exact"/>
              <w:rPr>
                <w:sz w:val="20"/>
                <w:szCs w:val="20"/>
                <w:color w:val="auto"/>
              </w:rPr>
            </w:pPr>
            <w:r>
              <w:rPr>
                <w:rFonts w:ascii="Arial" w:cs="Arial" w:eastAsia="Arial" w:hAnsi="Arial"/>
                <w:sz w:val="15"/>
                <w:szCs w:val="15"/>
                <w:b w:val="1"/>
                <w:bCs w:val="1"/>
                <w:color w:val="auto"/>
                <w:w w:val="92"/>
              </w:rPr>
              <w:t>650 Page Mill Road</w:t>
            </w:r>
          </w:p>
        </w:tc>
        <w:tc>
          <w:tcPr>
            <w:tcW w:w="4020" w:type="dxa"/>
            <w:vAlign w:val="bottom"/>
          </w:tcPr>
          <w:p>
            <w:pPr>
              <w:jc w:val="center"/>
              <w:ind w:right="24"/>
              <w:spacing w:after="0" w:line="157" w:lineRule="exact"/>
              <w:rPr>
                <w:sz w:val="20"/>
                <w:szCs w:val="20"/>
                <w:color w:val="auto"/>
              </w:rPr>
            </w:pPr>
            <w:r>
              <w:rPr>
                <w:rFonts w:ascii="Arial" w:cs="Arial" w:eastAsia="Arial" w:hAnsi="Arial"/>
                <w:sz w:val="15"/>
                <w:szCs w:val="15"/>
                <w:b w:val="1"/>
                <w:bCs w:val="1"/>
                <w:color w:val="auto"/>
                <w:w w:val="90"/>
              </w:rPr>
              <w:t>South San Francisco, California 94080</w:t>
            </w:r>
          </w:p>
        </w:tc>
        <w:tc>
          <w:tcPr>
            <w:tcW w:w="2740" w:type="dxa"/>
            <w:vAlign w:val="bottom"/>
          </w:tcPr>
          <w:p>
            <w:pPr>
              <w:jc w:val="center"/>
              <w:ind w:left="724"/>
              <w:spacing w:after="0" w:line="157" w:lineRule="exact"/>
              <w:rPr>
                <w:sz w:val="20"/>
                <w:szCs w:val="20"/>
                <w:color w:val="auto"/>
              </w:rPr>
            </w:pPr>
            <w:r>
              <w:rPr>
                <w:rFonts w:ascii="Arial" w:cs="Arial" w:eastAsia="Arial" w:hAnsi="Arial"/>
                <w:sz w:val="15"/>
                <w:szCs w:val="15"/>
                <w:b w:val="1"/>
                <w:bCs w:val="1"/>
                <w:color w:val="auto"/>
                <w:w w:val="95"/>
              </w:rPr>
              <w:t>Menlo Park, California 94025</w:t>
            </w:r>
          </w:p>
        </w:tc>
      </w:tr>
      <w:tr>
        <w:trPr>
          <w:trHeight w:val="157"/>
        </w:trPr>
        <w:tc>
          <w:tcPr>
            <w:tcW w:w="3300" w:type="dxa"/>
            <w:vAlign w:val="bottom"/>
          </w:tcPr>
          <w:p>
            <w:pPr>
              <w:jc w:val="center"/>
              <w:ind w:right="624"/>
              <w:spacing w:after="0" w:line="157" w:lineRule="exact"/>
              <w:rPr>
                <w:sz w:val="20"/>
                <w:szCs w:val="20"/>
                <w:color w:val="auto"/>
              </w:rPr>
            </w:pPr>
            <w:r>
              <w:rPr>
                <w:rFonts w:ascii="Arial" w:cs="Arial" w:eastAsia="Arial" w:hAnsi="Arial"/>
                <w:sz w:val="15"/>
                <w:szCs w:val="15"/>
                <w:b w:val="1"/>
                <w:bCs w:val="1"/>
                <w:color w:val="auto"/>
                <w:w w:val="93"/>
              </w:rPr>
              <w:t>Palo Alto, California 94304</w:t>
            </w:r>
          </w:p>
        </w:tc>
        <w:tc>
          <w:tcPr>
            <w:tcW w:w="4020" w:type="dxa"/>
            <w:vAlign w:val="bottom"/>
          </w:tcPr>
          <w:p>
            <w:pPr>
              <w:jc w:val="center"/>
              <w:ind w:right="44"/>
              <w:spacing w:after="0" w:line="157" w:lineRule="exact"/>
              <w:rPr>
                <w:sz w:val="20"/>
                <w:szCs w:val="20"/>
                <w:color w:val="auto"/>
              </w:rPr>
            </w:pPr>
            <w:r>
              <w:rPr>
                <w:rFonts w:ascii="Arial" w:cs="Arial" w:eastAsia="Arial" w:hAnsi="Arial"/>
                <w:sz w:val="15"/>
                <w:szCs w:val="15"/>
                <w:b w:val="1"/>
                <w:bCs w:val="1"/>
                <w:color w:val="auto"/>
                <w:w w:val="92"/>
              </w:rPr>
              <w:t>415-231-5660</w:t>
            </w:r>
          </w:p>
        </w:tc>
        <w:tc>
          <w:tcPr>
            <w:tcW w:w="2740" w:type="dxa"/>
            <w:vAlign w:val="bottom"/>
          </w:tcPr>
          <w:p>
            <w:pPr>
              <w:jc w:val="center"/>
              <w:ind w:left="724"/>
              <w:spacing w:after="0" w:line="157" w:lineRule="exact"/>
              <w:rPr>
                <w:sz w:val="20"/>
                <w:szCs w:val="20"/>
                <w:color w:val="auto"/>
              </w:rPr>
            </w:pPr>
            <w:r>
              <w:rPr>
                <w:rFonts w:ascii="Arial" w:cs="Arial" w:eastAsia="Arial" w:hAnsi="Arial"/>
                <w:sz w:val="15"/>
                <w:szCs w:val="15"/>
                <w:b w:val="1"/>
                <w:bCs w:val="1"/>
                <w:color w:val="auto"/>
                <w:w w:val="92"/>
              </w:rPr>
              <w:t>650-752-2000</w:t>
            </w:r>
          </w:p>
        </w:tc>
      </w:tr>
      <w:tr>
        <w:trPr>
          <w:trHeight w:val="195"/>
        </w:trPr>
        <w:tc>
          <w:tcPr>
            <w:tcW w:w="3300" w:type="dxa"/>
            <w:vAlign w:val="bottom"/>
          </w:tcPr>
          <w:p>
            <w:pPr>
              <w:jc w:val="center"/>
              <w:ind w:right="644"/>
              <w:spacing w:after="0"/>
              <w:rPr>
                <w:sz w:val="20"/>
                <w:szCs w:val="20"/>
                <w:color w:val="auto"/>
              </w:rPr>
            </w:pPr>
            <w:r>
              <w:rPr>
                <w:rFonts w:ascii="Arial" w:cs="Arial" w:eastAsia="Arial" w:hAnsi="Arial"/>
                <w:sz w:val="15"/>
                <w:szCs w:val="15"/>
                <w:b w:val="1"/>
                <w:bCs w:val="1"/>
                <w:color w:val="auto"/>
                <w:w w:val="92"/>
              </w:rPr>
              <w:t>650-493-9300</w:t>
            </w:r>
          </w:p>
        </w:tc>
        <w:tc>
          <w:tcPr>
            <w:tcW w:w="4020" w:type="dxa"/>
            <w:vAlign w:val="bottom"/>
          </w:tcPr>
          <w:p>
            <w:pPr>
              <w:spacing w:after="0"/>
              <w:rPr>
                <w:sz w:val="16"/>
                <w:szCs w:val="16"/>
                <w:color w:val="auto"/>
              </w:rPr>
            </w:pPr>
          </w:p>
        </w:tc>
        <w:tc>
          <w:tcPr>
            <w:tcW w:w="27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80645</wp:posOffset>
            </wp:positionV>
            <wp:extent cx="1557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127" w:lineRule="exact"/>
        <w:rPr>
          <w:sz w:val="24"/>
          <w:szCs w:val="24"/>
          <w:color w:val="auto"/>
        </w:rPr>
      </w:pPr>
    </w:p>
    <w:p>
      <w:pPr>
        <w:ind w:left="52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the effective date of this registration statement.</w:t>
      </w:r>
    </w:p>
    <w:p>
      <w:pPr>
        <w:spacing w:after="0" w:line="45" w:lineRule="exact"/>
        <w:rPr>
          <w:sz w:val="24"/>
          <w:szCs w:val="24"/>
          <w:color w:val="auto"/>
        </w:rPr>
      </w:pPr>
    </w:p>
    <w:p>
      <w:pPr>
        <w:ind w:left="180" w:right="480" w:firstLine="349"/>
        <w:spacing w:after="0" w:line="190"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20" w:lineRule="exact"/>
        <w:rPr>
          <w:sz w:val="24"/>
          <w:szCs w:val="24"/>
          <w:color w:val="auto"/>
        </w:rPr>
      </w:pPr>
    </w:p>
    <w:p>
      <w:pPr>
        <w:ind w:left="180" w:right="40" w:firstLine="349"/>
        <w:spacing w:after="0" w:line="190"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0" w:lineRule="exact"/>
        <w:rPr>
          <w:sz w:val="24"/>
          <w:szCs w:val="24"/>
          <w:color w:val="auto"/>
        </w:rPr>
      </w:pPr>
    </w:p>
    <w:p>
      <w:pPr>
        <w:ind w:left="180" w:right="60" w:firstLine="349"/>
        <w:spacing w:after="0" w:line="190"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0" w:lineRule="exact"/>
        <w:rPr>
          <w:sz w:val="24"/>
          <w:szCs w:val="24"/>
          <w:color w:val="auto"/>
        </w:rPr>
      </w:pPr>
    </w:p>
    <w:p>
      <w:pPr>
        <w:ind w:left="180" w:right="40" w:firstLine="349"/>
        <w:spacing w:after="0" w:line="190"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0" w:lineRule="exact"/>
        <w:rPr>
          <w:sz w:val="24"/>
          <w:szCs w:val="24"/>
          <w:color w:val="auto"/>
        </w:rPr>
      </w:pPr>
    </w:p>
    <w:p>
      <w:pPr>
        <w:ind w:left="180" w:right="220" w:firstLine="349"/>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180" w:type="dxa"/>
        <w:tblCellMar>
          <w:top w:w="0" w:type="dxa"/>
          <w:left w:w="0" w:type="dxa"/>
          <w:bottom w:w="0" w:type="dxa"/>
          <w:right w:w="0" w:type="dxa"/>
        </w:tblCellMar>
      </w:tblPr>
      <w:tr>
        <w:trPr>
          <w:trHeight w:val="254"/>
        </w:trPr>
        <w:tc>
          <w:tcPr>
            <w:tcW w:w="1600" w:type="dxa"/>
            <w:vAlign w:val="bottom"/>
          </w:tcPr>
          <w:p>
            <w:pPr>
              <w:spacing w:after="0"/>
              <w:rPr>
                <w:sz w:val="20"/>
                <w:szCs w:val="20"/>
                <w:color w:val="auto"/>
              </w:rPr>
            </w:pPr>
            <w:r>
              <w:rPr>
                <w:rFonts w:ascii="Arial" w:cs="Arial" w:eastAsia="Arial" w:hAnsi="Arial"/>
                <w:sz w:val="16"/>
                <w:szCs w:val="16"/>
                <w:color w:val="auto"/>
                <w:w w:val="99"/>
              </w:rPr>
              <w:t>Large accelerated filer</w:t>
            </w:r>
          </w:p>
        </w:tc>
        <w:tc>
          <w:tcPr>
            <w:tcW w:w="40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5680" w:type="dxa"/>
            <w:vAlign w:val="bottom"/>
          </w:tcPr>
          <w:p>
            <w:pPr>
              <w:ind w:left="370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1600" w:type="dxa"/>
            <w:vAlign w:val="bottom"/>
          </w:tcPr>
          <w:p>
            <w:pPr>
              <w:spacing w:after="0"/>
              <w:rPr>
                <w:sz w:val="20"/>
                <w:szCs w:val="20"/>
                <w:color w:val="auto"/>
              </w:rPr>
            </w:pPr>
            <w:r>
              <w:rPr>
                <w:rFonts w:ascii="Arial" w:cs="Arial" w:eastAsia="Arial" w:hAnsi="Arial"/>
                <w:sz w:val="16"/>
                <w:szCs w:val="16"/>
                <w:color w:val="auto"/>
              </w:rPr>
              <w:t>Non-accelerated filer</w:t>
            </w:r>
          </w:p>
        </w:tc>
        <w:tc>
          <w:tcPr>
            <w:tcW w:w="40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5680" w:type="dxa"/>
            <w:vAlign w:val="bottom"/>
          </w:tcPr>
          <w:p>
            <w:pPr>
              <w:ind w:left="370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6"/>
        </w:trPr>
        <w:tc>
          <w:tcPr>
            <w:tcW w:w="16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5680" w:type="dxa"/>
            <w:vAlign w:val="bottom"/>
          </w:tcPr>
          <w:p>
            <w:pPr>
              <w:ind w:left="370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jc w:val="both"/>
        <w:ind w:left="180" w:right="20" w:firstLine="349"/>
        <w:spacing w:after="0" w:line="18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78740</wp:posOffset>
            </wp:positionV>
            <wp:extent cx="1557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152"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CALCULATION OF REGISTRATION FEE</w:t>
      </w:r>
    </w:p>
    <w:p>
      <w:pPr>
        <w:spacing w:after="0" w:line="73" w:lineRule="exact"/>
        <w:rPr>
          <w:sz w:val="24"/>
          <w:szCs w:val="24"/>
          <w:color w:val="auto"/>
        </w:rPr>
      </w:pPr>
    </w:p>
    <w:tbl>
      <w:tblPr>
        <w:tblLayout w:type="fixed"/>
        <w:tblInd w:w="18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14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r>
      <w:tr>
        <w:trPr>
          <w:trHeight w:val="117"/>
        </w:trPr>
        <w:tc>
          <w:tcPr>
            <w:tcW w:w="20" w:type="dxa"/>
            <w:vAlign w:val="bottom"/>
          </w:tcPr>
          <w:p>
            <w:pPr>
              <w:spacing w:after="0"/>
              <w:rPr>
                <w:sz w:val="10"/>
                <w:szCs w:val="10"/>
                <w:color w:val="auto"/>
              </w:rPr>
            </w:pPr>
          </w:p>
        </w:tc>
        <w:tc>
          <w:tcPr>
            <w:tcW w:w="51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jc w:val="center"/>
              <w:ind w:left="5"/>
              <w:spacing w:after="0" w:line="117" w:lineRule="exact"/>
              <w:rPr>
                <w:sz w:val="20"/>
                <w:szCs w:val="20"/>
                <w:color w:val="auto"/>
              </w:rPr>
            </w:pPr>
            <w:r>
              <w:rPr>
                <w:rFonts w:ascii="Arial" w:cs="Arial" w:eastAsia="Arial" w:hAnsi="Arial"/>
                <w:sz w:val="13"/>
                <w:szCs w:val="13"/>
                <w:b w:val="1"/>
                <w:bCs w:val="1"/>
                <w:color w:val="auto"/>
              </w:rPr>
              <w:t>Proposed</w:t>
            </w:r>
          </w:p>
        </w:tc>
        <w:tc>
          <w:tcPr>
            <w:tcW w:w="1640" w:type="dxa"/>
            <w:vAlign w:val="bottom"/>
            <w:tcBorders>
              <w:right w:val="single" w:sz="8" w:color="auto"/>
            </w:tcBorders>
          </w:tcPr>
          <w:p>
            <w:pPr>
              <w:spacing w:after="0"/>
              <w:rPr>
                <w:sz w:val="10"/>
                <w:szCs w:val="10"/>
                <w:color w:val="auto"/>
              </w:rPr>
            </w:pPr>
          </w:p>
        </w:tc>
        <w:tc>
          <w:tcPr>
            <w:tcW w:w="1600" w:type="dxa"/>
            <w:vAlign w:val="bottom"/>
          </w:tcPr>
          <w:p>
            <w:pPr>
              <w:spacing w:after="0"/>
              <w:rPr>
                <w:sz w:val="10"/>
                <w:szCs w:val="10"/>
                <w:color w:val="auto"/>
              </w:rPr>
            </w:pPr>
          </w:p>
        </w:tc>
      </w:tr>
      <w:tr>
        <w:trPr>
          <w:trHeight w:val="157"/>
        </w:trPr>
        <w:tc>
          <w:tcPr>
            <w:tcW w:w="20" w:type="dxa"/>
            <w:vAlign w:val="bottom"/>
          </w:tcPr>
          <w:p>
            <w:pPr>
              <w:spacing w:after="0"/>
              <w:rPr>
                <w:sz w:val="13"/>
                <w:szCs w:val="13"/>
                <w:color w:val="auto"/>
              </w:rPr>
            </w:pPr>
          </w:p>
        </w:tc>
        <w:tc>
          <w:tcPr>
            <w:tcW w:w="514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jc w:val="center"/>
              <w:ind w:left="5"/>
              <w:spacing w:after="0" w:line="157" w:lineRule="exact"/>
              <w:rPr>
                <w:sz w:val="20"/>
                <w:szCs w:val="20"/>
                <w:color w:val="auto"/>
              </w:rPr>
            </w:pPr>
            <w:r>
              <w:rPr>
                <w:rFonts w:ascii="Arial" w:cs="Arial" w:eastAsia="Arial" w:hAnsi="Arial"/>
                <w:sz w:val="15"/>
                <w:szCs w:val="15"/>
                <w:b w:val="1"/>
                <w:bCs w:val="1"/>
                <w:color w:val="auto"/>
                <w:w w:val="95"/>
              </w:rPr>
              <w:t>Maximum</w:t>
            </w:r>
          </w:p>
        </w:tc>
        <w:tc>
          <w:tcPr>
            <w:tcW w:w="1640" w:type="dxa"/>
            <w:vAlign w:val="bottom"/>
            <w:tcBorders>
              <w:right w:val="single" w:sz="8" w:color="auto"/>
            </w:tcBorders>
          </w:tcPr>
          <w:p>
            <w:pPr>
              <w:spacing w:after="0"/>
              <w:rPr>
                <w:sz w:val="13"/>
                <w:szCs w:val="13"/>
                <w:color w:val="auto"/>
              </w:rPr>
            </w:pPr>
          </w:p>
        </w:tc>
        <w:tc>
          <w:tcPr>
            <w:tcW w:w="16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514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5"/>
                <w:szCs w:val="15"/>
                <w:b w:val="1"/>
                <w:bCs w:val="1"/>
                <w:color w:val="auto"/>
                <w:w w:val="87"/>
              </w:rPr>
              <w:t>Shares</w:t>
            </w:r>
          </w:p>
        </w:tc>
        <w:tc>
          <w:tcPr>
            <w:tcW w:w="1620" w:type="dxa"/>
            <w:vAlign w:val="bottom"/>
            <w:tcBorders>
              <w:right w:val="single" w:sz="8" w:color="auto"/>
            </w:tcBorders>
          </w:tcPr>
          <w:p>
            <w:pPr>
              <w:jc w:val="center"/>
              <w:ind w:left="5"/>
              <w:spacing w:after="0" w:line="157" w:lineRule="exact"/>
              <w:rPr>
                <w:sz w:val="20"/>
                <w:szCs w:val="20"/>
                <w:color w:val="auto"/>
              </w:rPr>
            </w:pPr>
            <w:r>
              <w:rPr>
                <w:rFonts w:ascii="Arial" w:cs="Arial" w:eastAsia="Arial" w:hAnsi="Arial"/>
                <w:sz w:val="15"/>
                <w:szCs w:val="15"/>
                <w:b w:val="1"/>
                <w:bCs w:val="1"/>
                <w:color w:val="auto"/>
                <w:w w:val="88"/>
              </w:rPr>
              <w:t>Aggregate</w:t>
            </w:r>
          </w:p>
        </w:tc>
        <w:tc>
          <w:tcPr>
            <w:tcW w:w="1640" w:type="dxa"/>
            <w:vAlign w:val="bottom"/>
            <w:tcBorders>
              <w:right w:val="single" w:sz="8" w:color="auto"/>
            </w:tcBorders>
          </w:tcPr>
          <w:p>
            <w:pPr>
              <w:jc w:val="center"/>
              <w:ind w:left="3"/>
              <w:spacing w:after="0" w:line="157" w:lineRule="exact"/>
              <w:rPr>
                <w:sz w:val="20"/>
                <w:szCs w:val="20"/>
                <w:color w:val="auto"/>
              </w:rPr>
            </w:pPr>
            <w:r>
              <w:rPr>
                <w:rFonts w:ascii="Arial" w:cs="Arial" w:eastAsia="Arial" w:hAnsi="Arial"/>
                <w:sz w:val="15"/>
                <w:szCs w:val="15"/>
                <w:b w:val="1"/>
                <w:bCs w:val="1"/>
                <w:color w:val="auto"/>
                <w:w w:val="98"/>
              </w:rPr>
              <w:t>Maximum</w:t>
            </w:r>
          </w:p>
        </w:tc>
        <w:tc>
          <w:tcPr>
            <w:tcW w:w="160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514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5"/>
                <w:szCs w:val="15"/>
                <w:b w:val="1"/>
                <w:bCs w:val="1"/>
                <w:color w:val="auto"/>
                <w:w w:val="89"/>
              </w:rPr>
              <w:t>Title of each Class of</w:t>
            </w:r>
          </w:p>
        </w:tc>
        <w:tc>
          <w:tcPr>
            <w:tcW w:w="162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5"/>
                <w:szCs w:val="15"/>
                <w:b w:val="1"/>
                <w:bCs w:val="1"/>
                <w:color w:val="auto"/>
                <w:w w:val="89"/>
              </w:rPr>
              <w:t>to be</w:t>
            </w:r>
          </w:p>
        </w:tc>
        <w:tc>
          <w:tcPr>
            <w:tcW w:w="162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5"/>
                <w:szCs w:val="15"/>
                <w:b w:val="1"/>
                <w:bCs w:val="1"/>
                <w:color w:val="auto"/>
                <w:w w:val="94"/>
              </w:rPr>
              <w:t>Offering Price</w:t>
            </w:r>
          </w:p>
        </w:tc>
        <w:tc>
          <w:tcPr>
            <w:tcW w:w="164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5"/>
                <w:szCs w:val="15"/>
                <w:b w:val="1"/>
                <w:bCs w:val="1"/>
                <w:color w:val="auto"/>
                <w:w w:val="88"/>
              </w:rPr>
              <w:t>Aggregate</w:t>
            </w:r>
          </w:p>
        </w:tc>
        <w:tc>
          <w:tcPr>
            <w:tcW w:w="1600" w:type="dxa"/>
            <w:vAlign w:val="bottom"/>
          </w:tcPr>
          <w:p>
            <w:pPr>
              <w:jc w:val="center"/>
              <w:ind w:left="2"/>
              <w:spacing w:after="0" w:line="166" w:lineRule="exact"/>
              <w:rPr>
                <w:sz w:val="20"/>
                <w:szCs w:val="20"/>
                <w:color w:val="auto"/>
              </w:rPr>
            </w:pPr>
            <w:r>
              <w:rPr>
                <w:rFonts w:ascii="Arial" w:cs="Arial" w:eastAsia="Arial" w:hAnsi="Arial"/>
                <w:sz w:val="15"/>
                <w:szCs w:val="15"/>
                <w:b w:val="1"/>
                <w:bCs w:val="1"/>
                <w:color w:val="auto"/>
                <w:w w:val="90"/>
              </w:rPr>
              <w:t>Amount of</w:t>
            </w:r>
          </w:p>
        </w:tc>
      </w:tr>
      <w:tr>
        <w:trPr>
          <w:trHeight w:val="185"/>
        </w:trPr>
        <w:tc>
          <w:tcPr>
            <w:tcW w:w="20" w:type="dxa"/>
            <w:vAlign w:val="bottom"/>
          </w:tcPr>
          <w:p>
            <w:pPr>
              <w:spacing w:after="0"/>
              <w:rPr>
                <w:sz w:val="16"/>
                <w:szCs w:val="16"/>
                <w:color w:val="auto"/>
              </w:rPr>
            </w:pPr>
          </w:p>
        </w:tc>
        <w:tc>
          <w:tcPr>
            <w:tcW w:w="5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Securities to be Registered</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Registered</w:t>
            </w:r>
            <w:r>
              <w:rPr>
                <w:rFonts w:ascii="Arial" w:cs="Arial" w:eastAsia="Arial" w:hAnsi="Arial"/>
                <w:sz w:val="12"/>
                <w:szCs w:val="12"/>
                <w:b w:val="1"/>
                <w:bCs w:val="1"/>
                <w:color w:val="auto"/>
                <w:w w:val="91"/>
              </w:rPr>
              <w:t>(1)</w:t>
            </w:r>
          </w:p>
        </w:tc>
        <w:tc>
          <w:tcPr>
            <w:tcW w:w="162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5"/>
                <w:szCs w:val="15"/>
                <w:b w:val="1"/>
                <w:bCs w:val="1"/>
                <w:color w:val="auto"/>
                <w:w w:val="92"/>
              </w:rPr>
              <w:t>Per Share</w:t>
            </w:r>
            <w:r>
              <w:rPr>
                <w:rFonts w:ascii="Arial" w:cs="Arial" w:eastAsia="Arial" w:hAnsi="Arial"/>
                <w:sz w:val="12"/>
                <w:szCs w:val="12"/>
                <w:b w:val="1"/>
                <w:bCs w:val="1"/>
                <w:color w:val="auto"/>
                <w:w w:val="92"/>
              </w:rPr>
              <w:t>(2)</w:t>
            </w:r>
          </w:p>
        </w:tc>
        <w:tc>
          <w:tcPr>
            <w:tcW w:w="1640" w:type="dxa"/>
            <w:vAlign w:val="bottom"/>
            <w:tcBorders>
              <w:bottom w:val="single" w:sz="8" w:color="auto"/>
              <w:right w:val="single" w:sz="8" w:color="auto"/>
            </w:tcBorders>
          </w:tcPr>
          <w:p>
            <w:pPr>
              <w:jc w:val="center"/>
              <w:ind w:left="3"/>
              <w:spacing w:after="0"/>
              <w:rPr>
                <w:sz w:val="20"/>
                <w:szCs w:val="20"/>
                <w:color w:val="auto"/>
              </w:rPr>
            </w:pPr>
            <w:r>
              <w:rPr>
                <w:rFonts w:ascii="Arial" w:cs="Arial" w:eastAsia="Arial" w:hAnsi="Arial"/>
                <w:sz w:val="15"/>
                <w:szCs w:val="15"/>
                <w:b w:val="1"/>
                <w:bCs w:val="1"/>
                <w:color w:val="auto"/>
                <w:w w:val="96"/>
              </w:rPr>
              <w:t>Offering Price</w:t>
            </w:r>
            <w:r>
              <w:rPr>
                <w:rFonts w:ascii="Arial" w:cs="Arial" w:eastAsia="Arial" w:hAnsi="Arial"/>
                <w:sz w:val="12"/>
                <w:szCs w:val="12"/>
                <w:b w:val="1"/>
                <w:bCs w:val="1"/>
                <w:color w:val="auto"/>
                <w:w w:val="96"/>
              </w:rPr>
              <w:t>(1)(2)</w:t>
            </w:r>
          </w:p>
        </w:tc>
        <w:tc>
          <w:tcPr>
            <w:tcW w:w="1600" w:type="dxa"/>
            <w:vAlign w:val="bottom"/>
            <w:tcBorders>
              <w:bottom w:val="single" w:sz="8" w:color="auto"/>
            </w:tcBorders>
          </w:tcPr>
          <w:p>
            <w:pPr>
              <w:jc w:val="center"/>
              <w:ind w:left="2"/>
              <w:spacing w:after="0"/>
              <w:rPr>
                <w:sz w:val="20"/>
                <w:szCs w:val="20"/>
                <w:color w:val="auto"/>
              </w:rPr>
            </w:pPr>
            <w:r>
              <w:rPr>
                <w:rFonts w:ascii="Arial" w:cs="Arial" w:eastAsia="Arial" w:hAnsi="Arial"/>
                <w:sz w:val="15"/>
                <w:szCs w:val="15"/>
                <w:b w:val="1"/>
                <w:bCs w:val="1"/>
                <w:color w:val="auto"/>
                <w:w w:val="90"/>
              </w:rPr>
              <w:t>Registration Fee</w:t>
            </w:r>
            <w:r>
              <w:rPr>
                <w:rFonts w:ascii="Arial" w:cs="Arial" w:eastAsia="Arial" w:hAnsi="Arial"/>
                <w:sz w:val="12"/>
                <w:szCs w:val="12"/>
                <w:b w:val="1"/>
                <w:bCs w:val="1"/>
                <w:color w:val="auto"/>
                <w:w w:val="90"/>
              </w:rPr>
              <w:t>(3)</w:t>
            </w:r>
          </w:p>
        </w:tc>
      </w:tr>
      <w:tr>
        <w:trPr>
          <w:trHeight w:val="165"/>
        </w:trPr>
        <w:tc>
          <w:tcPr>
            <w:tcW w:w="20" w:type="dxa"/>
            <w:vAlign w:val="bottom"/>
            <w:tcBorders>
              <w:bottom w:val="single" w:sz="8" w:color="auto"/>
            </w:tcBorders>
          </w:tcPr>
          <w:p>
            <w:pPr>
              <w:spacing w:after="0"/>
              <w:rPr>
                <w:sz w:val="14"/>
                <w:szCs w:val="14"/>
                <w:color w:val="auto"/>
              </w:rPr>
            </w:pPr>
          </w:p>
        </w:tc>
        <w:tc>
          <w:tcPr>
            <w:tcW w:w="5140" w:type="dxa"/>
            <w:vAlign w:val="bottom"/>
            <w:tcBorders>
              <w:bottom w:val="single" w:sz="8" w:color="auto"/>
              <w:right w:val="single" w:sz="8" w:color="auto"/>
            </w:tcBorders>
          </w:tcPr>
          <w:p>
            <w:pPr>
              <w:spacing w:after="0" w:line="166" w:lineRule="exact"/>
              <w:rPr>
                <w:sz w:val="20"/>
                <w:szCs w:val="20"/>
                <w:color w:val="auto"/>
              </w:rPr>
            </w:pPr>
            <w:r>
              <w:rPr>
                <w:rFonts w:ascii="Arial" w:cs="Arial" w:eastAsia="Arial" w:hAnsi="Arial"/>
                <w:sz w:val="15"/>
                <w:szCs w:val="15"/>
                <w:color w:val="auto"/>
              </w:rPr>
              <w:t>Common Stock, $0.0001 par value</w:t>
            </w:r>
          </w:p>
        </w:tc>
        <w:tc>
          <w:tcPr>
            <w:tcW w:w="1620" w:type="dxa"/>
            <w:vAlign w:val="bottom"/>
            <w:tcBorders>
              <w:bottom w:val="single" w:sz="8" w:color="auto"/>
              <w:right w:val="single" w:sz="8" w:color="auto"/>
            </w:tcBorders>
          </w:tcPr>
          <w:p>
            <w:pPr>
              <w:jc w:val="center"/>
              <w:spacing w:after="0" w:line="165" w:lineRule="exact"/>
              <w:rPr>
                <w:sz w:val="20"/>
                <w:szCs w:val="20"/>
                <w:color w:val="auto"/>
              </w:rPr>
            </w:pPr>
            <w:r>
              <w:rPr>
                <w:rFonts w:ascii="Arial" w:cs="Arial" w:eastAsia="Arial" w:hAnsi="Arial"/>
                <w:sz w:val="16"/>
                <w:szCs w:val="16"/>
                <w:color w:val="auto"/>
                <w:w w:val="89"/>
              </w:rPr>
              <w:t>10,637,500</w:t>
            </w:r>
          </w:p>
        </w:tc>
        <w:tc>
          <w:tcPr>
            <w:tcW w:w="1620" w:type="dxa"/>
            <w:vAlign w:val="bottom"/>
            <w:tcBorders>
              <w:bottom w:val="single" w:sz="8" w:color="auto"/>
              <w:right w:val="single" w:sz="8" w:color="auto"/>
            </w:tcBorders>
          </w:tcPr>
          <w:p>
            <w:pPr>
              <w:jc w:val="center"/>
              <w:ind w:left="5"/>
              <w:spacing w:after="0" w:line="165" w:lineRule="exact"/>
              <w:rPr>
                <w:sz w:val="20"/>
                <w:szCs w:val="20"/>
                <w:color w:val="auto"/>
              </w:rPr>
            </w:pPr>
            <w:r>
              <w:rPr>
                <w:rFonts w:ascii="Arial" w:cs="Arial" w:eastAsia="Arial" w:hAnsi="Arial"/>
                <w:sz w:val="16"/>
                <w:szCs w:val="16"/>
                <w:color w:val="auto"/>
                <w:w w:val="93"/>
              </w:rPr>
              <w:t>$20.00</w:t>
            </w:r>
          </w:p>
        </w:tc>
        <w:tc>
          <w:tcPr>
            <w:tcW w:w="1640" w:type="dxa"/>
            <w:vAlign w:val="bottom"/>
            <w:tcBorders>
              <w:bottom w:val="single" w:sz="8" w:color="auto"/>
              <w:right w:val="single" w:sz="8" w:color="auto"/>
            </w:tcBorders>
          </w:tcPr>
          <w:p>
            <w:pPr>
              <w:jc w:val="center"/>
              <w:ind w:left="3"/>
              <w:spacing w:after="0" w:line="165" w:lineRule="exact"/>
              <w:rPr>
                <w:sz w:val="20"/>
                <w:szCs w:val="20"/>
                <w:color w:val="auto"/>
              </w:rPr>
            </w:pPr>
            <w:r>
              <w:rPr>
                <w:rFonts w:ascii="Arial" w:cs="Arial" w:eastAsia="Arial" w:hAnsi="Arial"/>
                <w:sz w:val="16"/>
                <w:szCs w:val="16"/>
                <w:color w:val="auto"/>
                <w:w w:val="89"/>
              </w:rPr>
              <w:t>$212,750,000</w:t>
            </w:r>
          </w:p>
        </w:tc>
        <w:tc>
          <w:tcPr>
            <w:tcW w:w="1600" w:type="dxa"/>
            <w:vAlign w:val="bottom"/>
            <w:tcBorders>
              <w:bottom w:val="single" w:sz="8" w:color="auto"/>
            </w:tcBorders>
          </w:tcPr>
          <w:p>
            <w:pPr>
              <w:jc w:val="center"/>
              <w:ind w:left="2"/>
              <w:spacing w:after="0" w:line="165" w:lineRule="exact"/>
              <w:rPr>
                <w:sz w:val="20"/>
                <w:szCs w:val="20"/>
                <w:color w:val="auto"/>
              </w:rPr>
            </w:pPr>
            <w:r>
              <w:rPr>
                <w:rFonts w:ascii="Arial" w:cs="Arial" w:eastAsia="Arial" w:hAnsi="Arial"/>
                <w:sz w:val="16"/>
                <w:szCs w:val="16"/>
                <w:color w:val="auto"/>
                <w:w w:val="89"/>
              </w:rPr>
              <w:t>$25,786</w:t>
            </w: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ind w:left="520" w:hanging="341"/>
        <w:spacing w:after="0" w:line="228" w:lineRule="auto"/>
        <w:tabs>
          <w:tab w:leader="none" w:pos="520" w:val="left"/>
        </w:tabs>
        <w:numPr>
          <w:ilvl w:val="0"/>
          <w:numId w:val="1"/>
        </w:numPr>
        <w:rPr>
          <w:rFonts w:ascii="Arial" w:cs="Arial" w:eastAsia="Arial" w:hAnsi="Arial"/>
          <w:sz w:val="15"/>
          <w:szCs w:val="15"/>
          <w:color w:val="auto"/>
        </w:rPr>
      </w:pPr>
      <w:r>
        <w:rPr>
          <w:rFonts w:ascii="Arial" w:cs="Arial" w:eastAsia="Arial" w:hAnsi="Arial"/>
          <w:sz w:val="15"/>
          <w:szCs w:val="15"/>
          <w:color w:val="auto"/>
        </w:rPr>
        <w:t>Includes an additional 1,387,500 shares of our common stock that the underwriters have an option to purchase.</w:t>
      </w:r>
    </w:p>
    <w:p>
      <w:pPr>
        <w:ind w:left="520" w:hanging="341"/>
        <w:spacing w:after="0" w:line="218" w:lineRule="auto"/>
        <w:tabs>
          <w:tab w:leader="none" w:pos="52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calculating the registration fee pursuant to Rule 457(a) under the Securities Act of 1933, as amended.</w:t>
      </w:r>
    </w:p>
    <w:p>
      <w:pPr>
        <w:ind w:left="520" w:hanging="341"/>
        <w:spacing w:after="0"/>
        <w:tabs>
          <w:tab w:leader="none" w:pos="52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Registrant previously paid all of this amount with a prior filing of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57785</wp:posOffset>
            </wp:positionV>
            <wp:extent cx="1557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105" w:lineRule="exact"/>
        <w:rPr>
          <w:sz w:val="24"/>
          <w:szCs w:val="24"/>
          <w:color w:val="auto"/>
        </w:rPr>
      </w:pPr>
    </w:p>
    <w:p>
      <w:pPr>
        <w:ind w:left="180" w:right="80" w:firstLine="349"/>
        <w:spacing w:after="0" w:line="259"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wp:posOffset>
            </wp:positionH>
            <wp:positionV relativeFrom="paragraph">
              <wp:posOffset>36830</wp:posOffset>
            </wp:positionV>
            <wp:extent cx="73894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81915</wp:posOffset>
            </wp:positionV>
            <wp:extent cx="73894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ectPr>
          <w:pgSz w:w="12240" w:h="15840" w:orient="portrait"/>
          <w:cols w:equalWidth="0" w:num="1">
            <w:col w:w="11820"/>
          </w:cols>
          <w:pgMar w:left="120" w:top="94" w:right="300" w:bottom="245" w:gutter="0" w:footer="0" w:header="0"/>
        </w:sectPr>
      </w:pPr>
    </w:p>
    <w:bookmarkStart w:id="1" w:name="page2"/>
    <w:bookmarkEnd w:id="1"/>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p>
      <w:pPr>
        <w:spacing w:after="0"/>
        <w:rPr>
          <w:rFonts w:ascii="Arial" w:cs="Arial" w:eastAsia="Arial" w:hAnsi="Arial"/>
          <w:sz w:val="19"/>
          <w:szCs w:val="19"/>
          <w:b w:val="1"/>
          <w:bCs w:val="1"/>
          <w:u w:val="single" w:color="auto"/>
          <w:color w:val="0000EE"/>
        </w:rPr>
      </w:pP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both"/>
        <w:ind w:left="360" w:right="20"/>
        <w:spacing w:after="0" w:line="287" w:lineRule="auto"/>
        <w:rPr>
          <w:sz w:val="20"/>
          <w:szCs w:val="20"/>
          <w:color w:val="auto"/>
        </w:rPr>
      </w:pPr>
      <w:r>
        <w:rPr>
          <w:rFonts w:ascii="Arial" w:cs="Arial" w:eastAsia="Arial" w:hAnsi="Arial"/>
          <w:sz w:val="18"/>
          <w:szCs w:val="18"/>
          <w:b w:val="1"/>
          <w:bCs w:val="1"/>
          <w:color w:val="EB0029"/>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-457835</wp:posOffset>
            </wp:positionV>
            <wp:extent cx="7389495" cy="94722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89495" cy="9472295"/>
                    </a:xfrm>
                    <a:prstGeom prst="rect">
                      <a:avLst/>
                    </a:prstGeom>
                    <a:noFill/>
                  </pic:spPr>
                </pic:pic>
              </a:graphicData>
            </a:graphic>
          </wp:anchor>
        </w:drawing>
      </w:r>
    </w:p>
    <w:p>
      <w:pPr>
        <w:spacing w:after="0" w:line="79" w:lineRule="exact"/>
        <w:rPr>
          <w:sz w:val="20"/>
          <w:szCs w:val="20"/>
          <w:color w:val="auto"/>
        </w:rPr>
      </w:pPr>
    </w:p>
    <w:p>
      <w:pPr>
        <w:jc w:val="center"/>
        <w:ind w:right="-359"/>
        <w:spacing w:after="0"/>
        <w:rPr>
          <w:sz w:val="20"/>
          <w:szCs w:val="20"/>
          <w:color w:val="auto"/>
        </w:rPr>
      </w:pPr>
      <w:r>
        <w:rPr>
          <w:rFonts w:ascii="Arial" w:cs="Arial" w:eastAsia="Arial" w:hAnsi="Arial"/>
          <w:sz w:val="19"/>
          <w:szCs w:val="19"/>
          <w:b w:val="1"/>
          <w:bCs w:val="1"/>
          <w:color w:val="EB0029"/>
        </w:rPr>
        <w:t>SUBJECT TO COMPLETION, DATED FEBRUARY 6, 2019</w:t>
      </w:r>
    </w:p>
    <w:p>
      <w:pPr>
        <w:spacing w:after="0" w:line="213" w:lineRule="exact"/>
        <w:rPr>
          <w:sz w:val="20"/>
          <w:szCs w:val="20"/>
          <w:color w:val="auto"/>
        </w:rPr>
      </w:pPr>
    </w:p>
    <w:p>
      <w:pPr>
        <w:jc w:val="center"/>
        <w:ind w:right="-359"/>
        <w:spacing w:after="0"/>
        <w:rPr>
          <w:sz w:val="20"/>
          <w:szCs w:val="20"/>
          <w:color w:val="auto"/>
        </w:rPr>
      </w:pPr>
      <w:r>
        <w:rPr>
          <w:rFonts w:ascii="Arial" w:cs="Arial" w:eastAsia="Arial" w:hAnsi="Arial"/>
          <w:sz w:val="34"/>
          <w:szCs w:val="34"/>
          <w:b w:val="1"/>
          <w:bCs w:val="1"/>
          <w:color w:val="FFFFFF"/>
        </w:rPr>
        <w:t>9,250,000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59"/>
        <w:spacing w:after="0"/>
        <w:rPr>
          <w:sz w:val="20"/>
          <w:szCs w:val="20"/>
          <w:color w:val="auto"/>
        </w:rPr>
      </w:pPr>
      <w:r>
        <w:rPr>
          <w:rFonts w:ascii="Arial" w:cs="Arial" w:eastAsia="Arial" w:hAnsi="Arial"/>
          <w:sz w:val="27"/>
          <w:szCs w:val="27"/>
          <w:b w:val="1"/>
          <w:bCs w:val="1"/>
          <w:color w:val="FFFFFF"/>
        </w:rPr>
        <w:t>COMMON STOCK</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Arial" w:cs="Arial" w:eastAsia="Arial" w:hAnsi="Arial"/>
          <w:sz w:val="19"/>
          <w:szCs w:val="19"/>
          <w:color w:val="FFFFFF"/>
        </w:rPr>
        <w:t>This is an initial public offering of shares of common stock by Alector, Inc.</w:t>
      </w:r>
    </w:p>
    <w:p>
      <w:pPr>
        <w:spacing w:after="0" w:line="238" w:lineRule="exact"/>
        <w:rPr>
          <w:sz w:val="20"/>
          <w:szCs w:val="20"/>
          <w:color w:val="auto"/>
        </w:rPr>
      </w:pPr>
    </w:p>
    <w:p>
      <w:pPr>
        <w:ind w:left="360" w:right="300"/>
        <w:spacing w:after="0" w:line="275" w:lineRule="auto"/>
        <w:rPr>
          <w:sz w:val="20"/>
          <w:szCs w:val="20"/>
          <w:color w:val="auto"/>
        </w:rPr>
      </w:pPr>
      <w:r>
        <w:rPr>
          <w:rFonts w:ascii="Arial" w:cs="Arial" w:eastAsia="Arial" w:hAnsi="Arial"/>
          <w:sz w:val="19"/>
          <w:szCs w:val="19"/>
          <w:color w:val="FFFFFF"/>
        </w:rPr>
        <w:t>Prior to this offering, there has been no public market for our common stock. It is currently estimated that the initial public offering price will be between $18.00 and $20.00 per share.</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9"/>
          <w:szCs w:val="19"/>
          <w:color w:val="FFFFFF"/>
        </w:rPr>
        <w:t>We have applied to list our common stock on the NASDAQ Global Select Market under the symbol “ALEC.”</w:t>
      </w:r>
    </w:p>
    <w:p>
      <w:pPr>
        <w:spacing w:after="0" w:line="238" w:lineRule="exact"/>
        <w:rPr>
          <w:sz w:val="20"/>
          <w:szCs w:val="20"/>
          <w:color w:val="auto"/>
        </w:rPr>
      </w:pPr>
    </w:p>
    <w:p>
      <w:pPr>
        <w:ind w:left="360" w:right="520"/>
        <w:spacing w:after="0" w:line="275" w:lineRule="auto"/>
        <w:rPr>
          <w:sz w:val="20"/>
          <w:szCs w:val="20"/>
          <w:color w:val="auto"/>
        </w:rPr>
      </w:pPr>
      <w:r>
        <w:rPr>
          <w:rFonts w:ascii="Arial" w:cs="Arial" w:eastAsia="Arial" w:hAnsi="Arial"/>
          <w:sz w:val="19"/>
          <w:szCs w:val="19"/>
          <w:color w:val="FFFFFF"/>
        </w:rPr>
        <w:t>We are an “emerging growth company” as defined under the federal securities laws and, as such, have elected to comply with certain reduced reporting requirements for this prospectus and may elect to do so in future filings.</w:t>
      </w:r>
    </w:p>
    <w:p>
      <w:pPr>
        <w:spacing w:after="0" w:line="178" w:lineRule="exact"/>
        <w:rPr>
          <w:sz w:val="20"/>
          <w:szCs w:val="20"/>
          <w:color w:val="auto"/>
        </w:rPr>
      </w:pPr>
    </w:p>
    <w:p>
      <w:pPr>
        <w:ind w:left="360" w:right="200"/>
        <w:spacing w:after="0" w:line="282" w:lineRule="auto"/>
        <w:rPr>
          <w:rFonts w:ascii="Arial" w:cs="Arial" w:eastAsia="Arial" w:hAnsi="Arial"/>
          <w:sz w:val="19"/>
          <w:szCs w:val="19"/>
          <w:b w:val="1"/>
          <w:bCs w:val="1"/>
          <w:color w:val="FFFFFF"/>
        </w:rPr>
      </w:pPr>
      <w:r>
        <w:rPr>
          <w:rFonts w:ascii="Arial" w:cs="Arial" w:eastAsia="Arial" w:hAnsi="Arial"/>
          <w:sz w:val="19"/>
          <w:szCs w:val="19"/>
          <w:b w:val="1"/>
          <w:bCs w:val="1"/>
          <w:color w:val="FFFFFF"/>
        </w:rPr>
        <w:t>Investing in our common stock involves risks. See the section titled “</w:t>
      </w:r>
      <w:hyperlink w:anchor="page19">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FFFFFF"/>
        </w:rPr>
        <w:t>” beginning on page 11 to read about factors you should consider before buying shares of our common stock.</w:t>
      </w:r>
    </w:p>
    <w:p>
      <w:pPr>
        <w:spacing w:after="0" w:line="200" w:lineRule="exact"/>
        <w:rPr>
          <w:sz w:val="20"/>
          <w:szCs w:val="20"/>
          <w:color w:val="auto"/>
        </w:rPr>
      </w:pPr>
    </w:p>
    <w:p>
      <w:pPr>
        <w:spacing w:after="0" w:line="356" w:lineRule="exact"/>
        <w:rPr>
          <w:sz w:val="20"/>
          <w:szCs w:val="20"/>
          <w:color w:val="auto"/>
        </w:rPr>
      </w:pPr>
    </w:p>
    <w:p>
      <w:pPr>
        <w:ind w:left="360" w:right="40"/>
        <w:spacing w:after="0" w:line="311" w:lineRule="auto"/>
        <w:rPr>
          <w:sz w:val="20"/>
          <w:szCs w:val="20"/>
          <w:color w:val="auto"/>
        </w:rPr>
      </w:pPr>
      <w:r>
        <w:rPr>
          <w:rFonts w:ascii="Arial" w:cs="Arial" w:eastAsia="Arial" w:hAnsi="Arial"/>
          <w:sz w:val="18"/>
          <w:szCs w:val="18"/>
          <w:b w:val="1"/>
          <w:bCs w:val="1"/>
          <w:color w:val="FFFFFF"/>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0" w:lineRule="exact"/>
        <w:rPr>
          <w:sz w:val="20"/>
          <w:szCs w:val="20"/>
          <w:color w:val="auto"/>
        </w:rPr>
      </w:pPr>
    </w:p>
    <w:p>
      <w:pPr>
        <w:spacing w:after="0" w:line="386" w:lineRule="exact"/>
        <w:rPr>
          <w:sz w:val="20"/>
          <w:szCs w:val="20"/>
          <w:color w:val="auto"/>
        </w:rPr>
      </w:pPr>
    </w:p>
    <w:tbl>
      <w:tblPr>
        <w:tblLayout w:type="fixed"/>
        <w:tblInd w:w="1820" w:type="dxa"/>
        <w:tblCellMar>
          <w:top w:w="0" w:type="dxa"/>
          <w:left w:w="0" w:type="dxa"/>
          <w:bottom w:w="0" w:type="dxa"/>
          <w:right w:w="0" w:type="dxa"/>
        </w:tblCellMar>
      </w:tblPr>
      <w:tr>
        <w:trPr>
          <w:trHeight w:val="172"/>
        </w:trPr>
        <w:tc>
          <w:tcPr>
            <w:tcW w:w="4820" w:type="dxa"/>
            <w:vAlign w:val="bottom"/>
          </w:tcPr>
          <w:p>
            <w:pPr>
              <w:spacing w:after="0"/>
              <w:rPr>
                <w:sz w:val="15"/>
                <w:szCs w:val="15"/>
                <w:color w:val="auto"/>
              </w:rPr>
            </w:pPr>
          </w:p>
        </w:tc>
        <w:tc>
          <w:tcPr>
            <w:tcW w:w="2380" w:type="dxa"/>
            <w:vAlign w:val="bottom"/>
          </w:tcPr>
          <w:p>
            <w:pPr>
              <w:jc w:val="right"/>
              <w:ind w:right="333"/>
              <w:spacing w:after="0"/>
              <w:rPr>
                <w:sz w:val="20"/>
                <w:szCs w:val="20"/>
                <w:color w:val="auto"/>
              </w:rPr>
            </w:pPr>
            <w:r>
              <w:rPr>
                <w:rFonts w:ascii="Arial" w:cs="Arial" w:eastAsia="Arial" w:hAnsi="Arial"/>
                <w:sz w:val="15"/>
                <w:szCs w:val="15"/>
                <w:b w:val="1"/>
                <w:bCs w:val="1"/>
                <w:color w:val="FFFFFF"/>
              </w:rPr>
              <w:t>Per</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vMerge w:val="restart"/>
          </w:tcPr>
          <w:p>
            <w:pPr>
              <w:spacing w:after="0"/>
              <w:rPr>
                <w:sz w:val="20"/>
                <w:szCs w:val="20"/>
                <w:color w:val="auto"/>
              </w:rPr>
            </w:pPr>
            <w:r>
              <w:rPr>
                <w:rFonts w:ascii="Arial" w:cs="Arial" w:eastAsia="Arial" w:hAnsi="Arial"/>
                <w:sz w:val="19"/>
                <w:szCs w:val="19"/>
                <w:color w:val="FFFFFF"/>
              </w:rPr>
              <w:t>Initial public offering price</w:t>
            </w:r>
          </w:p>
        </w:tc>
        <w:tc>
          <w:tcPr>
            <w:tcW w:w="2380" w:type="dxa"/>
            <w:vAlign w:val="bottom"/>
          </w:tcPr>
          <w:p>
            <w:pPr>
              <w:jc w:val="right"/>
              <w:ind w:right="273"/>
              <w:spacing w:after="0"/>
              <w:rPr>
                <w:sz w:val="20"/>
                <w:szCs w:val="20"/>
                <w:color w:val="auto"/>
              </w:rPr>
            </w:pPr>
            <w:r>
              <w:rPr>
                <w:rFonts w:ascii="Arial" w:cs="Arial" w:eastAsia="Arial" w:hAnsi="Arial"/>
                <w:sz w:val="15"/>
                <w:szCs w:val="15"/>
                <w:b w:val="1"/>
                <w:bCs w:val="1"/>
                <w:color w:val="FFFFFF"/>
              </w:rPr>
              <w:t>Share</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27"/>
        </w:trPr>
        <w:tc>
          <w:tcPr>
            <w:tcW w:w="4820" w:type="dxa"/>
            <w:vAlign w:val="bottom"/>
            <w:vMerge w:val="continue"/>
          </w:tcPr>
          <w:p>
            <w:pPr>
              <w:spacing w:after="0"/>
              <w:rPr>
                <w:sz w:val="19"/>
                <w:szCs w:val="19"/>
                <w:color w:val="auto"/>
              </w:rPr>
            </w:pPr>
          </w:p>
        </w:tc>
        <w:tc>
          <w:tcPr>
            <w:tcW w:w="2380" w:type="dxa"/>
            <w:vAlign w:val="bottom"/>
          </w:tcPr>
          <w:p>
            <w:pPr>
              <w:jc w:val="right"/>
              <w:ind w:right="713"/>
              <w:spacing w:after="0"/>
              <w:rPr>
                <w:sz w:val="20"/>
                <w:szCs w:val="20"/>
                <w:color w:val="auto"/>
              </w:rPr>
            </w:pPr>
            <w:r>
              <w:rPr>
                <w:rFonts w:ascii="Arial" w:cs="Arial" w:eastAsia="Arial" w:hAnsi="Arial"/>
                <w:sz w:val="19"/>
                <w:szCs w:val="19"/>
                <w:color w:val="FFFFFF"/>
              </w:rPr>
              <w:t>$</w:t>
            </w:r>
          </w:p>
        </w:tc>
        <w:tc>
          <w:tcPr>
            <w:tcW w:w="900" w:type="dxa"/>
            <w:vAlign w:val="bottom"/>
          </w:tcPr>
          <w:p>
            <w:pPr>
              <w:jc w:val="right"/>
              <w:ind w:right="350"/>
              <w:spacing w:after="0"/>
              <w:rPr>
                <w:sz w:val="20"/>
                <w:szCs w:val="20"/>
                <w:color w:val="auto"/>
              </w:rPr>
            </w:pPr>
            <w:r>
              <w:rPr>
                <w:rFonts w:ascii="Arial" w:cs="Arial" w:eastAsia="Arial" w:hAnsi="Arial"/>
                <w:sz w:val="19"/>
                <w:szCs w:val="19"/>
                <w:color w:val="FFFFFF"/>
              </w:rPr>
              <w:t>$</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9"/>
                <w:szCs w:val="19"/>
                <w:color w:val="FFFFFF"/>
              </w:rPr>
              <w:t>Underwriting discounts and commissions</w:t>
            </w:r>
            <w:r>
              <w:rPr>
                <w:rFonts w:ascii="Arial" w:cs="Arial" w:eastAsia="Arial" w:hAnsi="Arial"/>
                <w:sz w:val="16"/>
                <w:szCs w:val="16"/>
                <w:color w:val="FFFFFF"/>
              </w:rPr>
              <w:t>(1)</w:t>
            </w:r>
          </w:p>
        </w:tc>
        <w:tc>
          <w:tcPr>
            <w:tcW w:w="2380" w:type="dxa"/>
            <w:vAlign w:val="bottom"/>
          </w:tcPr>
          <w:p>
            <w:pPr>
              <w:jc w:val="right"/>
              <w:ind w:right="713"/>
              <w:spacing w:after="0"/>
              <w:rPr>
                <w:sz w:val="20"/>
                <w:szCs w:val="20"/>
                <w:color w:val="auto"/>
              </w:rPr>
            </w:pPr>
            <w:r>
              <w:rPr>
                <w:rFonts w:ascii="Arial" w:cs="Arial" w:eastAsia="Arial" w:hAnsi="Arial"/>
                <w:sz w:val="19"/>
                <w:szCs w:val="19"/>
                <w:color w:val="FFFFFF"/>
              </w:rPr>
              <w:t>$</w:t>
            </w:r>
          </w:p>
        </w:tc>
        <w:tc>
          <w:tcPr>
            <w:tcW w:w="900" w:type="dxa"/>
            <w:vAlign w:val="bottom"/>
          </w:tcPr>
          <w:p>
            <w:pPr>
              <w:jc w:val="right"/>
              <w:ind w:right="350"/>
              <w:spacing w:after="0"/>
              <w:rPr>
                <w:sz w:val="20"/>
                <w:szCs w:val="20"/>
                <w:color w:val="auto"/>
              </w:rPr>
            </w:pPr>
            <w:r>
              <w:rPr>
                <w:rFonts w:ascii="Arial" w:cs="Arial" w:eastAsia="Arial" w:hAnsi="Arial"/>
                <w:sz w:val="19"/>
                <w:szCs w:val="19"/>
                <w:color w:val="FFFFFF"/>
              </w:rPr>
              <w:t>$</w:t>
            </w:r>
          </w:p>
        </w:tc>
        <w:tc>
          <w:tcPr>
            <w:tcW w:w="0" w:type="dxa"/>
            <w:vAlign w:val="bottom"/>
          </w:tcPr>
          <w:p>
            <w:pPr>
              <w:spacing w:after="0"/>
              <w:rPr>
                <w:sz w:val="1"/>
                <w:szCs w:val="1"/>
                <w:color w:val="auto"/>
              </w:rPr>
            </w:pPr>
          </w:p>
        </w:tc>
      </w:tr>
      <w:tr>
        <w:trPr>
          <w:trHeight w:val="241"/>
        </w:trPr>
        <w:tc>
          <w:tcPr>
            <w:tcW w:w="4820" w:type="dxa"/>
            <w:vAlign w:val="bottom"/>
          </w:tcPr>
          <w:p>
            <w:pPr>
              <w:spacing w:after="0"/>
              <w:rPr>
                <w:sz w:val="20"/>
                <w:szCs w:val="20"/>
                <w:color w:val="auto"/>
              </w:rPr>
            </w:pPr>
            <w:r>
              <w:rPr>
                <w:rFonts w:ascii="Arial" w:cs="Arial" w:eastAsia="Arial" w:hAnsi="Arial"/>
                <w:sz w:val="19"/>
                <w:szCs w:val="19"/>
                <w:color w:val="FFFFFF"/>
              </w:rPr>
              <w:t>Proceeds, before expenses, to us</w:t>
            </w:r>
          </w:p>
        </w:tc>
        <w:tc>
          <w:tcPr>
            <w:tcW w:w="2380" w:type="dxa"/>
            <w:vAlign w:val="bottom"/>
          </w:tcPr>
          <w:p>
            <w:pPr>
              <w:jc w:val="right"/>
              <w:ind w:right="713"/>
              <w:spacing w:after="0"/>
              <w:rPr>
                <w:sz w:val="20"/>
                <w:szCs w:val="20"/>
                <w:color w:val="auto"/>
              </w:rPr>
            </w:pPr>
            <w:r>
              <w:rPr>
                <w:rFonts w:ascii="Arial" w:cs="Arial" w:eastAsia="Arial" w:hAnsi="Arial"/>
                <w:sz w:val="19"/>
                <w:szCs w:val="19"/>
                <w:color w:val="FFFFFF"/>
              </w:rPr>
              <w:t>$</w:t>
            </w:r>
          </w:p>
        </w:tc>
        <w:tc>
          <w:tcPr>
            <w:tcW w:w="900" w:type="dxa"/>
            <w:vAlign w:val="bottom"/>
          </w:tcPr>
          <w:p>
            <w:pPr>
              <w:jc w:val="right"/>
              <w:ind w:right="350"/>
              <w:spacing w:after="0"/>
              <w:rPr>
                <w:sz w:val="20"/>
                <w:szCs w:val="20"/>
                <w:color w:val="auto"/>
              </w:rPr>
            </w:pPr>
            <w:r>
              <w:rPr>
                <w:rFonts w:ascii="Arial" w:cs="Arial" w:eastAsia="Arial" w:hAnsi="Arial"/>
                <w:sz w:val="19"/>
                <w:szCs w:val="19"/>
                <w:color w:val="FFFFFF"/>
              </w:rPr>
              <w:t>$</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2260" w:hanging="451"/>
        <w:spacing w:after="0"/>
        <w:tabs>
          <w:tab w:leader="none" w:pos="2260" w:val="left"/>
        </w:tabs>
        <w:numPr>
          <w:ilvl w:val="0"/>
          <w:numId w:val="2"/>
        </w:numPr>
        <w:rPr>
          <w:rFonts w:ascii="Arial" w:cs="Arial" w:eastAsia="Arial" w:hAnsi="Arial"/>
          <w:sz w:val="19"/>
          <w:szCs w:val="19"/>
          <w:color w:val="FFFFFF"/>
        </w:rPr>
      </w:pPr>
      <w:r>
        <w:rPr>
          <w:rFonts w:ascii="Arial" w:cs="Arial" w:eastAsia="Arial" w:hAnsi="Arial"/>
          <w:sz w:val="19"/>
          <w:szCs w:val="19"/>
          <w:color w:val="FFFFFF"/>
        </w:rPr>
        <w:t>See the section titled “Underwriting” for a description of the compensation payable to the underwriters.</w:t>
      </w:r>
    </w:p>
    <w:p>
      <w:pPr>
        <w:spacing w:after="0" w:line="238" w:lineRule="exact"/>
        <w:rPr>
          <w:sz w:val="20"/>
          <w:szCs w:val="20"/>
          <w:color w:val="auto"/>
        </w:rPr>
      </w:pPr>
    </w:p>
    <w:p>
      <w:pPr>
        <w:ind w:left="360" w:right="100"/>
        <w:spacing w:after="0" w:line="291" w:lineRule="auto"/>
        <w:rPr>
          <w:sz w:val="20"/>
          <w:szCs w:val="20"/>
          <w:color w:val="auto"/>
        </w:rPr>
      </w:pPr>
      <w:r>
        <w:rPr>
          <w:rFonts w:ascii="Arial" w:cs="Arial" w:eastAsia="Arial" w:hAnsi="Arial"/>
          <w:sz w:val="17"/>
          <w:szCs w:val="17"/>
          <w:color w:val="FFFFFF"/>
        </w:rPr>
        <w:t>Certain of our existing stockholders, including entities that are affiliated with certain of our directors and beneficially own more than 5% of our outstanding common stock, have indicated an interest in purchasing an aggregate of $85.0 million or more in shares of our common stock in this offering at the initial public offering price.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 The underwriters will receive the same underwriting discounts and commissions on any shares purchased by these stockholders as they will on any other shares sold to the public in this offering.</w:t>
      </w:r>
    </w:p>
    <w:p>
      <w:pPr>
        <w:spacing w:after="0" w:line="175" w:lineRule="exact"/>
        <w:rPr>
          <w:sz w:val="20"/>
          <w:szCs w:val="20"/>
          <w:color w:val="auto"/>
        </w:rPr>
      </w:pPr>
    </w:p>
    <w:p>
      <w:pPr>
        <w:jc w:val="both"/>
        <w:ind w:left="360" w:right="240"/>
        <w:spacing w:after="0" w:line="263" w:lineRule="auto"/>
        <w:rPr>
          <w:sz w:val="20"/>
          <w:szCs w:val="20"/>
          <w:color w:val="auto"/>
        </w:rPr>
      </w:pPr>
      <w:r>
        <w:rPr>
          <w:rFonts w:ascii="Arial" w:cs="Arial" w:eastAsia="Arial" w:hAnsi="Arial"/>
          <w:sz w:val="19"/>
          <w:szCs w:val="19"/>
          <w:color w:val="FFFFFF"/>
        </w:rPr>
        <w:t>We have granted the underwriters an option to purchase up to 1,387,500 additional shares of our common stock at the initial public offering price less underwriting discounts and commissions to cover over-allotments. The underwriters can exercise this option at any time within 30 days after the date of this prospectus.</w:t>
      </w:r>
    </w:p>
    <w:p>
      <w:pPr>
        <w:spacing w:after="0" w:line="194" w:lineRule="exact"/>
        <w:rPr>
          <w:sz w:val="20"/>
          <w:szCs w:val="20"/>
          <w:color w:val="auto"/>
        </w:rPr>
      </w:pPr>
    </w:p>
    <w:tbl>
      <w:tblPr>
        <w:tblLayout w:type="fixed"/>
        <w:tblInd w:w="360" w:type="dxa"/>
        <w:tblCellMar>
          <w:top w:w="0" w:type="dxa"/>
          <w:left w:w="0" w:type="dxa"/>
          <w:bottom w:w="0" w:type="dxa"/>
          <w:right w:w="0" w:type="dxa"/>
        </w:tblCellMar>
      </w:tblPr>
      <w:tr>
        <w:trPr>
          <w:trHeight w:val="241"/>
        </w:trPr>
        <w:tc>
          <w:tcPr>
            <w:tcW w:w="7240" w:type="dxa"/>
            <w:vAlign w:val="bottom"/>
          </w:tcPr>
          <w:p>
            <w:pPr>
              <w:spacing w:after="0"/>
              <w:rPr>
                <w:sz w:val="20"/>
                <w:szCs w:val="20"/>
                <w:color w:val="auto"/>
              </w:rPr>
            </w:pPr>
            <w:r>
              <w:rPr>
                <w:rFonts w:ascii="Arial" w:cs="Arial" w:eastAsia="Arial" w:hAnsi="Arial"/>
                <w:sz w:val="19"/>
                <w:szCs w:val="19"/>
                <w:color w:val="FFFFFF"/>
                <w:w w:val="96"/>
              </w:rPr>
              <w:t>The underwriters expect to deliver the shares of common stock to purchasers on or about</w:t>
            </w:r>
          </w:p>
        </w:tc>
        <w:tc>
          <w:tcPr>
            <w:tcW w:w="1040" w:type="dxa"/>
            <w:vAlign w:val="bottom"/>
          </w:tcPr>
          <w:p>
            <w:pPr>
              <w:jc w:val="right"/>
              <w:spacing w:after="0"/>
              <w:rPr>
                <w:sz w:val="20"/>
                <w:szCs w:val="20"/>
                <w:color w:val="auto"/>
              </w:rPr>
            </w:pPr>
            <w:r>
              <w:rPr>
                <w:rFonts w:ascii="Arial" w:cs="Arial" w:eastAsia="Arial" w:hAnsi="Arial"/>
                <w:sz w:val="19"/>
                <w:szCs w:val="19"/>
                <w:color w:val="FFFFFF"/>
              </w:rPr>
              <w:t>, 2019.</w:t>
            </w: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60"/>
        <w:spacing w:after="0"/>
        <w:tabs>
          <w:tab w:leader="none" w:pos="4680" w:val="left"/>
          <w:tab w:leader="none" w:pos="8480" w:val="left"/>
          <w:tab w:leader="none" w:pos="10500" w:val="left"/>
        </w:tabs>
        <w:rPr>
          <w:sz w:val="20"/>
          <w:szCs w:val="20"/>
          <w:color w:val="auto"/>
        </w:rPr>
      </w:pPr>
      <w:r>
        <w:rPr>
          <w:rFonts w:ascii="Arial" w:cs="Arial" w:eastAsia="Arial" w:hAnsi="Arial"/>
          <w:sz w:val="30"/>
          <w:szCs w:val="30"/>
          <w:b w:val="1"/>
          <w:bCs w:val="1"/>
          <w:color w:val="FFFFFF"/>
        </w:rPr>
        <w:t>Morgan Stanley</w:t>
      </w:r>
      <w:r>
        <w:rPr>
          <w:sz w:val="20"/>
          <w:szCs w:val="20"/>
          <w:color w:val="auto"/>
        </w:rPr>
        <w:tab/>
      </w:r>
      <w:r>
        <w:rPr>
          <w:rFonts w:ascii="Arial" w:cs="Arial" w:eastAsia="Arial" w:hAnsi="Arial"/>
          <w:sz w:val="30"/>
          <w:szCs w:val="30"/>
          <w:b w:val="1"/>
          <w:bCs w:val="1"/>
          <w:color w:val="FFFFFF"/>
        </w:rPr>
        <w:t>BofA Merrill Lynch</w:t>
      </w:r>
      <w:r>
        <w:rPr>
          <w:sz w:val="20"/>
          <w:szCs w:val="20"/>
          <w:color w:val="auto"/>
        </w:rPr>
        <w:tab/>
      </w:r>
      <w:r>
        <w:rPr>
          <w:rFonts w:ascii="Arial" w:cs="Arial" w:eastAsia="Arial" w:hAnsi="Arial"/>
          <w:sz w:val="30"/>
          <w:szCs w:val="30"/>
          <w:b w:val="1"/>
          <w:bCs w:val="1"/>
          <w:color w:val="FFFFFF"/>
        </w:rPr>
        <w:t>Cowen</w:t>
      </w:r>
      <w:r>
        <w:rPr>
          <w:sz w:val="20"/>
          <w:szCs w:val="20"/>
          <w:color w:val="auto"/>
        </w:rPr>
        <w:tab/>
      </w:r>
      <w:r>
        <w:rPr>
          <w:rFonts w:ascii="Arial" w:cs="Arial" w:eastAsia="Arial" w:hAnsi="Arial"/>
          <w:sz w:val="26"/>
          <w:szCs w:val="26"/>
          <w:b w:val="1"/>
          <w:bCs w:val="1"/>
          <w:color w:val="FFFFFF"/>
        </w:rPr>
        <w:t>Barclays</w:t>
      </w:r>
    </w:p>
    <w:p>
      <w:pPr>
        <w:sectPr>
          <w:pgSz w:w="12240" w:h="15971" w:orient="portrait"/>
          <w:cols w:equalWidth="0" w:num="1">
            <w:col w:w="11640"/>
          </w:cols>
          <w:pgMar w:left="120" w:top="336" w:right="480" w:bottom="0" w:gutter="0" w:footer="0" w:header="0"/>
        </w:sectPr>
      </w:pPr>
    </w:p>
    <w:p>
      <w:pPr>
        <w:spacing w:after="0" w:line="254" w:lineRule="exact"/>
        <w:rPr>
          <w:sz w:val="20"/>
          <w:szCs w:val="20"/>
          <w:color w:val="auto"/>
        </w:rPr>
      </w:pPr>
    </w:p>
    <w:p>
      <w:pPr>
        <w:ind w:left="4540"/>
        <w:spacing w:after="0"/>
        <w:tabs>
          <w:tab w:leader="none" w:pos="6900" w:val="left"/>
        </w:tabs>
        <w:rPr>
          <w:sz w:val="20"/>
          <w:szCs w:val="20"/>
          <w:color w:val="auto"/>
        </w:rPr>
      </w:pPr>
      <w:r>
        <w:rPr>
          <w:rFonts w:ascii="Arial" w:cs="Arial" w:eastAsia="Arial" w:hAnsi="Arial"/>
          <w:sz w:val="19"/>
          <w:szCs w:val="19"/>
          <w:b w:val="1"/>
          <w:bCs w:val="1"/>
          <w:color w:val="FFFFFF"/>
        </w:rPr>
        <w:t>Prospectus dated</w:t>
      </w:r>
      <w:r>
        <w:rPr>
          <w:sz w:val="20"/>
          <w:szCs w:val="20"/>
          <w:color w:val="auto"/>
        </w:rPr>
        <w:tab/>
      </w:r>
      <w:r>
        <w:rPr>
          <w:rFonts w:ascii="Arial" w:cs="Arial" w:eastAsia="Arial" w:hAnsi="Arial"/>
          <w:sz w:val="17"/>
          <w:szCs w:val="17"/>
          <w:b w:val="1"/>
          <w:bCs w:val="1"/>
          <w:color w:val="FFFFFF"/>
        </w:rPr>
        <w:t>, 2019.</w:t>
      </w:r>
    </w:p>
    <w:p>
      <w:pPr>
        <w:sectPr>
          <w:pgSz w:w="12240" w:h="15971" w:orient="portrait"/>
          <w:cols w:equalWidth="0" w:num="1">
            <w:col w:w="11640"/>
          </w:cols>
          <w:pgMar w:left="120" w:top="336" w:right="480" w:bottom="0" w:gutter="0" w:footer="0" w:header="0"/>
          <w:type w:val="continuous"/>
        </w:sectPr>
      </w:pPr>
    </w:p>
    <w:bookmarkStart w:id="2" w:name="page3"/>
    <w:bookmarkEnd w:id="2"/>
    <w:p>
      <w:pPr>
        <w:spacing w:after="0"/>
        <w:tabs>
          <w:tab w:leader="none" w:pos="69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0</wp:posOffset>
            </wp:positionV>
            <wp:extent cx="7389495" cy="996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89495" cy="9969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ectPr>
          <w:pgSz w:w="12240" w:h="15840" w:orient="portrait"/>
          <w:cols w:equalWidth="0" w:num="1">
            <w:col w:w="10680"/>
          </w:cols>
          <w:pgMar w:left="120" w:top="336"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0</wp:posOffset>
            </wp:positionV>
            <wp:extent cx="7425690" cy="9671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425690" cy="96716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ectPr>
          <w:pgSz w:w="12240" w:h="15840" w:orient="portrait"/>
          <w:cols w:equalWidth="0" w:num="1">
            <w:col w:w="10680"/>
          </w:cols>
          <w:pgMar w:left="120" w:top="336" w:right="1440"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0</wp:posOffset>
            </wp:positionV>
            <wp:extent cx="7425690" cy="9671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425690" cy="96716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8"/>
        </w:trPr>
        <w:tc>
          <w:tcPr>
            <w:tcW w:w="9860" w:type="dxa"/>
            <w:vAlign w:val="bottom"/>
            <w:gridSpan w:val="26"/>
          </w:tcPr>
          <w:p>
            <w:pPr>
              <w:spacing w:after="0"/>
              <w:rPr>
                <w:rFonts w:ascii="Arial" w:cs="Arial" w:eastAsia="Arial" w:hAnsi="Arial"/>
                <w:sz w:val="19"/>
                <w:szCs w:val="19"/>
                <w:b w:val="1"/>
                <w:bCs w:val="1"/>
                <w:color w:val="0000EE"/>
              </w:rPr>
            </w:pPr>
            <w:hyperlink w:anchor="page8">
              <w:r>
                <w:rPr>
                  <w:rFonts w:ascii="Arial" w:cs="Arial" w:eastAsia="Arial" w:hAnsi="Arial"/>
                  <w:sz w:val="19"/>
                  <w:szCs w:val="19"/>
                  <w:b w:val="1"/>
                  <w:bCs w:val="1"/>
                  <w:color w:val="0000EE"/>
                </w:rPr>
                <w:t>Table of Contents</w:t>
              </w:r>
            </w:hyperlink>
          </w:p>
        </w:tc>
        <w:tc>
          <w:tcPr>
            <w:tcW w:w="1900" w:type="dxa"/>
            <w:vAlign w:val="bottom"/>
          </w:tcPr>
          <w:p>
            <w:pPr>
              <w:spacing w:after="0"/>
              <w:rPr>
                <w:sz w:val="18"/>
                <w:szCs w:val="18"/>
                <w:color w:val="auto"/>
              </w:rPr>
            </w:pPr>
          </w:p>
        </w:tc>
      </w:tr>
      <w:tr>
        <w:trPr>
          <w:trHeight w:val="564"/>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80" w:type="dxa"/>
            <w:vAlign w:val="bottom"/>
            <w:gridSpan w:val="3"/>
          </w:tcPr>
          <w:p>
            <w:pPr>
              <w:ind w:left="700"/>
              <w:spacing w:after="0"/>
              <w:rPr>
                <w:sz w:val="20"/>
                <w:szCs w:val="20"/>
                <w:color w:val="auto"/>
              </w:rPr>
            </w:pPr>
            <w:r>
              <w:rPr>
                <w:rFonts w:ascii="Arial" w:cs="Arial" w:eastAsia="Arial" w:hAnsi="Arial"/>
                <w:sz w:val="19"/>
                <w:szCs w:val="19"/>
                <w:b w:val="1"/>
                <w:bCs w:val="1"/>
                <w:color w:val="auto"/>
              </w:rPr>
              <w:t>TABLE OF CONTENTS</w:t>
            </w:r>
          </w:p>
        </w:tc>
        <w:tc>
          <w:tcPr>
            <w:tcW w:w="1900" w:type="dxa"/>
            <w:vAlign w:val="bottom"/>
          </w:tcPr>
          <w:p>
            <w:pPr>
              <w:spacing w:after="0"/>
              <w:rPr>
                <w:sz w:val="24"/>
                <w:szCs w:val="24"/>
                <w:color w:val="auto"/>
              </w:rPr>
            </w:pPr>
          </w:p>
        </w:tc>
      </w:tr>
      <w:tr>
        <w:trPr>
          <w:trHeight w:val="443"/>
        </w:trPr>
        <w:tc>
          <w:tcPr>
            <w:tcW w:w="180" w:type="dxa"/>
            <w:vAlign w:val="bottom"/>
          </w:tcPr>
          <w:p>
            <w:pPr>
              <w:spacing w:after="0"/>
              <w:rPr>
                <w:sz w:val="24"/>
                <w:szCs w:val="24"/>
                <w:color w:val="auto"/>
              </w:rPr>
            </w:pPr>
          </w:p>
        </w:tc>
        <w:tc>
          <w:tcPr>
            <w:tcW w:w="9680" w:type="dxa"/>
            <w:vAlign w:val="bottom"/>
            <w:gridSpan w:val="25"/>
          </w:tcPr>
          <w:p>
            <w:pPr>
              <w:spacing w:after="0"/>
              <w:rPr>
                <w:rFonts w:ascii="Arial" w:cs="Arial" w:eastAsia="Arial" w:hAnsi="Arial"/>
                <w:sz w:val="19"/>
                <w:szCs w:val="19"/>
                <w:color w:val="0000EE"/>
              </w:rPr>
            </w:pPr>
            <w:hyperlink w:anchor="page9">
              <w:r>
                <w:rPr>
                  <w:rFonts w:ascii="Arial" w:cs="Arial" w:eastAsia="Arial" w:hAnsi="Arial"/>
                  <w:sz w:val="19"/>
                  <w:szCs w:val="19"/>
                  <w:color w:val="0000EE"/>
                </w:rPr>
                <w:t>Prospectus Summary</w:t>
              </w:r>
            </w:hyperlink>
          </w:p>
        </w:tc>
        <w:tc>
          <w:tcPr>
            <w:tcW w:w="190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08"/>
        </w:trPr>
        <w:tc>
          <w:tcPr>
            <w:tcW w:w="180" w:type="dxa"/>
            <w:vAlign w:val="bottom"/>
          </w:tcPr>
          <w:p>
            <w:pPr>
              <w:spacing w:after="0"/>
              <w:rPr>
                <w:sz w:val="18"/>
                <w:szCs w:val="18"/>
                <w:color w:val="auto"/>
              </w:rPr>
            </w:pPr>
          </w:p>
        </w:tc>
        <w:tc>
          <w:tcPr>
            <w:tcW w:w="1020" w:type="dxa"/>
            <w:vAlign w:val="bottom"/>
            <w:tcBorders>
              <w:top w:val="single" w:sz="8" w:color="0000EE"/>
              <w:bottom w:val="single" w:sz="8" w:color="0000EE"/>
            </w:tcBorders>
            <w:gridSpan w:val="6"/>
          </w:tcPr>
          <w:p>
            <w:pPr>
              <w:spacing w:after="0" w:line="208" w:lineRule="exact"/>
              <w:rPr>
                <w:rFonts w:ascii="Arial" w:cs="Arial" w:eastAsia="Arial" w:hAnsi="Arial"/>
                <w:sz w:val="19"/>
                <w:szCs w:val="19"/>
                <w:color w:val="0000EE"/>
                <w:w w:val="94"/>
              </w:rPr>
            </w:pPr>
            <w:hyperlink w:anchor="page15">
              <w:r>
                <w:rPr>
                  <w:rFonts w:ascii="Arial" w:cs="Arial" w:eastAsia="Arial" w:hAnsi="Arial"/>
                  <w:sz w:val="19"/>
                  <w:szCs w:val="19"/>
                  <w:color w:val="0000EE"/>
                  <w:w w:val="94"/>
                </w:rPr>
                <w:t>The Offering</w:t>
              </w:r>
            </w:hyperlink>
          </w:p>
        </w:tc>
        <w:tc>
          <w:tcPr>
            <w:tcW w:w="580" w:type="dxa"/>
            <w:vAlign w:val="bottom"/>
            <w:tcBorders>
              <w:top w:val="single" w:sz="8" w:color="0000EE"/>
            </w:tcBorders>
            <w:gridSpan w:val="5"/>
          </w:tcPr>
          <w:p>
            <w:pPr>
              <w:spacing w:after="0"/>
              <w:rPr>
                <w:sz w:val="18"/>
                <w:szCs w:val="18"/>
                <w:color w:val="auto"/>
              </w:rPr>
            </w:pPr>
          </w:p>
        </w:tc>
        <w:tc>
          <w:tcPr>
            <w:tcW w:w="8080" w:type="dxa"/>
            <w:vAlign w:val="bottom"/>
            <w:gridSpan w:val="14"/>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7</w:t>
            </w:r>
          </w:p>
        </w:tc>
      </w:tr>
      <w:tr>
        <w:trPr>
          <w:trHeight w:val="208"/>
        </w:trPr>
        <w:tc>
          <w:tcPr>
            <w:tcW w:w="180" w:type="dxa"/>
            <w:vAlign w:val="bottom"/>
          </w:tcPr>
          <w:p>
            <w:pPr>
              <w:spacing w:after="0"/>
              <w:rPr>
                <w:sz w:val="18"/>
                <w:szCs w:val="18"/>
                <w:color w:val="auto"/>
              </w:rPr>
            </w:pPr>
          </w:p>
        </w:tc>
        <w:tc>
          <w:tcPr>
            <w:tcW w:w="2960" w:type="dxa"/>
            <w:vAlign w:val="bottom"/>
            <w:tcBorders>
              <w:bottom w:val="single" w:sz="8" w:color="0000EE"/>
            </w:tcBorders>
            <w:gridSpan w:val="19"/>
          </w:tcPr>
          <w:p>
            <w:pPr>
              <w:spacing w:after="0" w:line="208" w:lineRule="exact"/>
              <w:rPr>
                <w:rFonts w:ascii="Arial" w:cs="Arial" w:eastAsia="Arial" w:hAnsi="Arial"/>
                <w:sz w:val="19"/>
                <w:szCs w:val="19"/>
                <w:color w:val="0000EE"/>
                <w:w w:val="90"/>
              </w:rPr>
            </w:pPr>
            <w:hyperlink w:anchor="page17">
              <w:r>
                <w:rPr>
                  <w:rFonts w:ascii="Arial" w:cs="Arial" w:eastAsia="Arial" w:hAnsi="Arial"/>
                  <w:sz w:val="19"/>
                  <w:szCs w:val="19"/>
                  <w:color w:val="0000EE"/>
                  <w:w w:val="90"/>
                </w:rPr>
                <w:t>Summary Consolidated Financial Data</w:t>
              </w:r>
            </w:hyperlink>
          </w:p>
        </w:tc>
        <w:tc>
          <w:tcPr>
            <w:tcW w:w="6720" w:type="dxa"/>
            <w:vAlign w:val="bottom"/>
            <w:gridSpan w:val="6"/>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9</w:t>
            </w:r>
          </w:p>
        </w:tc>
      </w:tr>
      <w:tr>
        <w:trPr>
          <w:trHeight w:val="208"/>
        </w:trPr>
        <w:tc>
          <w:tcPr>
            <w:tcW w:w="180" w:type="dxa"/>
            <w:vAlign w:val="bottom"/>
          </w:tcPr>
          <w:p>
            <w:pPr>
              <w:spacing w:after="0"/>
              <w:rPr>
                <w:sz w:val="18"/>
                <w:szCs w:val="18"/>
                <w:color w:val="auto"/>
              </w:rPr>
            </w:pPr>
          </w:p>
        </w:tc>
        <w:tc>
          <w:tcPr>
            <w:tcW w:w="960" w:type="dxa"/>
            <w:vAlign w:val="bottom"/>
            <w:tcBorders>
              <w:bottom w:val="single" w:sz="8" w:color="0000EE"/>
            </w:tcBorders>
            <w:gridSpan w:val="4"/>
          </w:tcPr>
          <w:p>
            <w:pPr>
              <w:spacing w:after="0" w:line="208" w:lineRule="exact"/>
              <w:rPr>
                <w:rFonts w:ascii="Arial" w:cs="Arial" w:eastAsia="Arial" w:hAnsi="Arial"/>
                <w:sz w:val="19"/>
                <w:szCs w:val="19"/>
                <w:color w:val="0000EE"/>
                <w:w w:val="88"/>
              </w:rPr>
            </w:pPr>
            <w:hyperlink w:anchor="page19">
              <w:r>
                <w:rPr>
                  <w:rFonts w:ascii="Arial" w:cs="Arial" w:eastAsia="Arial" w:hAnsi="Arial"/>
                  <w:sz w:val="19"/>
                  <w:szCs w:val="19"/>
                  <w:color w:val="0000EE"/>
                  <w:w w:val="88"/>
                </w:rPr>
                <w:t>Risk Factors</w:t>
              </w:r>
            </w:hyperlink>
          </w:p>
        </w:tc>
        <w:tc>
          <w:tcPr>
            <w:tcW w:w="8720" w:type="dxa"/>
            <w:vAlign w:val="bottom"/>
            <w:gridSpan w:val="21"/>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11</w:t>
            </w:r>
          </w:p>
        </w:tc>
      </w:tr>
      <w:tr>
        <w:trPr>
          <w:trHeight w:val="208"/>
        </w:trPr>
        <w:tc>
          <w:tcPr>
            <w:tcW w:w="180" w:type="dxa"/>
            <w:vAlign w:val="bottom"/>
          </w:tcPr>
          <w:p>
            <w:pPr>
              <w:spacing w:after="0"/>
              <w:rPr>
                <w:sz w:val="18"/>
                <w:szCs w:val="18"/>
                <w:color w:val="auto"/>
              </w:rPr>
            </w:pPr>
          </w:p>
        </w:tc>
        <w:tc>
          <w:tcPr>
            <w:tcW w:w="4100" w:type="dxa"/>
            <w:vAlign w:val="bottom"/>
            <w:tcBorders>
              <w:bottom w:val="single" w:sz="8" w:color="0000EE"/>
            </w:tcBorders>
            <w:gridSpan w:val="22"/>
          </w:tcPr>
          <w:p>
            <w:pPr>
              <w:spacing w:after="0" w:line="208" w:lineRule="exact"/>
              <w:rPr>
                <w:rFonts w:ascii="Arial" w:cs="Arial" w:eastAsia="Arial" w:hAnsi="Arial"/>
                <w:sz w:val="19"/>
                <w:szCs w:val="19"/>
                <w:color w:val="0000EE"/>
                <w:w w:val="90"/>
              </w:rPr>
            </w:pPr>
            <w:hyperlink w:anchor="page70">
              <w:r>
                <w:rPr>
                  <w:rFonts w:ascii="Arial" w:cs="Arial" w:eastAsia="Arial" w:hAnsi="Arial"/>
                  <w:sz w:val="19"/>
                  <w:szCs w:val="19"/>
                  <w:color w:val="0000EE"/>
                  <w:w w:val="90"/>
                </w:rPr>
                <w:t>Special Note Regarding Forward-Looking Statements</w:t>
              </w:r>
            </w:hyperlink>
          </w:p>
        </w:tc>
        <w:tc>
          <w:tcPr>
            <w:tcW w:w="5580" w:type="dxa"/>
            <w:vAlign w:val="bottom"/>
            <w:gridSpan w:val="3"/>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62</w:t>
            </w:r>
          </w:p>
        </w:tc>
      </w:tr>
      <w:tr>
        <w:trPr>
          <w:trHeight w:val="208"/>
        </w:trPr>
        <w:tc>
          <w:tcPr>
            <w:tcW w:w="180" w:type="dxa"/>
            <w:vAlign w:val="bottom"/>
          </w:tcPr>
          <w:p>
            <w:pPr>
              <w:spacing w:after="0"/>
              <w:rPr>
                <w:sz w:val="18"/>
                <w:szCs w:val="18"/>
                <w:color w:val="auto"/>
              </w:rPr>
            </w:pPr>
          </w:p>
        </w:tc>
        <w:tc>
          <w:tcPr>
            <w:tcW w:w="9680" w:type="dxa"/>
            <w:vAlign w:val="bottom"/>
            <w:gridSpan w:val="25"/>
          </w:tcPr>
          <w:p>
            <w:pPr>
              <w:spacing w:after="0" w:line="208" w:lineRule="exact"/>
              <w:rPr>
                <w:rFonts w:ascii="Arial" w:cs="Arial" w:eastAsia="Arial" w:hAnsi="Arial"/>
                <w:sz w:val="19"/>
                <w:szCs w:val="19"/>
                <w:color w:val="0000EE"/>
              </w:rPr>
            </w:pPr>
            <w:hyperlink w:anchor="page72">
              <w:r>
                <w:rPr>
                  <w:rFonts w:ascii="Arial" w:cs="Arial" w:eastAsia="Arial" w:hAnsi="Arial"/>
                  <w:sz w:val="19"/>
                  <w:szCs w:val="19"/>
                  <w:color w:val="0000EE"/>
                </w:rPr>
                <w:t>Market, Industry and Other Data</w:t>
              </w:r>
            </w:hyperlink>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64</w:t>
            </w:r>
          </w:p>
        </w:tc>
      </w:tr>
      <w:tr>
        <w:trPr>
          <w:trHeight w:val="208"/>
        </w:trPr>
        <w:tc>
          <w:tcPr>
            <w:tcW w:w="180" w:type="dxa"/>
            <w:vAlign w:val="bottom"/>
          </w:tcPr>
          <w:p>
            <w:pPr>
              <w:spacing w:after="0"/>
              <w:rPr>
                <w:sz w:val="18"/>
                <w:szCs w:val="18"/>
                <w:color w:val="auto"/>
              </w:rPr>
            </w:pPr>
          </w:p>
        </w:tc>
        <w:tc>
          <w:tcPr>
            <w:tcW w:w="1240" w:type="dxa"/>
            <w:vAlign w:val="bottom"/>
            <w:tcBorders>
              <w:top w:val="single" w:sz="8" w:color="0000EE"/>
              <w:bottom w:val="single" w:sz="8" w:color="0000EE"/>
            </w:tcBorders>
            <w:gridSpan w:val="9"/>
          </w:tcPr>
          <w:p>
            <w:pPr>
              <w:spacing w:after="0" w:line="208" w:lineRule="exact"/>
              <w:rPr>
                <w:rFonts w:ascii="Arial" w:cs="Arial" w:eastAsia="Arial" w:hAnsi="Arial"/>
                <w:sz w:val="19"/>
                <w:szCs w:val="19"/>
                <w:color w:val="0000EE"/>
                <w:w w:val="86"/>
              </w:rPr>
            </w:pPr>
            <w:hyperlink w:anchor="page73">
              <w:r>
                <w:rPr>
                  <w:rFonts w:ascii="Arial" w:cs="Arial" w:eastAsia="Arial" w:hAnsi="Arial"/>
                  <w:sz w:val="19"/>
                  <w:szCs w:val="19"/>
                  <w:color w:val="0000EE"/>
                  <w:w w:val="86"/>
                </w:rPr>
                <w:t>Use of Proceeds</w:t>
              </w:r>
            </w:hyperlink>
          </w:p>
        </w:tc>
        <w:tc>
          <w:tcPr>
            <w:tcW w:w="1240" w:type="dxa"/>
            <w:vAlign w:val="bottom"/>
            <w:tcBorders>
              <w:top w:val="single" w:sz="8" w:color="0000EE"/>
            </w:tcBorders>
            <w:gridSpan w:val="9"/>
          </w:tcPr>
          <w:p>
            <w:pPr>
              <w:spacing w:after="0"/>
              <w:rPr>
                <w:sz w:val="18"/>
                <w:szCs w:val="18"/>
                <w:color w:val="auto"/>
              </w:rPr>
            </w:pPr>
          </w:p>
        </w:tc>
        <w:tc>
          <w:tcPr>
            <w:tcW w:w="7200" w:type="dxa"/>
            <w:vAlign w:val="bottom"/>
            <w:gridSpan w:val="7"/>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65</w:t>
            </w:r>
          </w:p>
        </w:tc>
      </w:tr>
      <w:tr>
        <w:trPr>
          <w:trHeight w:val="208"/>
        </w:trPr>
        <w:tc>
          <w:tcPr>
            <w:tcW w:w="180" w:type="dxa"/>
            <w:vAlign w:val="bottom"/>
          </w:tcPr>
          <w:p>
            <w:pPr>
              <w:spacing w:after="0"/>
              <w:rPr>
                <w:sz w:val="18"/>
                <w:szCs w:val="18"/>
                <w:color w:val="auto"/>
              </w:rPr>
            </w:pPr>
          </w:p>
        </w:tc>
        <w:tc>
          <w:tcPr>
            <w:tcW w:w="9680" w:type="dxa"/>
            <w:vAlign w:val="bottom"/>
            <w:gridSpan w:val="25"/>
          </w:tcPr>
          <w:p>
            <w:pPr>
              <w:spacing w:after="0" w:line="208" w:lineRule="exact"/>
              <w:rPr>
                <w:rFonts w:ascii="Arial" w:cs="Arial" w:eastAsia="Arial" w:hAnsi="Arial"/>
                <w:sz w:val="19"/>
                <w:szCs w:val="19"/>
                <w:color w:val="0000EE"/>
              </w:rPr>
            </w:pPr>
            <w:hyperlink w:anchor="page74">
              <w:r>
                <w:rPr>
                  <w:rFonts w:ascii="Arial" w:cs="Arial" w:eastAsia="Arial" w:hAnsi="Arial"/>
                  <w:sz w:val="19"/>
                  <w:szCs w:val="19"/>
                  <w:color w:val="0000EE"/>
                </w:rPr>
                <w:t>Dividend Policy</w:t>
              </w:r>
            </w:hyperlink>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66</w:t>
            </w:r>
          </w:p>
        </w:tc>
      </w:tr>
      <w:tr>
        <w:trPr>
          <w:trHeight w:val="208"/>
        </w:trPr>
        <w:tc>
          <w:tcPr>
            <w:tcW w:w="180" w:type="dxa"/>
            <w:vAlign w:val="bottom"/>
          </w:tcPr>
          <w:p>
            <w:pPr>
              <w:spacing w:after="0"/>
              <w:rPr>
                <w:sz w:val="18"/>
                <w:szCs w:val="18"/>
                <w:color w:val="auto"/>
              </w:rPr>
            </w:pPr>
          </w:p>
        </w:tc>
        <w:tc>
          <w:tcPr>
            <w:tcW w:w="1080" w:type="dxa"/>
            <w:vAlign w:val="bottom"/>
            <w:tcBorders>
              <w:top w:val="single" w:sz="8" w:color="0000EE"/>
              <w:bottom w:val="single" w:sz="8" w:color="0000EE"/>
            </w:tcBorders>
            <w:gridSpan w:val="8"/>
          </w:tcPr>
          <w:p>
            <w:pPr>
              <w:spacing w:after="0" w:line="208" w:lineRule="exact"/>
              <w:rPr>
                <w:rFonts w:ascii="Arial" w:cs="Arial" w:eastAsia="Arial" w:hAnsi="Arial"/>
                <w:sz w:val="19"/>
                <w:szCs w:val="19"/>
                <w:color w:val="0000EE"/>
                <w:w w:val="92"/>
              </w:rPr>
            </w:pPr>
            <w:hyperlink w:anchor="page75">
              <w:r>
                <w:rPr>
                  <w:rFonts w:ascii="Arial" w:cs="Arial" w:eastAsia="Arial" w:hAnsi="Arial"/>
                  <w:sz w:val="19"/>
                  <w:szCs w:val="19"/>
                  <w:color w:val="0000EE"/>
                  <w:w w:val="92"/>
                </w:rPr>
                <w:t>Capitalization</w:t>
              </w:r>
            </w:hyperlink>
          </w:p>
        </w:tc>
        <w:tc>
          <w:tcPr>
            <w:tcW w:w="160" w:type="dxa"/>
            <w:vAlign w:val="bottom"/>
            <w:tcBorders>
              <w:top w:val="single" w:sz="8" w:color="0000EE"/>
            </w:tcBorders>
          </w:tcPr>
          <w:p>
            <w:pPr>
              <w:spacing w:after="0"/>
              <w:rPr>
                <w:sz w:val="18"/>
                <w:szCs w:val="18"/>
                <w:color w:val="auto"/>
              </w:rPr>
            </w:pPr>
          </w:p>
        </w:tc>
        <w:tc>
          <w:tcPr>
            <w:tcW w:w="8440" w:type="dxa"/>
            <w:vAlign w:val="bottom"/>
            <w:gridSpan w:val="16"/>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67</w:t>
            </w:r>
          </w:p>
        </w:tc>
      </w:tr>
      <w:tr>
        <w:trPr>
          <w:trHeight w:val="208"/>
        </w:trPr>
        <w:tc>
          <w:tcPr>
            <w:tcW w:w="180" w:type="dxa"/>
            <w:vAlign w:val="bottom"/>
          </w:tcPr>
          <w:p>
            <w:pPr>
              <w:spacing w:after="0"/>
              <w:rPr>
                <w:sz w:val="18"/>
                <w:szCs w:val="18"/>
                <w:color w:val="auto"/>
              </w:rPr>
            </w:pPr>
          </w:p>
        </w:tc>
        <w:tc>
          <w:tcPr>
            <w:tcW w:w="640" w:type="dxa"/>
            <w:vAlign w:val="bottom"/>
            <w:tcBorders>
              <w:bottom w:val="single" w:sz="8" w:color="0000EE"/>
            </w:tcBorders>
            <w:gridSpan w:val="2"/>
          </w:tcPr>
          <w:p>
            <w:pPr>
              <w:spacing w:after="0" w:line="208" w:lineRule="exact"/>
              <w:rPr>
                <w:rFonts w:ascii="Arial" w:cs="Arial" w:eastAsia="Arial" w:hAnsi="Arial"/>
                <w:sz w:val="19"/>
                <w:szCs w:val="19"/>
                <w:color w:val="0000EE"/>
                <w:w w:val="97"/>
              </w:rPr>
            </w:pPr>
            <w:hyperlink w:anchor="page77">
              <w:r>
                <w:rPr>
                  <w:rFonts w:ascii="Arial" w:cs="Arial" w:eastAsia="Arial" w:hAnsi="Arial"/>
                  <w:sz w:val="19"/>
                  <w:szCs w:val="19"/>
                  <w:color w:val="0000EE"/>
                  <w:w w:val="97"/>
                </w:rPr>
                <w:t>Dilution</w:t>
              </w:r>
            </w:hyperlink>
          </w:p>
        </w:tc>
        <w:tc>
          <w:tcPr>
            <w:tcW w:w="9040" w:type="dxa"/>
            <w:vAlign w:val="bottom"/>
            <w:gridSpan w:val="23"/>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69</w:t>
            </w:r>
          </w:p>
        </w:tc>
      </w:tr>
      <w:tr>
        <w:trPr>
          <w:trHeight w:val="208"/>
        </w:trPr>
        <w:tc>
          <w:tcPr>
            <w:tcW w:w="180" w:type="dxa"/>
            <w:vAlign w:val="bottom"/>
          </w:tcPr>
          <w:p>
            <w:pPr>
              <w:spacing w:after="0"/>
              <w:rPr>
                <w:sz w:val="18"/>
                <w:szCs w:val="18"/>
                <w:color w:val="auto"/>
              </w:rPr>
            </w:pPr>
          </w:p>
        </w:tc>
        <w:tc>
          <w:tcPr>
            <w:tcW w:w="9680" w:type="dxa"/>
            <w:vAlign w:val="bottom"/>
            <w:gridSpan w:val="25"/>
          </w:tcPr>
          <w:p>
            <w:pPr>
              <w:spacing w:after="0" w:line="208" w:lineRule="exact"/>
              <w:rPr>
                <w:rFonts w:ascii="Arial" w:cs="Arial" w:eastAsia="Arial" w:hAnsi="Arial"/>
                <w:sz w:val="19"/>
                <w:szCs w:val="19"/>
                <w:color w:val="0000EE"/>
              </w:rPr>
            </w:pPr>
            <w:hyperlink w:anchor="page80">
              <w:r>
                <w:rPr>
                  <w:rFonts w:ascii="Arial" w:cs="Arial" w:eastAsia="Arial" w:hAnsi="Arial"/>
                  <w:sz w:val="19"/>
                  <w:szCs w:val="19"/>
                  <w:color w:val="0000EE"/>
                </w:rPr>
                <w:t>Selected Financial Data</w:t>
              </w:r>
            </w:hyperlink>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72</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8"/>
        </w:trPr>
        <w:tc>
          <w:tcPr>
            <w:tcW w:w="180" w:type="dxa"/>
            <w:vAlign w:val="bottom"/>
          </w:tcPr>
          <w:p>
            <w:pPr>
              <w:spacing w:after="0"/>
              <w:rPr>
                <w:sz w:val="18"/>
                <w:szCs w:val="18"/>
                <w:color w:val="auto"/>
              </w:rPr>
            </w:pPr>
          </w:p>
        </w:tc>
        <w:tc>
          <w:tcPr>
            <w:tcW w:w="6820" w:type="dxa"/>
            <w:vAlign w:val="bottom"/>
            <w:tcBorders>
              <w:bottom w:val="single" w:sz="8" w:color="0000EE"/>
            </w:tcBorders>
            <w:gridSpan w:val="23"/>
          </w:tcPr>
          <w:p>
            <w:pPr>
              <w:spacing w:after="0" w:line="208" w:lineRule="exact"/>
              <w:rPr>
                <w:rFonts w:ascii="Arial" w:cs="Arial" w:eastAsia="Arial" w:hAnsi="Arial"/>
                <w:sz w:val="19"/>
                <w:szCs w:val="19"/>
                <w:color w:val="0000EE"/>
                <w:w w:val="90"/>
              </w:rPr>
            </w:pPr>
            <w:hyperlink w:anchor="page82">
              <w:r>
                <w:rPr>
                  <w:rFonts w:ascii="Arial" w:cs="Arial" w:eastAsia="Arial" w:hAnsi="Arial"/>
                  <w:sz w:val="19"/>
                  <w:szCs w:val="19"/>
                  <w:color w:val="0000EE"/>
                  <w:w w:val="90"/>
                </w:rPr>
                <w:t>Management’s Discussion and Analysis of Financial Condition and Results of Operations</w:t>
              </w:r>
            </w:hyperlink>
          </w:p>
        </w:tc>
        <w:tc>
          <w:tcPr>
            <w:tcW w:w="2860" w:type="dxa"/>
            <w:vAlign w:val="bottom"/>
            <w:gridSpan w:val="2"/>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74</w:t>
            </w:r>
          </w:p>
        </w:tc>
      </w:tr>
      <w:tr>
        <w:trPr>
          <w:trHeight w:val="208"/>
        </w:trPr>
        <w:tc>
          <w:tcPr>
            <w:tcW w:w="180" w:type="dxa"/>
            <w:vAlign w:val="bottom"/>
          </w:tcPr>
          <w:p>
            <w:pPr>
              <w:spacing w:after="0"/>
              <w:rPr>
                <w:sz w:val="18"/>
                <w:szCs w:val="18"/>
                <w:color w:val="auto"/>
              </w:rPr>
            </w:pPr>
          </w:p>
        </w:tc>
        <w:tc>
          <w:tcPr>
            <w:tcW w:w="9680" w:type="dxa"/>
            <w:vAlign w:val="bottom"/>
            <w:gridSpan w:val="25"/>
          </w:tcPr>
          <w:p>
            <w:pPr>
              <w:spacing w:after="0" w:line="208" w:lineRule="exact"/>
              <w:rPr>
                <w:rFonts w:ascii="Arial" w:cs="Arial" w:eastAsia="Arial" w:hAnsi="Arial"/>
                <w:sz w:val="19"/>
                <w:szCs w:val="19"/>
                <w:color w:val="0000EE"/>
              </w:rPr>
            </w:pPr>
            <w:hyperlink w:anchor="page96">
              <w:r>
                <w:rPr>
                  <w:rFonts w:ascii="Arial" w:cs="Arial" w:eastAsia="Arial" w:hAnsi="Arial"/>
                  <w:sz w:val="19"/>
                  <w:szCs w:val="19"/>
                  <w:color w:val="0000EE"/>
                </w:rPr>
                <w:t>A Letter from Arnon</w:t>
              </w:r>
            </w:hyperlink>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88</w:t>
            </w:r>
          </w:p>
        </w:tc>
      </w:tr>
      <w:tr>
        <w:trPr>
          <w:trHeight w:val="208"/>
        </w:trPr>
        <w:tc>
          <w:tcPr>
            <w:tcW w:w="180" w:type="dxa"/>
            <w:vAlign w:val="bottom"/>
          </w:tcPr>
          <w:p>
            <w:pPr>
              <w:spacing w:after="0"/>
              <w:rPr>
                <w:sz w:val="18"/>
                <w:szCs w:val="18"/>
                <w:color w:val="auto"/>
              </w:rPr>
            </w:pPr>
          </w:p>
        </w:tc>
        <w:tc>
          <w:tcPr>
            <w:tcW w:w="680" w:type="dxa"/>
            <w:vAlign w:val="bottom"/>
            <w:tcBorders>
              <w:top w:val="single" w:sz="8" w:color="0000EE"/>
              <w:bottom w:val="single" w:sz="8" w:color="0000EE"/>
            </w:tcBorders>
            <w:gridSpan w:val="3"/>
          </w:tcPr>
          <w:p>
            <w:pPr>
              <w:spacing w:after="0" w:line="208" w:lineRule="exact"/>
              <w:rPr>
                <w:rFonts w:ascii="Arial" w:cs="Arial" w:eastAsia="Arial" w:hAnsi="Arial"/>
                <w:sz w:val="19"/>
                <w:szCs w:val="19"/>
                <w:color w:val="0000EE"/>
                <w:w w:val="85"/>
              </w:rPr>
            </w:pPr>
            <w:hyperlink w:anchor="page98">
              <w:r>
                <w:rPr>
                  <w:rFonts w:ascii="Arial" w:cs="Arial" w:eastAsia="Arial" w:hAnsi="Arial"/>
                  <w:sz w:val="19"/>
                  <w:szCs w:val="19"/>
                  <w:color w:val="0000EE"/>
                  <w:w w:val="85"/>
                </w:rPr>
                <w:t>Business</w:t>
              </w:r>
            </w:hyperlink>
          </w:p>
        </w:tc>
        <w:tc>
          <w:tcPr>
            <w:tcW w:w="900" w:type="dxa"/>
            <w:vAlign w:val="bottom"/>
            <w:tcBorders>
              <w:top w:val="single" w:sz="8" w:color="0000EE"/>
            </w:tcBorders>
            <w:gridSpan w:val="7"/>
          </w:tcPr>
          <w:p>
            <w:pPr>
              <w:spacing w:after="0"/>
              <w:rPr>
                <w:sz w:val="18"/>
                <w:szCs w:val="18"/>
                <w:color w:val="auto"/>
              </w:rPr>
            </w:pPr>
          </w:p>
        </w:tc>
        <w:tc>
          <w:tcPr>
            <w:tcW w:w="8100" w:type="dxa"/>
            <w:vAlign w:val="bottom"/>
            <w:gridSpan w:val="15"/>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90</w:t>
            </w:r>
          </w:p>
        </w:tc>
      </w:tr>
      <w:tr>
        <w:trPr>
          <w:trHeight w:val="208"/>
        </w:trPr>
        <w:tc>
          <w:tcPr>
            <w:tcW w:w="180" w:type="dxa"/>
            <w:vAlign w:val="bottom"/>
          </w:tcPr>
          <w:p>
            <w:pPr>
              <w:spacing w:after="0"/>
              <w:rPr>
                <w:sz w:val="18"/>
                <w:szCs w:val="18"/>
                <w:color w:val="auto"/>
              </w:rPr>
            </w:pPr>
          </w:p>
        </w:tc>
        <w:tc>
          <w:tcPr>
            <w:tcW w:w="1000" w:type="dxa"/>
            <w:vAlign w:val="bottom"/>
            <w:tcBorders>
              <w:bottom w:val="single" w:sz="8" w:color="0000EE"/>
            </w:tcBorders>
            <w:gridSpan w:val="5"/>
          </w:tcPr>
          <w:p>
            <w:pPr>
              <w:spacing w:after="0" w:line="208" w:lineRule="exact"/>
              <w:rPr>
                <w:rFonts w:ascii="Arial" w:cs="Arial" w:eastAsia="Arial" w:hAnsi="Arial"/>
                <w:sz w:val="19"/>
                <w:szCs w:val="19"/>
                <w:color w:val="0000EE"/>
                <w:w w:val="88"/>
              </w:rPr>
            </w:pPr>
            <w:hyperlink w:anchor="page139">
              <w:r>
                <w:rPr>
                  <w:rFonts w:ascii="Arial" w:cs="Arial" w:eastAsia="Arial" w:hAnsi="Arial"/>
                  <w:sz w:val="19"/>
                  <w:szCs w:val="19"/>
                  <w:color w:val="0000EE"/>
                  <w:w w:val="88"/>
                </w:rPr>
                <w:t>Management</w:t>
              </w:r>
            </w:hyperlink>
          </w:p>
        </w:tc>
        <w:tc>
          <w:tcPr>
            <w:tcW w:w="8680" w:type="dxa"/>
            <w:vAlign w:val="bottom"/>
            <w:gridSpan w:val="20"/>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131</w:t>
            </w:r>
          </w:p>
        </w:tc>
      </w:tr>
      <w:tr>
        <w:trPr>
          <w:trHeight w:val="208"/>
        </w:trPr>
        <w:tc>
          <w:tcPr>
            <w:tcW w:w="180" w:type="dxa"/>
            <w:vAlign w:val="bottom"/>
          </w:tcPr>
          <w:p>
            <w:pPr>
              <w:spacing w:after="0"/>
              <w:rPr>
                <w:sz w:val="18"/>
                <w:szCs w:val="18"/>
                <w:color w:val="auto"/>
              </w:rPr>
            </w:pPr>
          </w:p>
        </w:tc>
        <w:tc>
          <w:tcPr>
            <w:tcW w:w="9680" w:type="dxa"/>
            <w:vAlign w:val="bottom"/>
            <w:gridSpan w:val="25"/>
          </w:tcPr>
          <w:p>
            <w:pPr>
              <w:spacing w:after="0" w:line="208" w:lineRule="exact"/>
              <w:rPr>
                <w:rFonts w:ascii="Arial" w:cs="Arial" w:eastAsia="Arial" w:hAnsi="Arial"/>
                <w:sz w:val="19"/>
                <w:szCs w:val="19"/>
                <w:color w:val="0000EE"/>
              </w:rPr>
            </w:pPr>
            <w:hyperlink w:anchor="page150">
              <w:r>
                <w:rPr>
                  <w:rFonts w:ascii="Arial" w:cs="Arial" w:eastAsia="Arial" w:hAnsi="Arial"/>
                  <w:sz w:val="19"/>
                  <w:szCs w:val="19"/>
                  <w:color w:val="0000EE"/>
                </w:rPr>
                <w:t>Executive Compensation</w:t>
              </w:r>
            </w:hyperlink>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142</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8"/>
        </w:trPr>
        <w:tc>
          <w:tcPr>
            <w:tcW w:w="180" w:type="dxa"/>
            <w:vAlign w:val="bottom"/>
          </w:tcPr>
          <w:p>
            <w:pPr>
              <w:spacing w:after="0"/>
              <w:rPr>
                <w:sz w:val="18"/>
                <w:szCs w:val="18"/>
                <w:color w:val="auto"/>
              </w:rPr>
            </w:pPr>
          </w:p>
        </w:tc>
        <w:tc>
          <w:tcPr>
            <w:tcW w:w="4060" w:type="dxa"/>
            <w:vAlign w:val="bottom"/>
            <w:tcBorders>
              <w:bottom w:val="single" w:sz="8" w:color="0000EE"/>
            </w:tcBorders>
            <w:gridSpan w:val="21"/>
          </w:tcPr>
          <w:p>
            <w:pPr>
              <w:spacing w:after="0" w:line="208" w:lineRule="exact"/>
              <w:rPr>
                <w:rFonts w:ascii="Arial" w:cs="Arial" w:eastAsia="Arial" w:hAnsi="Arial"/>
                <w:sz w:val="19"/>
                <w:szCs w:val="19"/>
                <w:color w:val="0000EE"/>
                <w:w w:val="89"/>
              </w:rPr>
            </w:pPr>
            <w:hyperlink w:anchor="page165">
              <w:r>
                <w:rPr>
                  <w:rFonts w:ascii="Arial" w:cs="Arial" w:eastAsia="Arial" w:hAnsi="Arial"/>
                  <w:sz w:val="19"/>
                  <w:szCs w:val="19"/>
                  <w:color w:val="0000EE"/>
                  <w:w w:val="89"/>
                </w:rPr>
                <w:t>Certain Relationships and Related Party Transactions</w:t>
              </w:r>
            </w:hyperlink>
          </w:p>
        </w:tc>
        <w:tc>
          <w:tcPr>
            <w:tcW w:w="5620" w:type="dxa"/>
            <w:vAlign w:val="bottom"/>
            <w:gridSpan w:val="4"/>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157</w:t>
            </w:r>
          </w:p>
        </w:tc>
      </w:tr>
      <w:tr>
        <w:trPr>
          <w:trHeight w:val="208"/>
        </w:trPr>
        <w:tc>
          <w:tcPr>
            <w:tcW w:w="180" w:type="dxa"/>
            <w:vAlign w:val="bottom"/>
          </w:tcPr>
          <w:p>
            <w:pPr>
              <w:spacing w:after="0"/>
              <w:rPr>
                <w:sz w:val="18"/>
                <w:szCs w:val="18"/>
                <w:color w:val="auto"/>
              </w:rPr>
            </w:pPr>
          </w:p>
        </w:tc>
        <w:tc>
          <w:tcPr>
            <w:tcW w:w="9680" w:type="dxa"/>
            <w:vAlign w:val="bottom"/>
            <w:gridSpan w:val="25"/>
          </w:tcPr>
          <w:p>
            <w:pPr>
              <w:spacing w:after="0" w:line="208" w:lineRule="exact"/>
              <w:rPr>
                <w:rFonts w:ascii="Arial" w:cs="Arial" w:eastAsia="Arial" w:hAnsi="Arial"/>
                <w:sz w:val="19"/>
                <w:szCs w:val="19"/>
                <w:color w:val="0000EE"/>
              </w:rPr>
            </w:pPr>
            <w:hyperlink w:anchor="page168">
              <w:r>
                <w:rPr>
                  <w:rFonts w:ascii="Arial" w:cs="Arial" w:eastAsia="Arial" w:hAnsi="Arial"/>
                  <w:sz w:val="19"/>
                  <w:szCs w:val="19"/>
                  <w:color w:val="0000EE"/>
                </w:rPr>
                <w:t>Principal Stockholders</w:t>
              </w:r>
            </w:hyperlink>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160</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8"/>
        </w:trPr>
        <w:tc>
          <w:tcPr>
            <w:tcW w:w="180" w:type="dxa"/>
            <w:vAlign w:val="bottom"/>
          </w:tcPr>
          <w:p>
            <w:pPr>
              <w:spacing w:after="0"/>
              <w:rPr>
                <w:sz w:val="18"/>
                <w:szCs w:val="18"/>
                <w:color w:val="auto"/>
              </w:rPr>
            </w:pPr>
          </w:p>
        </w:tc>
        <w:tc>
          <w:tcPr>
            <w:tcW w:w="9680" w:type="dxa"/>
            <w:vAlign w:val="bottom"/>
            <w:gridSpan w:val="25"/>
          </w:tcPr>
          <w:p>
            <w:pPr>
              <w:spacing w:after="0" w:line="208" w:lineRule="exact"/>
              <w:rPr>
                <w:rFonts w:ascii="Arial" w:cs="Arial" w:eastAsia="Arial" w:hAnsi="Arial"/>
                <w:sz w:val="19"/>
                <w:szCs w:val="19"/>
                <w:color w:val="0000EE"/>
              </w:rPr>
            </w:pPr>
            <w:hyperlink w:anchor="page171">
              <w:r>
                <w:rPr>
                  <w:rFonts w:ascii="Arial" w:cs="Arial" w:eastAsia="Arial" w:hAnsi="Arial"/>
                  <w:sz w:val="19"/>
                  <w:szCs w:val="19"/>
                  <w:color w:val="0000EE"/>
                </w:rPr>
                <w:t>Description of Capital Stock</w:t>
              </w:r>
            </w:hyperlink>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163</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gridSpan w:val="8"/>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8"/>
        </w:trPr>
        <w:tc>
          <w:tcPr>
            <w:tcW w:w="180" w:type="dxa"/>
            <w:vAlign w:val="bottom"/>
          </w:tcPr>
          <w:p>
            <w:pPr>
              <w:spacing w:after="0"/>
              <w:rPr>
                <w:sz w:val="18"/>
                <w:szCs w:val="18"/>
                <w:color w:val="auto"/>
              </w:rPr>
            </w:pPr>
          </w:p>
        </w:tc>
        <w:tc>
          <w:tcPr>
            <w:tcW w:w="9680" w:type="dxa"/>
            <w:vAlign w:val="bottom"/>
            <w:gridSpan w:val="25"/>
          </w:tcPr>
          <w:p>
            <w:pPr>
              <w:spacing w:after="0" w:line="208" w:lineRule="exact"/>
              <w:rPr>
                <w:rFonts w:ascii="Arial" w:cs="Arial" w:eastAsia="Arial" w:hAnsi="Arial"/>
                <w:sz w:val="19"/>
                <w:szCs w:val="19"/>
                <w:color w:val="0000EE"/>
              </w:rPr>
            </w:pPr>
            <w:hyperlink w:anchor="page177">
              <w:r>
                <w:rPr>
                  <w:rFonts w:ascii="Arial" w:cs="Arial" w:eastAsia="Arial" w:hAnsi="Arial"/>
                  <w:sz w:val="19"/>
                  <w:szCs w:val="19"/>
                  <w:color w:val="0000EE"/>
                </w:rPr>
                <w:t>Shares Eligible for Future Sale</w:t>
              </w:r>
            </w:hyperlink>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169</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8"/>
        </w:trPr>
        <w:tc>
          <w:tcPr>
            <w:tcW w:w="180" w:type="dxa"/>
            <w:vAlign w:val="bottom"/>
          </w:tcPr>
          <w:p>
            <w:pPr>
              <w:spacing w:after="0"/>
              <w:rPr>
                <w:sz w:val="18"/>
                <w:szCs w:val="18"/>
                <w:color w:val="auto"/>
              </w:rPr>
            </w:pPr>
          </w:p>
        </w:tc>
        <w:tc>
          <w:tcPr>
            <w:tcW w:w="8060" w:type="dxa"/>
            <w:vAlign w:val="bottom"/>
            <w:tcBorders>
              <w:bottom w:val="single" w:sz="8" w:color="0000EE"/>
            </w:tcBorders>
            <w:gridSpan w:val="24"/>
          </w:tcPr>
          <w:p>
            <w:pPr>
              <w:spacing w:after="0" w:line="208" w:lineRule="exact"/>
              <w:rPr>
                <w:rFonts w:ascii="Arial" w:cs="Arial" w:eastAsia="Arial" w:hAnsi="Arial"/>
                <w:sz w:val="19"/>
                <w:szCs w:val="19"/>
                <w:color w:val="0000EE"/>
                <w:w w:val="91"/>
              </w:rPr>
            </w:pPr>
            <w:hyperlink w:anchor="page179">
              <w:r>
                <w:rPr>
                  <w:rFonts w:ascii="Arial" w:cs="Arial" w:eastAsia="Arial" w:hAnsi="Arial"/>
                  <w:sz w:val="19"/>
                  <w:szCs w:val="19"/>
                  <w:color w:val="0000EE"/>
                  <w:w w:val="91"/>
                </w:rPr>
                <w:t>Material U.S. Federal Income and Estate Tax Considerations for Non-U.S. Holders of our Common Stock</w:t>
              </w:r>
            </w:hyperlink>
          </w:p>
        </w:tc>
        <w:tc>
          <w:tcPr>
            <w:tcW w:w="1620" w:type="dxa"/>
            <w:vAlign w:val="bottom"/>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171</w:t>
            </w:r>
          </w:p>
        </w:tc>
      </w:tr>
      <w:tr>
        <w:trPr>
          <w:trHeight w:val="208"/>
        </w:trPr>
        <w:tc>
          <w:tcPr>
            <w:tcW w:w="180" w:type="dxa"/>
            <w:vAlign w:val="bottom"/>
          </w:tcPr>
          <w:p>
            <w:pPr>
              <w:spacing w:after="0"/>
              <w:rPr>
                <w:sz w:val="18"/>
                <w:szCs w:val="18"/>
                <w:color w:val="auto"/>
              </w:rPr>
            </w:pPr>
          </w:p>
        </w:tc>
        <w:tc>
          <w:tcPr>
            <w:tcW w:w="9680" w:type="dxa"/>
            <w:vAlign w:val="bottom"/>
            <w:gridSpan w:val="25"/>
          </w:tcPr>
          <w:p>
            <w:pPr>
              <w:spacing w:after="0" w:line="208" w:lineRule="exact"/>
              <w:rPr>
                <w:rFonts w:ascii="Arial" w:cs="Arial" w:eastAsia="Arial" w:hAnsi="Arial"/>
                <w:sz w:val="19"/>
                <w:szCs w:val="19"/>
                <w:color w:val="0000EE"/>
              </w:rPr>
            </w:pPr>
            <w:hyperlink w:anchor="page183">
              <w:r>
                <w:rPr>
                  <w:rFonts w:ascii="Arial" w:cs="Arial" w:eastAsia="Arial" w:hAnsi="Arial"/>
                  <w:sz w:val="19"/>
                  <w:szCs w:val="19"/>
                  <w:color w:val="0000EE"/>
                </w:rPr>
                <w:t>Underwriting</w:t>
              </w:r>
            </w:hyperlink>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175</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9"/>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626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8"/>
        </w:trPr>
        <w:tc>
          <w:tcPr>
            <w:tcW w:w="180" w:type="dxa"/>
            <w:vAlign w:val="bottom"/>
          </w:tcPr>
          <w:p>
            <w:pPr>
              <w:spacing w:after="0"/>
              <w:rPr>
                <w:sz w:val="18"/>
                <w:szCs w:val="18"/>
                <w:color w:val="auto"/>
              </w:rPr>
            </w:pPr>
          </w:p>
        </w:tc>
        <w:tc>
          <w:tcPr>
            <w:tcW w:w="9680" w:type="dxa"/>
            <w:vAlign w:val="bottom"/>
            <w:gridSpan w:val="25"/>
          </w:tcPr>
          <w:p>
            <w:pPr>
              <w:spacing w:after="0" w:line="208" w:lineRule="exact"/>
              <w:rPr>
                <w:rFonts w:ascii="Arial" w:cs="Arial" w:eastAsia="Arial" w:hAnsi="Arial"/>
                <w:sz w:val="19"/>
                <w:szCs w:val="19"/>
                <w:color w:val="0000EE"/>
              </w:rPr>
            </w:pPr>
            <w:hyperlink w:anchor="page191">
              <w:r>
                <w:rPr>
                  <w:rFonts w:ascii="Arial" w:cs="Arial" w:eastAsia="Arial" w:hAnsi="Arial"/>
                  <w:sz w:val="19"/>
                  <w:szCs w:val="19"/>
                  <w:color w:val="0000EE"/>
                </w:rPr>
                <w:t>Legal Matters</w:t>
              </w:r>
            </w:hyperlink>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183</w:t>
            </w:r>
          </w:p>
        </w:tc>
      </w:tr>
      <w:tr>
        <w:trPr>
          <w:trHeight w:val="208"/>
        </w:trPr>
        <w:tc>
          <w:tcPr>
            <w:tcW w:w="180" w:type="dxa"/>
            <w:vAlign w:val="bottom"/>
          </w:tcPr>
          <w:p>
            <w:pPr>
              <w:spacing w:after="0"/>
              <w:rPr>
                <w:sz w:val="18"/>
                <w:szCs w:val="18"/>
                <w:color w:val="auto"/>
              </w:rPr>
            </w:pPr>
          </w:p>
        </w:tc>
        <w:tc>
          <w:tcPr>
            <w:tcW w:w="580" w:type="dxa"/>
            <w:vAlign w:val="bottom"/>
            <w:tcBorders>
              <w:top w:val="single" w:sz="8" w:color="0000EE"/>
              <w:bottom w:val="single" w:sz="8" w:color="0000EE"/>
            </w:tcBorders>
          </w:tcPr>
          <w:p>
            <w:pPr>
              <w:spacing w:after="0" w:line="208" w:lineRule="exact"/>
              <w:rPr>
                <w:rFonts w:ascii="Arial" w:cs="Arial" w:eastAsia="Arial" w:hAnsi="Arial"/>
                <w:sz w:val="19"/>
                <w:szCs w:val="19"/>
                <w:color w:val="0000EE"/>
                <w:w w:val="86"/>
              </w:rPr>
            </w:pPr>
            <w:hyperlink w:anchor="page191">
              <w:r>
                <w:rPr>
                  <w:rFonts w:ascii="Arial" w:cs="Arial" w:eastAsia="Arial" w:hAnsi="Arial"/>
                  <w:sz w:val="19"/>
                  <w:szCs w:val="19"/>
                  <w:color w:val="0000EE"/>
                  <w:w w:val="86"/>
                </w:rPr>
                <w:t>Experts</w:t>
              </w:r>
            </w:hyperlink>
          </w:p>
        </w:tc>
        <w:tc>
          <w:tcPr>
            <w:tcW w:w="480" w:type="dxa"/>
            <w:vAlign w:val="bottom"/>
            <w:tcBorders>
              <w:top w:val="single" w:sz="8" w:color="0000EE"/>
            </w:tcBorders>
            <w:gridSpan w:val="6"/>
          </w:tcPr>
          <w:p>
            <w:pPr>
              <w:spacing w:after="0"/>
              <w:rPr>
                <w:sz w:val="18"/>
                <w:szCs w:val="18"/>
                <w:color w:val="auto"/>
              </w:rPr>
            </w:pPr>
          </w:p>
        </w:tc>
        <w:tc>
          <w:tcPr>
            <w:tcW w:w="8620" w:type="dxa"/>
            <w:vAlign w:val="bottom"/>
            <w:gridSpan w:val="18"/>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183</w:t>
            </w:r>
          </w:p>
        </w:tc>
      </w:tr>
      <w:tr>
        <w:trPr>
          <w:trHeight w:val="208"/>
        </w:trPr>
        <w:tc>
          <w:tcPr>
            <w:tcW w:w="180" w:type="dxa"/>
            <w:vAlign w:val="bottom"/>
          </w:tcPr>
          <w:p>
            <w:pPr>
              <w:spacing w:after="0"/>
              <w:rPr>
                <w:sz w:val="18"/>
                <w:szCs w:val="18"/>
                <w:color w:val="auto"/>
              </w:rPr>
            </w:pPr>
          </w:p>
        </w:tc>
        <w:tc>
          <w:tcPr>
            <w:tcW w:w="9680" w:type="dxa"/>
            <w:vAlign w:val="bottom"/>
            <w:gridSpan w:val="25"/>
          </w:tcPr>
          <w:p>
            <w:pPr>
              <w:spacing w:after="0" w:line="208" w:lineRule="exact"/>
              <w:rPr>
                <w:rFonts w:ascii="Arial" w:cs="Arial" w:eastAsia="Arial" w:hAnsi="Arial"/>
                <w:sz w:val="19"/>
                <w:szCs w:val="19"/>
                <w:color w:val="0000EE"/>
              </w:rPr>
            </w:pPr>
            <w:hyperlink w:anchor="page191">
              <w:r>
                <w:rPr>
                  <w:rFonts w:ascii="Arial" w:cs="Arial" w:eastAsia="Arial" w:hAnsi="Arial"/>
                  <w:sz w:val="19"/>
                  <w:szCs w:val="19"/>
                  <w:color w:val="0000EE"/>
                </w:rPr>
                <w:t>Where You Can Find Additional Information</w:t>
              </w:r>
            </w:hyperlink>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183</w:t>
            </w:r>
          </w:p>
        </w:tc>
      </w:tr>
      <w:tr>
        <w:trPr>
          <w:trHeight w:val="208"/>
        </w:trPr>
        <w:tc>
          <w:tcPr>
            <w:tcW w:w="180" w:type="dxa"/>
            <w:vAlign w:val="bottom"/>
          </w:tcPr>
          <w:p>
            <w:pPr>
              <w:spacing w:after="0"/>
              <w:rPr>
                <w:sz w:val="18"/>
                <w:szCs w:val="18"/>
                <w:color w:val="auto"/>
              </w:rPr>
            </w:pPr>
          </w:p>
        </w:tc>
        <w:tc>
          <w:tcPr>
            <w:tcW w:w="3420" w:type="dxa"/>
            <w:vAlign w:val="bottom"/>
            <w:tcBorders>
              <w:top w:val="single" w:sz="8" w:color="0000EE"/>
            </w:tcBorders>
            <w:gridSpan w:val="20"/>
          </w:tcPr>
          <w:p>
            <w:pPr>
              <w:spacing w:after="0" w:line="208" w:lineRule="exact"/>
              <w:rPr>
                <w:rFonts w:ascii="Arial" w:cs="Arial" w:eastAsia="Arial" w:hAnsi="Arial"/>
                <w:sz w:val="19"/>
                <w:szCs w:val="19"/>
                <w:color w:val="0000EE"/>
              </w:rPr>
            </w:pPr>
            <w:hyperlink w:anchor="page192">
              <w:r>
                <w:rPr>
                  <w:rFonts w:ascii="Arial" w:cs="Arial" w:eastAsia="Arial" w:hAnsi="Arial"/>
                  <w:sz w:val="19"/>
                  <w:szCs w:val="19"/>
                  <w:color w:val="0000EE"/>
                </w:rPr>
                <w:t>Index to Financial Statements</w:t>
              </w:r>
            </w:hyperlink>
          </w:p>
        </w:tc>
        <w:tc>
          <w:tcPr>
            <w:tcW w:w="6260" w:type="dxa"/>
            <w:vAlign w:val="bottom"/>
            <w:gridSpan w:val="5"/>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F-1</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68260" cy="4000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262890</wp:posOffset>
            </wp:positionV>
            <wp:extent cx="1557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0" w:right="220" w:firstLine="465"/>
        <w:spacing w:after="0" w:line="263" w:lineRule="auto"/>
        <w:rPr>
          <w:sz w:val="20"/>
          <w:szCs w:val="20"/>
          <w:color w:val="auto"/>
        </w:rPr>
      </w:pPr>
      <w:r>
        <w:rPr>
          <w:rFonts w:ascii="Arial" w:cs="Arial" w:eastAsia="Arial" w:hAnsi="Arial"/>
          <w:sz w:val="19"/>
          <w:szCs w:val="19"/>
          <w:color w:val="auto"/>
        </w:rPr>
        <w:t>Through and including , 2019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222885</wp:posOffset>
            </wp:positionV>
            <wp:extent cx="1557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180" w:firstLine="465"/>
        <w:spacing w:after="0" w:line="294" w:lineRule="auto"/>
        <w:rPr>
          <w:sz w:val="20"/>
          <w:szCs w:val="20"/>
          <w:color w:val="auto"/>
        </w:rPr>
      </w:pPr>
      <w:r>
        <w:rPr>
          <w:rFonts w:ascii="Arial" w:cs="Arial" w:eastAsia="Arial" w:hAnsi="Arial"/>
          <w:sz w:val="17"/>
          <w:szCs w:val="17"/>
          <w:color w:val="auto"/>
        </w:rPr>
        <w:t>We and the underwriters have not authorized anyone to provide you any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72" w:lineRule="exact"/>
        <w:rPr>
          <w:sz w:val="20"/>
          <w:szCs w:val="20"/>
          <w:color w:val="auto"/>
        </w:rPr>
      </w:pPr>
    </w:p>
    <w:p>
      <w:pPr>
        <w:ind w:left="180" w:right="40" w:firstLine="465"/>
        <w:spacing w:after="0" w:line="259" w:lineRule="auto"/>
        <w:rPr>
          <w:sz w:val="20"/>
          <w:szCs w:val="20"/>
          <w:color w:val="auto"/>
        </w:rPr>
      </w:pPr>
      <w:r>
        <w:rPr>
          <w:rFonts w:ascii="Arial" w:cs="Arial" w:eastAsia="Arial" w:hAnsi="Arial"/>
          <w:sz w:val="19"/>
          <w:szCs w:val="19"/>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i</w:t>
      </w:r>
    </w:p>
    <w:p>
      <w:pPr>
        <w:sectPr>
          <w:pgSz w:w="12240" w:h="15840" w:orient="portrait"/>
          <w:cols w:equalWidth="0" w:num="1">
            <w:col w:w="11800"/>
          </w:cols>
          <w:pgMar w:left="120" w:top="323" w:right="320" w:bottom="1440" w:gutter="0" w:footer="0" w:header="0"/>
        </w:sectPr>
      </w:pPr>
    </w:p>
    <w:bookmarkStart w:id="8" w:name="page9"/>
    <w:bookmarkEnd w:id="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67773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93305" cy="67773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379"/>
        <w:spacing w:after="0"/>
        <w:rPr>
          <w:sz w:val="20"/>
          <w:szCs w:val="20"/>
          <w:color w:val="auto"/>
        </w:rPr>
      </w:pPr>
      <w:r>
        <w:rPr>
          <w:rFonts w:ascii="Arial" w:cs="Arial" w:eastAsia="Arial" w:hAnsi="Arial"/>
          <w:sz w:val="19"/>
          <w:szCs w:val="19"/>
          <w:b w:val="1"/>
          <w:bCs w:val="1"/>
          <w:color w:val="auto"/>
        </w:rPr>
        <w:t>PROSPECTUS SUMMARY</w:t>
      </w:r>
    </w:p>
    <w:p>
      <w:pPr>
        <w:spacing w:after="0" w:line="244" w:lineRule="exact"/>
        <w:rPr>
          <w:sz w:val="20"/>
          <w:szCs w:val="20"/>
          <w:color w:val="auto"/>
        </w:rPr>
      </w:pPr>
    </w:p>
    <w:p>
      <w:pPr>
        <w:ind w:left="380" w:right="120" w:firstLine="450"/>
        <w:spacing w:after="0" w:line="274"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and is qualified in its entirety by the more detailed information and financial statements included elsewhere in this prospectus. It does not contain all of the information that may be important to you and your investment decision. You should carefully read this entire prospectus, including the sections titled “Risk Factors,” “Management’s Discussion and Analysis of Financial Condition and Results of Operations,” and our financial statements and related notes. In this prospectus, unless context requires otherwise, references to “we,” “us,” “our,” “Alector,” or “the Company” refer to Alector, Inc.</w:t>
      </w:r>
    </w:p>
    <w:p>
      <w:pPr>
        <w:spacing w:after="0" w:line="296" w:lineRule="exact"/>
        <w:rPr>
          <w:sz w:val="20"/>
          <w:szCs w:val="20"/>
          <w:color w:val="auto"/>
        </w:rPr>
      </w:pPr>
    </w:p>
    <w:p>
      <w:pPr>
        <w:jc w:val="center"/>
        <w:ind w:right="-379"/>
        <w:spacing w:after="0"/>
        <w:rPr>
          <w:sz w:val="20"/>
          <w:szCs w:val="20"/>
          <w:color w:val="auto"/>
        </w:rPr>
      </w:pPr>
      <w:r>
        <w:rPr>
          <w:rFonts w:ascii="Arial" w:cs="Arial" w:eastAsia="Arial" w:hAnsi="Arial"/>
          <w:sz w:val="19"/>
          <w:szCs w:val="19"/>
          <w:b w:val="1"/>
          <w:bCs w:val="1"/>
          <w:color w:val="auto"/>
        </w:rPr>
        <w:t>ALECTOR, INC.</w:t>
      </w:r>
    </w:p>
    <w:p>
      <w:pPr>
        <w:spacing w:after="0" w:line="238"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Overview</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9"/>
          <w:szCs w:val="19"/>
          <w:i w:val="1"/>
          <w:iCs w:val="1"/>
          <w:color w:val="auto"/>
        </w:rPr>
        <w:t>Our mission is to develop therapies that empower the immune system to cure neurodegeneration.</w:t>
      </w:r>
    </w:p>
    <w:p>
      <w:pPr>
        <w:spacing w:after="0" w:line="124" w:lineRule="exact"/>
        <w:rPr>
          <w:sz w:val="20"/>
          <w:szCs w:val="20"/>
          <w:color w:val="auto"/>
        </w:rPr>
      </w:pPr>
    </w:p>
    <w:p>
      <w:pPr>
        <w:ind w:left="380" w:firstLine="450"/>
        <w:spacing w:after="0" w:line="284" w:lineRule="auto"/>
        <w:rPr>
          <w:sz w:val="20"/>
          <w:szCs w:val="20"/>
          <w:color w:val="auto"/>
        </w:rPr>
      </w:pPr>
      <w:r>
        <w:rPr>
          <w:rFonts w:ascii="Arial" w:cs="Arial" w:eastAsia="Arial" w:hAnsi="Arial"/>
          <w:sz w:val="17"/>
          <w:szCs w:val="17"/>
          <w:color w:val="auto"/>
        </w:rPr>
        <w:t>We are a clinical stage biopharmaceutical company pioneering immuno-neurology, a novel therapeutic approach for the treatment of neurodegeneration. Immuno-neurology targets immune dysfunction as a root cause of multiple pathologies that are drivers of degenerative brain disorders. We are developing therapies designed to simultaneously counteract these pathologies by restoring healthy immune function to the brain. Supporting our scientific approach, our Discovery Platform enables us to advance a broad portfolio of product candidates, validated by human genetics, which we believe will improve the probability of technical success over shorter development timelines. As a result, in the last five years, we have identified over forty immune system targets, progressed over ten programs into preclinical research, and advanced two product candidates, AL001 and AL002, into clinical development. As of January 25, 2019, AL001, initially aimed at treating a genetic subset of patients with frontotemporal dementia (FTD) carrying a progranulin (PGRN) loss of function mutation (FTD-GRN), was dosed in 44 healthy subjects in a single ascending dose Phase 1 study. There were no drug-related serious adverse events or dose limiting adverse events reported in the study, achieving the primary endpoint. Moreover, statistically significant increases in plasma and cerebrospinal fluid (CSF) PGRN levels relative to baseline were also observed, successfully demonstrating proof-of-mechanism for AL001 in the central nervous systems of healthy volunteers. We plan to advance AL001 into a Phase 1b study with proof-of-mechanism data in FTD-GRN patients expected in the first half of 2019 and into a Phase 2 study with proof-of-concept data in FTD-GRN patients expected in the first half of 2020. In the second half of 2018, we also initiated a dose escalation Phase 1 study in healthy volunteers with AL002, a product candidate for Alzheimer’s disease. In addition, we expect to initiate Phase 1 studies of AL003, a product candidate for Alzheimer’s disease, and AL101, a product candidate for multiple neurodegenerative disorders, in 2019.</w:t>
      </w:r>
    </w:p>
    <w:p>
      <w:pPr>
        <w:spacing w:after="0" w:line="67" w:lineRule="exact"/>
        <w:rPr>
          <w:sz w:val="20"/>
          <w:szCs w:val="20"/>
          <w:color w:val="auto"/>
        </w:rPr>
      </w:pPr>
    </w:p>
    <w:p>
      <w:pPr>
        <w:ind w:left="380" w:right="260" w:firstLine="450"/>
        <w:spacing w:after="0" w:line="263" w:lineRule="auto"/>
        <w:rPr>
          <w:sz w:val="20"/>
          <w:szCs w:val="20"/>
          <w:color w:val="auto"/>
        </w:rPr>
      </w:pPr>
      <w:r>
        <w:rPr>
          <w:rFonts w:ascii="Arial" w:cs="Arial" w:eastAsia="Arial" w:hAnsi="Arial"/>
          <w:sz w:val="19"/>
          <w:szCs w:val="19"/>
          <w:color w:val="auto"/>
        </w:rPr>
        <w:t>Our Discovery Platform leverages large scale human genetic datasets, advanced tools in bioinformatics and imaging, and insights into neurodegeneration and immunology to identify immune system targets that play a critical role in the development of multiple neurodegenerative diseases. Our Discovery Platform focuses on:</w:t>
      </w:r>
    </w:p>
    <w:p>
      <w:pPr>
        <w:spacing w:after="0" w:line="89" w:lineRule="exact"/>
        <w:rPr>
          <w:sz w:val="20"/>
          <w:szCs w:val="20"/>
          <w:color w:val="auto"/>
        </w:rPr>
      </w:pPr>
    </w:p>
    <w:p>
      <w:pPr>
        <w:ind w:left="1240" w:right="240" w:hanging="312"/>
        <w:spacing w:after="0" w:line="28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Target Selection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identify mutations in genes that control the brain’s immune system, which we believe are the root cause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neurodegeneration, employ a suite of genetic tools to elucidate the immune dysfunction caused by these mutations, and then engineer immune modulating antibodies to counteract the harmful consequences of these genetic mutations.</w:t>
      </w:r>
    </w:p>
    <w:p>
      <w:pPr>
        <w:spacing w:after="0" w:line="70" w:lineRule="exact"/>
        <w:rPr>
          <w:rFonts w:ascii="Arial" w:cs="Arial" w:eastAsia="Arial" w:hAnsi="Arial"/>
          <w:sz w:val="18"/>
          <w:szCs w:val="18"/>
          <w:color w:val="auto"/>
        </w:rPr>
      </w:pPr>
    </w:p>
    <w:p>
      <w:pPr>
        <w:ind w:left="1240" w:right="280" w:hanging="312"/>
        <w:spacing w:after="0" w:line="266" w:lineRule="auto"/>
        <w:tabs>
          <w:tab w:leader="none" w:pos="1240" w:val="left"/>
        </w:tabs>
        <w:numPr>
          <w:ilvl w:val="0"/>
          <w:numId w:val="3"/>
        </w:numPr>
        <w:rPr>
          <w:rFonts w:ascii="Arial" w:cs="Arial" w:eastAsia="Arial" w:hAnsi="Arial"/>
          <w:sz w:val="19"/>
          <w:szCs w:val="19"/>
          <w:color w:val="auto"/>
        </w:rPr>
      </w:pPr>
      <w:r>
        <w:rPr>
          <w:rFonts w:ascii="Arial" w:cs="Arial" w:eastAsia="Arial" w:hAnsi="Arial"/>
          <w:sz w:val="19"/>
          <w:szCs w:val="19"/>
          <w:b w:val="1"/>
          <w:bCs w:val="1"/>
          <w:i w:val="1"/>
          <w:iCs w:val="1"/>
          <w:color w:val="auto"/>
        </w:rPr>
        <w:t>Biomarker Selection</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We are able to identify and employ molecular biomarkers, assays, and precise imaging techniques to confirm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target engagement and measure the effect of our product candidates, allowing us to potentially obtain clinical data earlier than would otherwise be expected using traditional clinical measures.</w:t>
      </w:r>
    </w:p>
    <w:p>
      <w:pPr>
        <w:spacing w:after="0" w:line="86" w:lineRule="exact"/>
        <w:rPr>
          <w:rFonts w:ascii="Arial" w:cs="Arial" w:eastAsia="Arial" w:hAnsi="Arial"/>
          <w:sz w:val="19"/>
          <w:szCs w:val="19"/>
          <w:color w:val="auto"/>
        </w:rPr>
      </w:pPr>
    </w:p>
    <w:p>
      <w:pPr>
        <w:ind w:left="1240" w:right="500" w:hanging="312"/>
        <w:spacing w:after="0" w:line="282" w:lineRule="auto"/>
        <w:tabs>
          <w:tab w:leader="none" w:pos="1240" w:val="left"/>
        </w:tabs>
        <w:numPr>
          <w:ilvl w:val="0"/>
          <w:numId w:val="3"/>
        </w:numPr>
        <w:rPr>
          <w:rFonts w:ascii="Arial" w:cs="Arial" w:eastAsia="Arial" w:hAnsi="Arial"/>
          <w:sz w:val="19"/>
          <w:szCs w:val="19"/>
          <w:color w:val="auto"/>
        </w:rPr>
      </w:pPr>
      <w:r>
        <w:rPr>
          <w:rFonts w:ascii="Arial" w:cs="Arial" w:eastAsia="Arial" w:hAnsi="Arial"/>
          <w:sz w:val="19"/>
          <w:szCs w:val="19"/>
          <w:b w:val="1"/>
          <w:bCs w:val="1"/>
          <w:i w:val="1"/>
          <w:iCs w:val="1"/>
          <w:color w:val="auto"/>
        </w:rPr>
        <w:t>Patient Selection</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We utilize genetic screening and other biomarkers to better align a patient’s specific diagnosis with the targeted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intervention in each of our clinical studies.</w:t>
      </w:r>
    </w:p>
    <w:p>
      <w:pPr>
        <w:spacing w:after="0" w:line="177" w:lineRule="exact"/>
        <w:rPr>
          <w:sz w:val="20"/>
          <w:szCs w:val="20"/>
          <w:color w:val="auto"/>
        </w:rPr>
      </w:pPr>
    </w:p>
    <w:p>
      <w:pPr>
        <w:ind w:left="380" w:right="360" w:firstLine="450"/>
        <w:spacing w:after="0" w:line="275" w:lineRule="auto"/>
        <w:rPr>
          <w:sz w:val="20"/>
          <w:szCs w:val="20"/>
          <w:color w:val="auto"/>
        </w:rPr>
      </w:pPr>
      <w:r>
        <w:rPr>
          <w:rFonts w:ascii="Arial" w:cs="Arial" w:eastAsia="Arial" w:hAnsi="Arial"/>
          <w:sz w:val="19"/>
          <w:szCs w:val="19"/>
          <w:color w:val="auto"/>
        </w:rPr>
        <w:t>Our immuno-neurology approach and our Discovery Platform are designed to broadly address multiple neurodegenerative disorders. The breadth of our opportunity is reinforced by our ability to engineer therapeutics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79"/>
        <w:spacing w:after="0"/>
        <w:rPr>
          <w:sz w:val="20"/>
          <w:szCs w:val="20"/>
          <w:color w:val="auto"/>
        </w:rPr>
      </w:pPr>
      <w:r>
        <w:rPr>
          <w:rFonts w:ascii="Arial" w:cs="Arial" w:eastAsia="Arial" w:hAnsi="Arial"/>
          <w:sz w:val="19"/>
          <w:szCs w:val="19"/>
          <w:color w:val="auto"/>
        </w:rPr>
        <w:t>1</w:t>
      </w:r>
    </w:p>
    <w:p>
      <w:pPr>
        <w:sectPr>
          <w:pgSz w:w="12240" w:h="15840" w:orient="portrait"/>
          <w:cols w:equalWidth="0" w:num="1">
            <w:col w:w="11620"/>
          </w:cols>
          <w:pgMar w:left="120" w:top="336" w:right="500" w:bottom="1440" w:gutter="0" w:footer="0" w:header="0"/>
        </w:sectPr>
      </w:pPr>
    </w:p>
    <w:bookmarkStart w:id="9" w:name="page10"/>
    <w:bookmarkEnd w:id="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7148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93305" cy="714883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380" w:right="20"/>
        <w:spacing w:after="0" w:line="308" w:lineRule="auto"/>
        <w:rPr>
          <w:sz w:val="20"/>
          <w:szCs w:val="20"/>
          <w:color w:val="auto"/>
        </w:rPr>
      </w:pPr>
      <w:r>
        <w:rPr>
          <w:rFonts w:ascii="Arial" w:cs="Arial" w:eastAsia="Arial" w:hAnsi="Arial"/>
          <w:sz w:val="17"/>
          <w:szCs w:val="17"/>
          <w:color w:val="auto"/>
        </w:rPr>
        <w:t>capable of modulating a broad array of immune targets, validated by human genetics, across multiple mechanisms of action, including product candidates that activate, block, inhibit, or down-regulate a given target as therapeutically needed. Our intellectual property portfolio covers over 25 patent families, consisting of one approved patent and over 100 pending patent applications directed to over 15 different targets and technologies.</w:t>
      </w:r>
    </w:p>
    <w:p>
      <w:pPr>
        <w:spacing w:after="0" w:line="160" w:lineRule="exact"/>
        <w:rPr>
          <w:sz w:val="20"/>
          <w:szCs w:val="20"/>
          <w:color w:val="auto"/>
        </w:rPr>
      </w:pPr>
    </w:p>
    <w:p>
      <w:pPr>
        <w:ind w:left="820"/>
        <w:spacing w:after="0"/>
        <w:rPr>
          <w:sz w:val="20"/>
          <w:szCs w:val="20"/>
          <w:color w:val="auto"/>
        </w:rPr>
      </w:pPr>
      <w:r>
        <w:rPr>
          <w:rFonts w:ascii="Arial" w:cs="Arial" w:eastAsia="Arial" w:hAnsi="Arial"/>
          <w:sz w:val="19"/>
          <w:szCs w:val="19"/>
          <w:color w:val="auto"/>
        </w:rPr>
        <w:t>The following table highlights our preclinical and clinical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20"/>
        <w:spacing w:after="0"/>
        <w:rPr>
          <w:sz w:val="20"/>
          <w:szCs w:val="20"/>
          <w:color w:val="auto"/>
        </w:rPr>
      </w:pPr>
      <w:r>
        <w:rPr>
          <w:rFonts w:ascii="Arial" w:cs="Arial" w:eastAsia="Arial" w:hAnsi="Arial"/>
          <w:sz w:val="19"/>
          <w:szCs w:val="19"/>
          <w:color w:val="auto"/>
        </w:rPr>
        <w:t>The following table highlights ten of our identified programs in our research and development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80" w:right="20" w:firstLine="450"/>
        <w:spacing w:after="0" w:line="272" w:lineRule="auto"/>
        <w:rPr>
          <w:sz w:val="20"/>
          <w:szCs w:val="20"/>
          <w:color w:val="auto"/>
        </w:rPr>
      </w:pPr>
      <w:r>
        <w:rPr>
          <w:rFonts w:ascii="Arial" w:cs="Arial" w:eastAsia="Arial" w:hAnsi="Arial"/>
          <w:sz w:val="18"/>
          <w:szCs w:val="18"/>
          <w:color w:val="auto"/>
        </w:rPr>
        <w:t>The above table reflects that we currently have seven neurology programs identified in our research and development pipeline focused on targeting Alzheimer’s disease, Parkinson’s disease, amyotrophic lateral sclerosis (ALS), and progressive multiple sclerosis. Moreover, we have three oncology programs identified in our research and development pipeline focused on targeting innate immune cells. Currently, we estimate that all of these neurology and oncology focused programs are one to three years or more away from entering preclinical studies assuming that these programs meet our requirements for advancement into the preclinical stage. For each of our programs in our research and development pipeline we are working to identify biomarkers to be utilized in preclinical studies for each program.</w:t>
      </w:r>
    </w:p>
    <w:p>
      <w:pPr>
        <w:spacing w:after="0" w:line="190" w:lineRule="exact"/>
        <w:rPr>
          <w:sz w:val="20"/>
          <w:szCs w:val="20"/>
          <w:color w:val="auto"/>
        </w:rPr>
      </w:pPr>
    </w:p>
    <w:p>
      <w:pPr>
        <w:ind w:left="380" w:firstLine="450"/>
        <w:spacing w:after="0" w:line="289" w:lineRule="auto"/>
        <w:rPr>
          <w:sz w:val="20"/>
          <w:szCs w:val="20"/>
          <w:color w:val="auto"/>
        </w:rPr>
      </w:pPr>
      <w:r>
        <w:rPr>
          <w:rFonts w:ascii="Arial" w:cs="Arial" w:eastAsia="Arial" w:hAnsi="Arial"/>
          <w:sz w:val="17"/>
          <w:szCs w:val="17"/>
          <w:color w:val="auto"/>
        </w:rPr>
        <w:t>Our first program modulates PGRN, a regulator of immune activity in the brain with genetic links to multiple neurodegenerative disorders, including FTD, Alzheimer’s disease, and Parkinson’s disease. AL001, our first PGRN product candidate in clinical development, is designed to treat FTD, a severe, rapidly progressing neurodegenerative disorder that affects approximately 170,000 individuals in the United States and the European Union alone, with potentially higher prevalence in Asia and Latin America. AL001 entered the clinic in the second half of 2018 aimed at treating FTD-GRN. AL001 successfully demonstrated proof-of-mechanism in a dose-escalating Phase 1a study in healthy volunteers by showing a statistically significant increase in PGRN levels relative to baseline when compared to pooled placebo in plasma and in CSF in measured cohorts at the pre-specified follow-up time point. We plan to advance AL001 into a Phase 1b study with proof-of-mechanism</w:t>
      </w:r>
    </w:p>
    <w:p>
      <w:pPr>
        <w:sectPr>
          <w:pgSz w:w="12240" w:h="15840" w:orient="portrait"/>
          <w:cols w:equalWidth="0" w:num="1">
            <w:col w:w="11580"/>
          </w:cols>
          <w:pgMar w:left="120" w:top="336" w:right="5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2</w:t>
      </w:r>
    </w:p>
    <w:p>
      <w:pPr>
        <w:sectPr>
          <w:pgSz w:w="12240" w:h="15840" w:orient="portrait"/>
          <w:cols w:equalWidth="0" w:num="1">
            <w:col w:w="11580"/>
          </w:cols>
          <w:pgMar w:left="120" w:top="336" w:right="540" w:bottom="1440" w:gutter="0" w:footer="0" w:header="0"/>
          <w:type w:val="continuous"/>
        </w:sectPr>
      </w:pPr>
    </w:p>
    <w:bookmarkStart w:id="10" w:name="page11"/>
    <w:bookmarkEnd w:id="1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6650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93305" cy="66503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380" w:right="80"/>
        <w:spacing w:after="0" w:line="256" w:lineRule="auto"/>
        <w:rPr>
          <w:sz w:val="20"/>
          <w:szCs w:val="20"/>
          <w:color w:val="auto"/>
        </w:rPr>
      </w:pPr>
      <w:r>
        <w:rPr>
          <w:rFonts w:ascii="Arial" w:cs="Arial" w:eastAsia="Arial" w:hAnsi="Arial"/>
          <w:sz w:val="19"/>
          <w:szCs w:val="19"/>
          <w:color w:val="auto"/>
        </w:rPr>
        <w:t>data in FTD-GRN patients expected in the first half of 2019 and a Phase 2 study with proof-of-concept data in FTD-GRN patients expected in the first half of 2020. We also intend to include an additional genetic subset of FTD patients (FTD-C9orf72) in 2019. Following proof-of-concept data in FTD-GRN patients, we plan to expand to additional FTD subpopulations. We are also advancing a second PGRN product candidate, AL101, which is expected to have utility in a broader set of indications, such as Alzheimer’s disease and Parkinson’s disease. We own worldwide rights to AL001 and AL101.</w:t>
      </w:r>
    </w:p>
    <w:p>
      <w:pPr>
        <w:spacing w:after="0" w:line="204" w:lineRule="exact"/>
        <w:rPr>
          <w:sz w:val="20"/>
          <w:szCs w:val="20"/>
          <w:color w:val="auto"/>
        </w:rPr>
      </w:pPr>
    </w:p>
    <w:p>
      <w:pPr>
        <w:ind w:left="380" w:right="60" w:firstLine="450"/>
        <w:spacing w:after="0" w:line="285" w:lineRule="auto"/>
        <w:rPr>
          <w:sz w:val="20"/>
          <w:szCs w:val="20"/>
          <w:color w:val="auto"/>
        </w:rPr>
      </w:pPr>
      <w:r>
        <w:rPr>
          <w:rFonts w:ascii="Arial" w:cs="Arial" w:eastAsia="Arial" w:hAnsi="Arial"/>
          <w:sz w:val="17"/>
          <w:szCs w:val="17"/>
          <w:color w:val="auto"/>
        </w:rPr>
        <w:t>Our next development programs focus on modulating check-point receptors on the brain’s immune cells, Triggering Receptor Expressed on Myeloid cells 2 (TREM2) and sialic acid binding Ig-like lectin 3 (SIGLEC 3), with strong genetic links to Alzheimer’s disease. We are advancing AL002 and AL003 for the treatment of Alzheimer’s disease. In the second half of 2018, we advanced AL002, a product candidate for Alzheimer’s disease, into clinical studies initiating a dose escalation Phase 1 study in healthy volunteers. We plan to advance AL003 into clinical studies for the treatment of Alzheimer’s disease in the first half of 2019. We have partnered with AbbVie Biotechnology, Ltd. (AbbVie), a leader in neuroscience drug development, for the global development and potential commercialization of AL002 and AL003. We are responsible for execution of the Phase 1 and Phase 2 studies. Following AbbVie’s exercise of its option, Alector and AbbVie will share the development costs and will split global profits after marketing approval. However, following AbbVie’s option exercise for a program, we may opt out of sharing in development costs and profits or losses from that program and instead receive a tiered royalty on sales of products from that program. As part of this partnership, we received $205.0 million in upfront payments, $20.0 million from the sale of shares of our preferred stock and are eligible for up to an additional $985.6 million in option exercise and milestone payments and a global profit share with AbbVie upon commercialization.</w:t>
      </w:r>
    </w:p>
    <w:p>
      <w:pPr>
        <w:spacing w:after="0" w:line="299" w:lineRule="exact"/>
        <w:rPr>
          <w:sz w:val="20"/>
          <w:szCs w:val="20"/>
          <w:color w:val="auto"/>
        </w:rPr>
      </w:pPr>
    </w:p>
    <w:p>
      <w:pPr>
        <w:ind w:left="380"/>
        <w:spacing w:after="0"/>
        <w:rPr>
          <w:sz w:val="20"/>
          <w:szCs w:val="20"/>
          <w:color w:val="auto"/>
        </w:rPr>
      </w:pPr>
      <w:r>
        <w:rPr>
          <w:rFonts w:ascii="Arial" w:cs="Arial" w:eastAsia="Arial" w:hAnsi="Arial"/>
          <w:sz w:val="19"/>
          <w:szCs w:val="19"/>
          <w:b w:val="1"/>
          <w:bCs w:val="1"/>
          <w:i w:val="1"/>
          <w:iCs w:val="1"/>
          <w:color w:val="auto"/>
        </w:rPr>
        <w:t>The Immune System is Central to Neurodegeneration</w:t>
      </w:r>
    </w:p>
    <w:p>
      <w:pPr>
        <w:spacing w:after="0" w:line="124" w:lineRule="exact"/>
        <w:rPr>
          <w:sz w:val="20"/>
          <w:szCs w:val="20"/>
          <w:color w:val="auto"/>
        </w:rPr>
      </w:pPr>
    </w:p>
    <w:p>
      <w:pPr>
        <w:ind w:left="380" w:right="120" w:firstLine="450"/>
        <w:spacing w:after="0" w:line="294" w:lineRule="auto"/>
        <w:rPr>
          <w:sz w:val="20"/>
          <w:szCs w:val="20"/>
          <w:color w:val="auto"/>
        </w:rPr>
      </w:pPr>
      <w:r>
        <w:rPr>
          <w:rFonts w:ascii="Arial" w:cs="Arial" w:eastAsia="Arial" w:hAnsi="Arial"/>
          <w:sz w:val="17"/>
          <w:szCs w:val="17"/>
          <w:color w:val="auto"/>
        </w:rPr>
        <w:t>The loss of healthy immune function in the brain, due to cellular aging or mutations of genes that regulate key immune cells, underlies the onset and progression of multiple neurodegenerative disorders. Genomic analyses have shown that there is a strong correlation between genetic mutations that predispose individuals to neurodegeneration and dysfunction in the immune system. For example, 22 of the top 25 risk genes identified by evaluating large-scale data on tens of thousands of Alzheimer’s disease patients regulate immune function in the brain. As a result of these genetic mutations, the brain’s immune function deteriorates and subsequently would fail to carry out critical activities, which include:</w:t>
      </w:r>
    </w:p>
    <w:p>
      <w:pPr>
        <w:spacing w:after="0" w:line="72" w:lineRule="exact"/>
        <w:rPr>
          <w:sz w:val="20"/>
          <w:szCs w:val="20"/>
          <w:color w:val="auto"/>
        </w:rPr>
      </w:pPr>
    </w:p>
    <w:p>
      <w:pPr>
        <w:ind w:left="1240" w:hanging="312"/>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clearing or counteracting pathological neurodegenerative proteins such as amyloid-beta, TAU, alpha-synuclein, and TDP-43;</w:t>
      </w:r>
    </w:p>
    <w:p>
      <w:pPr>
        <w:spacing w:after="0" w:line="149" w:lineRule="exact"/>
        <w:rPr>
          <w:rFonts w:ascii="Arial" w:cs="Arial" w:eastAsia="Arial" w:hAnsi="Arial"/>
          <w:sz w:val="18"/>
          <w:szCs w:val="18"/>
          <w:color w:val="auto"/>
        </w:rPr>
      </w:pPr>
    </w:p>
    <w:p>
      <w:pPr>
        <w:ind w:left="1240" w:hanging="312"/>
        <w:spacing w:after="0"/>
        <w:tabs>
          <w:tab w:leader="none" w:pos="1240" w:val="left"/>
        </w:tabs>
        <w:numPr>
          <w:ilvl w:val="0"/>
          <w:numId w:val="4"/>
        </w:numPr>
        <w:rPr>
          <w:rFonts w:ascii="Arial" w:cs="Arial" w:eastAsia="Arial" w:hAnsi="Arial"/>
          <w:sz w:val="19"/>
          <w:szCs w:val="19"/>
          <w:color w:val="auto"/>
        </w:rPr>
      </w:pPr>
      <w:r>
        <w:rPr>
          <w:rFonts w:ascii="Arial" w:cs="Arial" w:eastAsia="Arial" w:hAnsi="Arial"/>
          <w:sz w:val="19"/>
          <w:szCs w:val="19"/>
          <w:color w:val="auto"/>
        </w:rPr>
        <w:t>providing metabolic and functional support to nerve cells;</w:t>
      </w:r>
    </w:p>
    <w:p>
      <w:pPr>
        <w:spacing w:after="0" w:line="138" w:lineRule="exact"/>
        <w:rPr>
          <w:rFonts w:ascii="Arial" w:cs="Arial" w:eastAsia="Arial" w:hAnsi="Arial"/>
          <w:sz w:val="19"/>
          <w:szCs w:val="19"/>
          <w:color w:val="auto"/>
        </w:rPr>
      </w:pPr>
    </w:p>
    <w:p>
      <w:pPr>
        <w:ind w:left="1240" w:hanging="312"/>
        <w:spacing w:after="0"/>
        <w:tabs>
          <w:tab w:leader="none" w:pos="1240" w:val="left"/>
        </w:tabs>
        <w:numPr>
          <w:ilvl w:val="0"/>
          <w:numId w:val="4"/>
        </w:numPr>
        <w:rPr>
          <w:rFonts w:ascii="Arial" w:cs="Arial" w:eastAsia="Arial" w:hAnsi="Arial"/>
          <w:sz w:val="19"/>
          <w:szCs w:val="19"/>
          <w:color w:val="auto"/>
        </w:rPr>
      </w:pPr>
      <w:r>
        <w:rPr>
          <w:rFonts w:ascii="Arial" w:cs="Arial" w:eastAsia="Arial" w:hAnsi="Arial"/>
          <w:sz w:val="19"/>
          <w:szCs w:val="19"/>
          <w:color w:val="auto"/>
        </w:rPr>
        <w:t>regulating synaptic connections;</w:t>
      </w:r>
    </w:p>
    <w:p>
      <w:pPr>
        <w:spacing w:after="0" w:line="138" w:lineRule="exact"/>
        <w:rPr>
          <w:rFonts w:ascii="Arial" w:cs="Arial" w:eastAsia="Arial" w:hAnsi="Arial"/>
          <w:sz w:val="19"/>
          <w:szCs w:val="19"/>
          <w:color w:val="auto"/>
        </w:rPr>
      </w:pPr>
    </w:p>
    <w:p>
      <w:pPr>
        <w:ind w:left="1240" w:hanging="312"/>
        <w:spacing w:after="0"/>
        <w:tabs>
          <w:tab w:leader="none" w:pos="1240" w:val="left"/>
        </w:tabs>
        <w:numPr>
          <w:ilvl w:val="0"/>
          <w:numId w:val="4"/>
        </w:numPr>
        <w:rPr>
          <w:rFonts w:ascii="Arial" w:cs="Arial" w:eastAsia="Arial" w:hAnsi="Arial"/>
          <w:sz w:val="19"/>
          <w:szCs w:val="19"/>
          <w:color w:val="auto"/>
        </w:rPr>
      </w:pPr>
      <w:r>
        <w:rPr>
          <w:rFonts w:ascii="Arial" w:cs="Arial" w:eastAsia="Arial" w:hAnsi="Arial"/>
          <w:sz w:val="19"/>
          <w:szCs w:val="19"/>
          <w:color w:val="auto"/>
        </w:rPr>
        <w:t>protecting nerve cells by stimulating the regeneration of myelin sheaths around nerve fibers; and</w:t>
      </w:r>
    </w:p>
    <w:p>
      <w:pPr>
        <w:spacing w:after="0" w:line="138" w:lineRule="exact"/>
        <w:rPr>
          <w:rFonts w:ascii="Arial" w:cs="Arial" w:eastAsia="Arial" w:hAnsi="Arial"/>
          <w:sz w:val="19"/>
          <w:szCs w:val="19"/>
          <w:color w:val="auto"/>
        </w:rPr>
      </w:pPr>
    </w:p>
    <w:p>
      <w:pPr>
        <w:ind w:left="1240" w:hanging="312"/>
        <w:spacing w:after="0"/>
        <w:tabs>
          <w:tab w:leader="none" w:pos="1240" w:val="left"/>
        </w:tabs>
        <w:numPr>
          <w:ilvl w:val="0"/>
          <w:numId w:val="4"/>
        </w:numPr>
        <w:rPr>
          <w:rFonts w:ascii="Arial" w:cs="Arial" w:eastAsia="Arial" w:hAnsi="Arial"/>
          <w:sz w:val="19"/>
          <w:szCs w:val="19"/>
          <w:color w:val="auto"/>
        </w:rPr>
      </w:pPr>
      <w:r>
        <w:rPr>
          <w:rFonts w:ascii="Arial" w:cs="Arial" w:eastAsia="Arial" w:hAnsi="Arial"/>
          <w:sz w:val="19"/>
          <w:szCs w:val="19"/>
          <w:color w:val="auto"/>
        </w:rPr>
        <w:t>controlling the neurotoxic activities of activated astrocytes and rogue microglia.</w:t>
      </w:r>
    </w:p>
    <w:p>
      <w:pPr>
        <w:spacing w:after="0" w:line="238" w:lineRule="exact"/>
        <w:rPr>
          <w:sz w:val="20"/>
          <w:szCs w:val="20"/>
          <w:color w:val="auto"/>
        </w:rPr>
      </w:pPr>
    </w:p>
    <w:p>
      <w:pPr>
        <w:ind w:left="380" w:right="1100" w:firstLine="450"/>
        <w:spacing w:after="0" w:line="336" w:lineRule="auto"/>
        <w:rPr>
          <w:sz w:val="20"/>
          <w:szCs w:val="20"/>
          <w:color w:val="auto"/>
        </w:rPr>
      </w:pPr>
      <w:r>
        <w:rPr>
          <w:rFonts w:ascii="Arial" w:cs="Arial" w:eastAsia="Arial" w:hAnsi="Arial"/>
          <w:sz w:val="17"/>
          <w:szCs w:val="17"/>
          <w:color w:val="auto"/>
        </w:rPr>
        <w:t>We believe that restoring the immune system’s ability to perform all of these vital functions in the brain is crucial to addressing neurodegeneration given that past approaches focusing on single degenerative pathologies have proved inadequate to date.</w:t>
      </w:r>
    </w:p>
    <w:p>
      <w:pPr>
        <w:spacing w:after="0" w:line="136" w:lineRule="exact"/>
        <w:rPr>
          <w:sz w:val="20"/>
          <w:szCs w:val="20"/>
          <w:color w:val="auto"/>
        </w:rPr>
      </w:pPr>
    </w:p>
    <w:p>
      <w:pPr>
        <w:ind w:left="380" w:firstLine="450"/>
        <w:spacing w:after="0" w:line="271" w:lineRule="auto"/>
        <w:rPr>
          <w:sz w:val="20"/>
          <w:szCs w:val="20"/>
          <w:color w:val="auto"/>
        </w:rPr>
      </w:pPr>
      <w:r>
        <w:rPr>
          <w:rFonts w:ascii="Arial" w:cs="Arial" w:eastAsia="Arial" w:hAnsi="Arial"/>
          <w:sz w:val="18"/>
          <w:szCs w:val="18"/>
          <w:color w:val="auto"/>
        </w:rPr>
        <w:t>Since the early 20</w:t>
      </w:r>
      <w:r>
        <w:rPr>
          <w:rFonts w:ascii="Arial" w:cs="Arial" w:eastAsia="Arial" w:hAnsi="Arial"/>
          <w:sz w:val="15"/>
          <w:szCs w:val="15"/>
          <w:color w:val="auto"/>
        </w:rPr>
        <w:t>th</w:t>
      </w:r>
      <w:r>
        <w:rPr>
          <w:rFonts w:ascii="Arial" w:cs="Arial" w:eastAsia="Arial" w:hAnsi="Arial"/>
          <w:sz w:val="18"/>
          <w:szCs w:val="18"/>
          <w:color w:val="auto"/>
        </w:rPr>
        <w:t xml:space="preserve"> century, the root cause of neurodegeneration has been thought to be misfolded and aggregated pathological proteins. Other observable pathologies, including destruction of synapses, accelerated nerve cell death, and dysfunction of the brain support cells, were all thought to be consequences of these pathological misfolded proteins. As a result, attempts to develop therapies for neurodegeneration have been centered on blocking the synthesis of, and removing or dis-aggregating misfolded proteins. These attempts have been largely unsuccessful, as the disease continues to progress despite significant clearance of the misfolded protein. We believe that the multiple pathologies found in degenerative brain disorders become independent of the misfolded proteins, and each other, at early disease stages and are driven primarily by dysfunction of the brain’s immune system.</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9"/>
        <w:spacing w:after="0"/>
        <w:rPr>
          <w:sz w:val="20"/>
          <w:szCs w:val="20"/>
          <w:color w:val="auto"/>
        </w:rPr>
      </w:pPr>
      <w:r>
        <w:rPr>
          <w:rFonts w:ascii="Arial" w:cs="Arial" w:eastAsia="Arial" w:hAnsi="Arial"/>
          <w:sz w:val="19"/>
          <w:szCs w:val="19"/>
          <w:color w:val="auto"/>
        </w:rPr>
        <w:t>3</w:t>
      </w:r>
    </w:p>
    <w:p>
      <w:pPr>
        <w:sectPr>
          <w:pgSz w:w="12240" w:h="15840" w:orient="portrait"/>
          <w:cols w:equalWidth="0" w:num="1">
            <w:col w:w="11600"/>
          </w:cols>
          <w:pgMar w:left="120" w:top="336" w:right="520" w:bottom="1440" w:gutter="0" w:footer="0" w:header="0"/>
        </w:sectPr>
      </w:pPr>
    </w:p>
    <w:bookmarkStart w:id="11" w:name="page12"/>
    <w:bookmarkEnd w:id="1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6134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93305" cy="613410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380" w:firstLine="450"/>
        <w:spacing w:after="0" w:line="254" w:lineRule="auto"/>
        <w:rPr>
          <w:sz w:val="20"/>
          <w:szCs w:val="20"/>
          <w:color w:val="auto"/>
        </w:rPr>
      </w:pPr>
      <w:r>
        <w:rPr>
          <w:rFonts w:ascii="Arial" w:cs="Arial" w:eastAsia="Arial" w:hAnsi="Arial"/>
          <w:sz w:val="19"/>
          <w:szCs w:val="19"/>
          <w:color w:val="auto"/>
        </w:rPr>
        <w:t>Specifically, the brain’s immune system undergoes gradual deterioration of functional characteristics as part of normal biological aging or due to harmful genetic mutations that are linked to neurodegeneration and are associated with accelerated senescence of the brain immune cells. These cells are no longer capable of executing their beneficial and protective roles and instead often become harmful and destructive to the brain. Based on our understanding of the role of genetic mutations in neurodegeneration, we have designed our product candidates to target the mutated genes linked to neurodegeneration, with the goal of slowing or reversing the deterioration of the brain’s immune cells to achieve therapeutic benefit. By restoring healthy immune function in the brain, we believe we can simultaneously counteract the multiple independent pathologies responsible for neurodegeneration.</w:t>
      </w:r>
    </w:p>
    <w:p>
      <w:pPr>
        <w:spacing w:after="0" w:line="321" w:lineRule="exact"/>
        <w:rPr>
          <w:sz w:val="20"/>
          <w:szCs w:val="20"/>
          <w:color w:val="auto"/>
        </w:rPr>
      </w:pPr>
    </w:p>
    <w:p>
      <w:pPr>
        <w:ind w:left="380"/>
        <w:spacing w:after="0"/>
        <w:rPr>
          <w:sz w:val="20"/>
          <w:szCs w:val="20"/>
          <w:color w:val="auto"/>
        </w:rPr>
      </w:pPr>
      <w:r>
        <w:rPr>
          <w:rFonts w:ascii="Arial" w:cs="Arial" w:eastAsia="Arial" w:hAnsi="Arial"/>
          <w:sz w:val="19"/>
          <w:szCs w:val="19"/>
          <w:b w:val="1"/>
          <w:bCs w:val="1"/>
          <w:i w:val="1"/>
          <w:iCs w:val="1"/>
          <w:color w:val="auto"/>
        </w:rPr>
        <w:t>Our Team</w:t>
      </w:r>
    </w:p>
    <w:p>
      <w:pPr>
        <w:spacing w:after="0" w:line="124" w:lineRule="exact"/>
        <w:rPr>
          <w:sz w:val="20"/>
          <w:szCs w:val="20"/>
          <w:color w:val="auto"/>
        </w:rPr>
      </w:pPr>
    </w:p>
    <w:p>
      <w:pPr>
        <w:ind w:left="380" w:right="80" w:firstLine="450"/>
        <w:spacing w:after="0" w:line="269" w:lineRule="auto"/>
        <w:rPr>
          <w:sz w:val="20"/>
          <w:szCs w:val="20"/>
          <w:color w:val="auto"/>
        </w:rPr>
      </w:pPr>
      <w:r>
        <w:rPr>
          <w:rFonts w:ascii="Arial" w:cs="Arial" w:eastAsia="Arial" w:hAnsi="Arial"/>
          <w:sz w:val="18"/>
          <w:szCs w:val="18"/>
          <w:color w:val="auto"/>
        </w:rPr>
        <w:t>Our team is led by seasoned executives with a proven track record of drug discovery and development in neuroscience, as well as substantial operational and business expertise. Our Co-Founder and Chief Executive Officer, Arnon Rosenthal, Ph.D., has spent over 35 years developing therapeutics in neuroscience and led teams responsible for the development of the non-addictive pain drug tanezumab and the migraine drug AJOVY, and multiple other programs in clinical development. He also held several leadership roles over a 16-year career at Genentech, where he led the team that discovered the target for the cancer drug Erivedge. Our Chief Medical Officer, Robert Paul, M.D., Ph.D., served as the Therapeutic Area Lead for Neuroscience at Genentech, where among other projects, he oversaw the clinical development of several product candidates, including the amyloid-beta antibody crenezumab in Alzheimer’s disease, GDC-0134 in ALS, and GDC-0276 and GDC-0310 in pain. Our Chief Development Officer, Robert King, Ph.D., previously served as the Senior Vice President of development and supply chain at SciClone Pharmaceuticals. Our Chief Business Officer, Sabah Oney, Ph.D., previously served as the Head of Global Sales and Business Development at Ariosa Diagnostics until and through its acquisition by Roche.</w:t>
      </w:r>
    </w:p>
    <w:p>
      <w:pPr>
        <w:spacing w:after="0" w:line="190" w:lineRule="exact"/>
        <w:rPr>
          <w:sz w:val="20"/>
          <w:szCs w:val="20"/>
          <w:color w:val="auto"/>
        </w:rPr>
      </w:pPr>
    </w:p>
    <w:p>
      <w:pPr>
        <w:ind w:left="380" w:right="20" w:firstLine="450"/>
        <w:spacing w:after="0" w:line="274" w:lineRule="auto"/>
        <w:rPr>
          <w:sz w:val="20"/>
          <w:szCs w:val="20"/>
          <w:color w:val="auto"/>
        </w:rPr>
      </w:pPr>
      <w:r>
        <w:rPr>
          <w:rFonts w:ascii="Arial" w:cs="Arial" w:eastAsia="Arial" w:hAnsi="Arial"/>
          <w:sz w:val="18"/>
          <w:szCs w:val="18"/>
          <w:color w:val="auto"/>
        </w:rPr>
        <w:t>Our team is further supported by a group of investors that share our commitment to advancing immunotherapy as a transformative cure for neurodegeneration. Our key investors include major biopharmaceutical companies, AbbVie, Amgen, and Merck, and leading institutional investors, Casdin Capital, Deerfield Management, Euclidean Capital, Federated Kaufmann Fund, Foresite Capital, GV, Lilly Asia Ventures, Mission Bay Capital, New Leaf Venture Partners, OrbiMed, Perceptive Advisors, Polaris Partners, Section 32, and the Dementia Discovery Fund, a specialist venture capital fund entirely focused on advancing breakthrough treatments for dementia.</w:t>
      </w:r>
    </w:p>
    <w:p>
      <w:pPr>
        <w:spacing w:after="0" w:line="302" w:lineRule="exact"/>
        <w:rPr>
          <w:sz w:val="20"/>
          <w:szCs w:val="20"/>
          <w:color w:val="auto"/>
        </w:rPr>
      </w:pPr>
    </w:p>
    <w:p>
      <w:pPr>
        <w:ind w:left="380"/>
        <w:spacing w:after="0"/>
        <w:rPr>
          <w:sz w:val="20"/>
          <w:szCs w:val="20"/>
          <w:color w:val="auto"/>
        </w:rPr>
      </w:pPr>
      <w:r>
        <w:rPr>
          <w:rFonts w:ascii="Arial" w:cs="Arial" w:eastAsia="Arial" w:hAnsi="Arial"/>
          <w:sz w:val="19"/>
          <w:szCs w:val="19"/>
          <w:b w:val="1"/>
          <w:bCs w:val="1"/>
          <w:i w:val="1"/>
          <w:iCs w:val="1"/>
          <w:color w:val="auto"/>
        </w:rPr>
        <w:t>Our Strategy</w:t>
      </w:r>
    </w:p>
    <w:p>
      <w:pPr>
        <w:spacing w:after="0" w:line="124" w:lineRule="exact"/>
        <w:rPr>
          <w:sz w:val="20"/>
          <w:szCs w:val="20"/>
          <w:color w:val="auto"/>
        </w:rPr>
      </w:pPr>
    </w:p>
    <w:p>
      <w:pPr>
        <w:ind w:left="380" w:right="480" w:firstLine="450"/>
        <w:spacing w:after="0" w:line="275" w:lineRule="auto"/>
        <w:rPr>
          <w:sz w:val="20"/>
          <w:szCs w:val="20"/>
          <w:color w:val="auto"/>
        </w:rPr>
      </w:pPr>
      <w:r>
        <w:rPr>
          <w:rFonts w:ascii="Arial" w:cs="Arial" w:eastAsia="Arial" w:hAnsi="Arial"/>
          <w:sz w:val="19"/>
          <w:szCs w:val="19"/>
          <w:color w:val="auto"/>
        </w:rPr>
        <w:t>Our goal is to develop therapies that empower the immune system to cure neurodegeneration. The key tenets of our business strategy to achieve this goal include:</w:t>
      </w:r>
    </w:p>
    <w:p>
      <w:pPr>
        <w:spacing w:after="0" w:line="84" w:lineRule="exact"/>
        <w:rPr>
          <w:sz w:val="20"/>
          <w:szCs w:val="20"/>
          <w:color w:val="auto"/>
        </w:rPr>
      </w:pPr>
    </w:p>
    <w:p>
      <w:pPr>
        <w:ind w:left="1240" w:right="280" w:hanging="312"/>
        <w:spacing w:after="0" w:line="275" w:lineRule="auto"/>
        <w:tabs>
          <w:tab w:leader="none" w:pos="1240" w:val="left"/>
        </w:tabs>
        <w:numPr>
          <w:ilvl w:val="0"/>
          <w:numId w:val="5"/>
        </w:numPr>
        <w:rPr>
          <w:rFonts w:ascii="Arial" w:cs="Arial" w:eastAsia="Arial" w:hAnsi="Arial"/>
          <w:sz w:val="19"/>
          <w:szCs w:val="19"/>
          <w:color w:val="auto"/>
        </w:rPr>
      </w:pPr>
      <w:r>
        <w:rPr>
          <w:rFonts w:ascii="Arial" w:cs="Arial" w:eastAsia="Arial" w:hAnsi="Arial"/>
          <w:sz w:val="19"/>
          <w:szCs w:val="19"/>
          <w:color w:val="auto"/>
        </w:rPr>
        <w:t>building the leading, fully-integrated company focused on delivering innovative immuno-therapies, validated by human genetics, for the treatment of neurodegeneration;</w:t>
      </w:r>
    </w:p>
    <w:p>
      <w:pPr>
        <w:spacing w:after="0" w:line="84" w:lineRule="exact"/>
        <w:rPr>
          <w:rFonts w:ascii="Arial" w:cs="Arial" w:eastAsia="Arial" w:hAnsi="Arial"/>
          <w:sz w:val="19"/>
          <w:szCs w:val="19"/>
          <w:color w:val="auto"/>
        </w:rPr>
      </w:pPr>
    </w:p>
    <w:p>
      <w:pPr>
        <w:ind w:left="1240" w:right="200" w:hanging="312"/>
        <w:spacing w:after="0" w:line="275" w:lineRule="auto"/>
        <w:tabs>
          <w:tab w:leader="none" w:pos="1240" w:val="left"/>
        </w:tabs>
        <w:numPr>
          <w:ilvl w:val="0"/>
          <w:numId w:val="5"/>
        </w:numPr>
        <w:rPr>
          <w:rFonts w:ascii="Arial" w:cs="Arial" w:eastAsia="Arial" w:hAnsi="Arial"/>
          <w:sz w:val="19"/>
          <w:szCs w:val="19"/>
          <w:color w:val="auto"/>
        </w:rPr>
      </w:pPr>
      <w:r>
        <w:rPr>
          <w:rFonts w:ascii="Arial" w:cs="Arial" w:eastAsia="Arial" w:hAnsi="Arial"/>
          <w:sz w:val="19"/>
          <w:szCs w:val="19"/>
          <w:color w:val="auto"/>
        </w:rPr>
        <w:t>applying our proprietary development capabilities to rapidly advance our product candidates through clinical proof-of-concept studies and beyond;</w:t>
      </w:r>
    </w:p>
    <w:p>
      <w:pPr>
        <w:spacing w:after="0" w:line="84" w:lineRule="exact"/>
        <w:rPr>
          <w:rFonts w:ascii="Arial" w:cs="Arial" w:eastAsia="Arial" w:hAnsi="Arial"/>
          <w:sz w:val="19"/>
          <w:szCs w:val="19"/>
          <w:color w:val="auto"/>
        </w:rPr>
      </w:pPr>
    </w:p>
    <w:p>
      <w:pPr>
        <w:ind w:left="1240" w:hanging="312"/>
        <w:spacing w:after="0"/>
        <w:tabs>
          <w:tab w:leader="none" w:pos="1240" w:val="left"/>
        </w:tabs>
        <w:numPr>
          <w:ilvl w:val="0"/>
          <w:numId w:val="5"/>
        </w:numPr>
        <w:rPr>
          <w:rFonts w:ascii="Arial" w:cs="Arial" w:eastAsia="Arial" w:hAnsi="Arial"/>
          <w:sz w:val="19"/>
          <w:szCs w:val="19"/>
          <w:color w:val="auto"/>
        </w:rPr>
      </w:pPr>
      <w:r>
        <w:rPr>
          <w:rFonts w:ascii="Arial" w:cs="Arial" w:eastAsia="Arial" w:hAnsi="Arial"/>
          <w:sz w:val="19"/>
          <w:szCs w:val="19"/>
          <w:color w:val="auto"/>
        </w:rPr>
        <w:t>maximizing the therapeutic potential of our existing targets and product candidates; and</w:t>
      </w:r>
    </w:p>
    <w:p>
      <w:pPr>
        <w:spacing w:after="0" w:line="138" w:lineRule="exact"/>
        <w:rPr>
          <w:rFonts w:ascii="Arial" w:cs="Arial" w:eastAsia="Arial" w:hAnsi="Arial"/>
          <w:sz w:val="19"/>
          <w:szCs w:val="19"/>
          <w:color w:val="auto"/>
        </w:rPr>
      </w:pPr>
    </w:p>
    <w:p>
      <w:pPr>
        <w:ind w:left="1240" w:right="120" w:hanging="312"/>
        <w:spacing w:after="0" w:line="275" w:lineRule="auto"/>
        <w:tabs>
          <w:tab w:leader="none" w:pos="1240" w:val="left"/>
        </w:tabs>
        <w:numPr>
          <w:ilvl w:val="0"/>
          <w:numId w:val="5"/>
        </w:numPr>
        <w:rPr>
          <w:rFonts w:ascii="Arial" w:cs="Arial" w:eastAsia="Arial" w:hAnsi="Arial"/>
          <w:sz w:val="19"/>
          <w:szCs w:val="19"/>
          <w:color w:val="auto"/>
        </w:rPr>
      </w:pPr>
      <w:r>
        <w:rPr>
          <w:rFonts w:ascii="Arial" w:cs="Arial" w:eastAsia="Arial" w:hAnsi="Arial"/>
          <w:sz w:val="19"/>
          <w:szCs w:val="19"/>
          <w:color w:val="auto"/>
        </w:rPr>
        <w:t>continuing to focus on discovering new targets and product candidates, validated by human genetics, to prosecute the full power of our insights and platform.</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79"/>
        <w:spacing w:after="0"/>
        <w:rPr>
          <w:sz w:val="20"/>
          <w:szCs w:val="20"/>
          <w:color w:val="auto"/>
        </w:rPr>
      </w:pPr>
      <w:r>
        <w:rPr>
          <w:rFonts w:ascii="Arial" w:cs="Arial" w:eastAsia="Arial" w:hAnsi="Arial"/>
          <w:sz w:val="19"/>
          <w:szCs w:val="19"/>
          <w:color w:val="auto"/>
        </w:rPr>
        <w:t>4</w:t>
      </w:r>
    </w:p>
    <w:p>
      <w:pPr>
        <w:sectPr>
          <w:pgSz w:w="12240" w:h="15840" w:orient="portrait"/>
          <w:cols w:equalWidth="0" w:num="1">
            <w:col w:w="11620"/>
          </w:cols>
          <w:pgMar w:left="120" w:top="336" w:right="500" w:bottom="1440" w:gutter="0" w:footer="0" w:header="0"/>
        </w:sectPr>
      </w:pPr>
    </w:p>
    <w:bookmarkStart w:id="12" w:name="page13"/>
    <w:bookmarkEnd w:id="1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6777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93305" cy="67773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Risks Associated with Our Business</w:t>
      </w:r>
    </w:p>
    <w:p>
      <w:pPr>
        <w:spacing w:after="0" w:line="130" w:lineRule="exact"/>
        <w:rPr>
          <w:sz w:val="20"/>
          <w:szCs w:val="20"/>
          <w:color w:val="auto"/>
        </w:rPr>
      </w:pPr>
    </w:p>
    <w:p>
      <w:pPr>
        <w:ind w:left="380" w:right="660" w:firstLine="450"/>
        <w:spacing w:after="0" w:line="336" w:lineRule="auto"/>
        <w:rPr>
          <w:sz w:val="20"/>
          <w:szCs w:val="20"/>
          <w:color w:val="auto"/>
        </w:rPr>
      </w:pPr>
      <w:r>
        <w:rPr>
          <w:rFonts w:ascii="Arial" w:cs="Arial" w:eastAsia="Arial" w:hAnsi="Arial"/>
          <w:sz w:val="17"/>
          <w:szCs w:val="17"/>
          <w:color w:val="auto"/>
        </w:rPr>
        <w:t>Our business is subject to numerous risks and uncertainties that you should consider before investing in our company. These risks are described more fully in the section titled “Risk Factors” in this prospectus. These risks include, but are not limited to, the following:</w:t>
      </w:r>
    </w:p>
    <w:p>
      <w:pPr>
        <w:spacing w:after="0" w:line="37" w:lineRule="exact"/>
        <w:rPr>
          <w:sz w:val="20"/>
          <w:szCs w:val="20"/>
          <w:color w:val="auto"/>
        </w:rPr>
      </w:pPr>
    </w:p>
    <w:p>
      <w:pPr>
        <w:ind w:left="1240" w:right="180" w:hanging="312"/>
        <w:spacing w:after="0" w:line="275" w:lineRule="auto"/>
        <w:tabs>
          <w:tab w:leader="none" w:pos="1240" w:val="left"/>
        </w:tabs>
        <w:numPr>
          <w:ilvl w:val="0"/>
          <w:numId w:val="6"/>
        </w:numPr>
        <w:rPr>
          <w:rFonts w:ascii="Arial" w:cs="Arial" w:eastAsia="Arial" w:hAnsi="Arial"/>
          <w:sz w:val="19"/>
          <w:szCs w:val="19"/>
          <w:color w:val="auto"/>
        </w:rPr>
      </w:pPr>
      <w:r>
        <w:rPr>
          <w:rFonts w:ascii="Arial" w:cs="Arial" w:eastAsia="Arial" w:hAnsi="Arial"/>
          <w:sz w:val="19"/>
          <w:szCs w:val="19"/>
          <w:color w:val="auto"/>
        </w:rPr>
        <w:t>We are in the early stages of clinical drug development and have a limited operating history and no products approved for commercial sale.</w:t>
      </w:r>
    </w:p>
    <w:p>
      <w:pPr>
        <w:spacing w:after="0" w:line="84" w:lineRule="exact"/>
        <w:rPr>
          <w:rFonts w:ascii="Arial" w:cs="Arial" w:eastAsia="Arial" w:hAnsi="Arial"/>
          <w:sz w:val="19"/>
          <w:szCs w:val="19"/>
          <w:color w:val="auto"/>
        </w:rPr>
      </w:pPr>
    </w:p>
    <w:p>
      <w:pPr>
        <w:ind w:left="1240" w:right="80" w:hanging="312"/>
        <w:spacing w:after="0" w:line="275" w:lineRule="auto"/>
        <w:tabs>
          <w:tab w:leader="none" w:pos="1240" w:val="left"/>
        </w:tabs>
        <w:numPr>
          <w:ilvl w:val="0"/>
          <w:numId w:val="6"/>
        </w:numPr>
        <w:rPr>
          <w:rFonts w:ascii="Arial" w:cs="Arial" w:eastAsia="Arial" w:hAnsi="Arial"/>
          <w:sz w:val="19"/>
          <w:szCs w:val="19"/>
          <w:color w:val="auto"/>
        </w:rPr>
      </w:pPr>
      <w:r>
        <w:rPr>
          <w:rFonts w:ascii="Arial" w:cs="Arial" w:eastAsia="Arial" w:hAnsi="Arial"/>
          <w:sz w:val="19"/>
          <w:szCs w:val="19"/>
          <w:color w:val="auto"/>
        </w:rPr>
        <w:t>We have incurred significant net losses in each period since our inception and anticipate that we will continue to incur net losses for the foreseeable future.</w:t>
      </w:r>
    </w:p>
    <w:p>
      <w:pPr>
        <w:spacing w:after="0" w:line="84" w:lineRule="exact"/>
        <w:rPr>
          <w:rFonts w:ascii="Arial" w:cs="Arial" w:eastAsia="Arial" w:hAnsi="Arial"/>
          <w:sz w:val="19"/>
          <w:szCs w:val="19"/>
          <w:color w:val="auto"/>
        </w:rPr>
      </w:pPr>
    </w:p>
    <w:p>
      <w:pPr>
        <w:ind w:left="1240" w:hanging="312"/>
        <w:spacing w:after="0"/>
        <w:tabs>
          <w:tab w:leader="none" w:pos="1240" w:val="left"/>
        </w:tabs>
        <w:numPr>
          <w:ilvl w:val="0"/>
          <w:numId w:val="6"/>
        </w:numPr>
        <w:rPr>
          <w:rFonts w:ascii="Arial" w:cs="Arial" w:eastAsia="Arial" w:hAnsi="Arial"/>
          <w:sz w:val="19"/>
          <w:szCs w:val="19"/>
          <w:color w:val="auto"/>
        </w:rPr>
      </w:pPr>
      <w:r>
        <w:rPr>
          <w:rFonts w:ascii="Arial" w:cs="Arial" w:eastAsia="Arial" w:hAnsi="Arial"/>
          <w:sz w:val="19"/>
          <w:szCs w:val="19"/>
          <w:color w:val="auto"/>
        </w:rPr>
        <w:t>Drug development is a highly uncertain undertaking and involves a substantial degree of risk.</w:t>
      </w:r>
    </w:p>
    <w:p>
      <w:pPr>
        <w:spacing w:after="0" w:line="138" w:lineRule="exact"/>
        <w:rPr>
          <w:rFonts w:ascii="Arial" w:cs="Arial" w:eastAsia="Arial" w:hAnsi="Arial"/>
          <w:sz w:val="19"/>
          <w:szCs w:val="19"/>
          <w:color w:val="auto"/>
        </w:rPr>
      </w:pPr>
    </w:p>
    <w:p>
      <w:pPr>
        <w:ind w:left="1240" w:right="740" w:hanging="312"/>
        <w:spacing w:after="0" w:line="275" w:lineRule="auto"/>
        <w:tabs>
          <w:tab w:leader="none" w:pos="1240" w:val="left"/>
        </w:tabs>
        <w:numPr>
          <w:ilvl w:val="0"/>
          <w:numId w:val="6"/>
        </w:numPr>
        <w:rPr>
          <w:rFonts w:ascii="Arial" w:cs="Arial" w:eastAsia="Arial" w:hAnsi="Arial"/>
          <w:sz w:val="19"/>
          <w:szCs w:val="19"/>
          <w:color w:val="auto"/>
        </w:rPr>
      </w:pPr>
      <w:r>
        <w:rPr>
          <w:rFonts w:ascii="Arial" w:cs="Arial" w:eastAsia="Arial" w:hAnsi="Arial"/>
          <w:sz w:val="19"/>
          <w:szCs w:val="19"/>
          <w:color w:val="auto"/>
        </w:rPr>
        <w:t>We will need to obtain substantial additional financing to complete the development and any commercialization of our product candidates.</w:t>
      </w:r>
    </w:p>
    <w:p>
      <w:pPr>
        <w:spacing w:after="0" w:line="84" w:lineRule="exact"/>
        <w:rPr>
          <w:rFonts w:ascii="Arial" w:cs="Arial" w:eastAsia="Arial" w:hAnsi="Arial"/>
          <w:sz w:val="19"/>
          <w:szCs w:val="19"/>
          <w:color w:val="auto"/>
        </w:rPr>
      </w:pPr>
    </w:p>
    <w:p>
      <w:pPr>
        <w:ind w:left="1240" w:right="200" w:hanging="312"/>
        <w:spacing w:after="0" w:line="275" w:lineRule="auto"/>
        <w:tabs>
          <w:tab w:leader="none" w:pos="1240" w:val="left"/>
        </w:tabs>
        <w:numPr>
          <w:ilvl w:val="0"/>
          <w:numId w:val="6"/>
        </w:numPr>
        <w:rPr>
          <w:rFonts w:ascii="Arial" w:cs="Arial" w:eastAsia="Arial" w:hAnsi="Arial"/>
          <w:sz w:val="19"/>
          <w:szCs w:val="19"/>
          <w:color w:val="auto"/>
        </w:rPr>
      </w:pPr>
      <w:r>
        <w:rPr>
          <w:rFonts w:ascii="Arial" w:cs="Arial" w:eastAsia="Arial" w:hAnsi="Arial"/>
          <w:sz w:val="19"/>
          <w:szCs w:val="19"/>
          <w:color w:val="auto"/>
        </w:rPr>
        <w:t>Due to the significant resources required for the development of our products, and depending on our ability to access capital, we must prioritize development of certain product candidates.</w:t>
      </w:r>
    </w:p>
    <w:p>
      <w:pPr>
        <w:spacing w:after="0" w:line="84" w:lineRule="exact"/>
        <w:rPr>
          <w:rFonts w:ascii="Arial" w:cs="Arial" w:eastAsia="Arial" w:hAnsi="Arial"/>
          <w:sz w:val="19"/>
          <w:szCs w:val="19"/>
          <w:color w:val="auto"/>
        </w:rPr>
      </w:pPr>
    </w:p>
    <w:p>
      <w:pPr>
        <w:ind w:left="1240" w:right="520" w:hanging="312"/>
        <w:spacing w:after="0" w:line="275" w:lineRule="auto"/>
        <w:tabs>
          <w:tab w:leader="none" w:pos="1240" w:val="left"/>
        </w:tabs>
        <w:numPr>
          <w:ilvl w:val="0"/>
          <w:numId w:val="6"/>
        </w:numPr>
        <w:rPr>
          <w:rFonts w:ascii="Arial" w:cs="Arial" w:eastAsia="Arial" w:hAnsi="Arial"/>
          <w:sz w:val="19"/>
          <w:szCs w:val="19"/>
          <w:color w:val="auto"/>
        </w:rPr>
      </w:pPr>
      <w:r>
        <w:rPr>
          <w:rFonts w:ascii="Arial" w:cs="Arial" w:eastAsia="Arial" w:hAnsi="Arial"/>
          <w:sz w:val="19"/>
          <w:szCs w:val="19"/>
          <w:color w:val="auto"/>
        </w:rPr>
        <w:t>Research and development of biopharmaceutical products is inherently risky. Our business is heavily dependent on the successful development of our product candidates.</w:t>
      </w:r>
    </w:p>
    <w:p>
      <w:pPr>
        <w:spacing w:after="0" w:line="84" w:lineRule="exact"/>
        <w:rPr>
          <w:rFonts w:ascii="Arial" w:cs="Arial" w:eastAsia="Arial" w:hAnsi="Arial"/>
          <w:sz w:val="19"/>
          <w:szCs w:val="19"/>
          <w:color w:val="auto"/>
        </w:rPr>
      </w:pPr>
    </w:p>
    <w:p>
      <w:pPr>
        <w:ind w:left="1240" w:right="640" w:hanging="312"/>
        <w:spacing w:after="0" w:line="275" w:lineRule="auto"/>
        <w:tabs>
          <w:tab w:leader="none" w:pos="1240" w:val="left"/>
        </w:tabs>
        <w:numPr>
          <w:ilvl w:val="0"/>
          <w:numId w:val="6"/>
        </w:numPr>
        <w:rPr>
          <w:rFonts w:ascii="Arial" w:cs="Arial" w:eastAsia="Arial" w:hAnsi="Arial"/>
          <w:sz w:val="19"/>
          <w:szCs w:val="19"/>
          <w:color w:val="auto"/>
        </w:rPr>
      </w:pPr>
      <w:r>
        <w:rPr>
          <w:rFonts w:ascii="Arial" w:cs="Arial" w:eastAsia="Arial" w:hAnsi="Arial"/>
          <w:sz w:val="19"/>
          <w:szCs w:val="19"/>
          <w:color w:val="auto"/>
        </w:rPr>
        <w:t>We may not be successful in our efforts to continue to create a pipeline of product candidates from our Discovery Platform or to develop commercially successful products.</w:t>
      </w:r>
    </w:p>
    <w:p>
      <w:pPr>
        <w:spacing w:after="0" w:line="84" w:lineRule="exact"/>
        <w:rPr>
          <w:rFonts w:ascii="Arial" w:cs="Arial" w:eastAsia="Arial" w:hAnsi="Arial"/>
          <w:sz w:val="19"/>
          <w:szCs w:val="19"/>
          <w:color w:val="auto"/>
        </w:rPr>
      </w:pPr>
    </w:p>
    <w:p>
      <w:pPr>
        <w:ind w:left="1240" w:hanging="312"/>
        <w:spacing w:after="0"/>
        <w:tabs>
          <w:tab w:leader="none" w:pos="1240" w:val="left"/>
        </w:tabs>
        <w:numPr>
          <w:ilvl w:val="0"/>
          <w:numId w:val="6"/>
        </w:numPr>
        <w:rPr>
          <w:rFonts w:ascii="Arial" w:cs="Arial" w:eastAsia="Arial" w:hAnsi="Arial"/>
          <w:sz w:val="19"/>
          <w:szCs w:val="19"/>
          <w:color w:val="auto"/>
        </w:rPr>
      </w:pPr>
      <w:r>
        <w:rPr>
          <w:rFonts w:ascii="Arial" w:cs="Arial" w:eastAsia="Arial" w:hAnsi="Arial"/>
          <w:sz w:val="19"/>
          <w:szCs w:val="19"/>
          <w:color w:val="auto"/>
        </w:rPr>
        <w:t>We may not be successful in our efforts to expand indications for approved product candidates.</w:t>
      </w:r>
    </w:p>
    <w:p>
      <w:pPr>
        <w:spacing w:after="0" w:line="138" w:lineRule="exact"/>
        <w:rPr>
          <w:rFonts w:ascii="Arial" w:cs="Arial" w:eastAsia="Arial" w:hAnsi="Arial"/>
          <w:sz w:val="19"/>
          <w:szCs w:val="19"/>
          <w:color w:val="auto"/>
        </w:rPr>
      </w:pPr>
    </w:p>
    <w:p>
      <w:pPr>
        <w:ind w:left="1240" w:right="240" w:hanging="312"/>
        <w:spacing w:after="0" w:line="275" w:lineRule="auto"/>
        <w:tabs>
          <w:tab w:leader="none" w:pos="1240" w:val="left"/>
        </w:tabs>
        <w:numPr>
          <w:ilvl w:val="0"/>
          <w:numId w:val="6"/>
        </w:numPr>
        <w:rPr>
          <w:rFonts w:ascii="Arial" w:cs="Arial" w:eastAsia="Arial" w:hAnsi="Arial"/>
          <w:sz w:val="19"/>
          <w:szCs w:val="19"/>
          <w:color w:val="auto"/>
        </w:rPr>
      </w:pPr>
      <w:r>
        <w:rPr>
          <w:rFonts w:ascii="Arial" w:cs="Arial" w:eastAsia="Arial" w:hAnsi="Arial"/>
          <w:sz w:val="19"/>
          <w:szCs w:val="19"/>
          <w:color w:val="auto"/>
        </w:rPr>
        <w:t>We have concentrated a substantial portion of our research and development efforts on the treatment of neurodegenerative diseases, a field that has seen limited success in drug development.</w:t>
      </w:r>
    </w:p>
    <w:p>
      <w:pPr>
        <w:spacing w:after="0" w:line="84" w:lineRule="exact"/>
        <w:rPr>
          <w:rFonts w:ascii="Arial" w:cs="Arial" w:eastAsia="Arial" w:hAnsi="Arial"/>
          <w:sz w:val="19"/>
          <w:szCs w:val="19"/>
          <w:color w:val="auto"/>
        </w:rPr>
      </w:pPr>
    </w:p>
    <w:p>
      <w:pPr>
        <w:ind w:left="1240" w:right="140" w:hanging="312"/>
        <w:spacing w:after="0" w:line="275" w:lineRule="auto"/>
        <w:tabs>
          <w:tab w:leader="none" w:pos="1240" w:val="left"/>
        </w:tabs>
        <w:numPr>
          <w:ilvl w:val="0"/>
          <w:numId w:val="6"/>
        </w:numPr>
        <w:rPr>
          <w:rFonts w:ascii="Arial" w:cs="Arial" w:eastAsia="Arial" w:hAnsi="Arial"/>
          <w:sz w:val="19"/>
          <w:szCs w:val="19"/>
          <w:color w:val="auto"/>
        </w:rPr>
      </w:pPr>
      <w:r>
        <w:rPr>
          <w:rFonts w:ascii="Arial" w:cs="Arial" w:eastAsia="Arial" w:hAnsi="Arial"/>
          <w:sz w:val="19"/>
          <w:szCs w:val="19"/>
          <w:color w:val="auto"/>
        </w:rPr>
        <w:t>We may encounter substantial delays in our clinical trials, or may not be able to conduct or complete our clinical trials on the timelines we expect, if at all.</w:t>
      </w:r>
    </w:p>
    <w:p>
      <w:pPr>
        <w:spacing w:after="0" w:line="84" w:lineRule="exact"/>
        <w:rPr>
          <w:rFonts w:ascii="Arial" w:cs="Arial" w:eastAsia="Arial" w:hAnsi="Arial"/>
          <w:sz w:val="19"/>
          <w:szCs w:val="19"/>
          <w:color w:val="auto"/>
        </w:rPr>
      </w:pPr>
    </w:p>
    <w:p>
      <w:pPr>
        <w:ind w:left="1240" w:right="580" w:hanging="312"/>
        <w:spacing w:after="0" w:line="304"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clinical trials may fail to demonstrate substantial evidence of the safety and efficacy of our product candidates, which would prevent, delay, or limit the scope of regulatory approval and the commercialization of our product candidates.</w:t>
      </w:r>
    </w:p>
    <w:p>
      <w:pPr>
        <w:spacing w:after="0" w:line="268"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Corporate Information</w:t>
      </w:r>
    </w:p>
    <w:p>
      <w:pPr>
        <w:spacing w:after="0" w:line="130" w:lineRule="exact"/>
        <w:rPr>
          <w:sz w:val="20"/>
          <w:szCs w:val="20"/>
          <w:color w:val="auto"/>
        </w:rPr>
      </w:pPr>
    </w:p>
    <w:p>
      <w:pPr>
        <w:ind w:left="380" w:right="260" w:firstLine="450"/>
        <w:spacing w:after="0" w:line="256" w:lineRule="auto"/>
        <w:rPr>
          <w:sz w:val="20"/>
          <w:szCs w:val="20"/>
          <w:color w:val="auto"/>
        </w:rPr>
      </w:pPr>
      <w:r>
        <w:rPr>
          <w:rFonts w:ascii="Arial" w:cs="Arial" w:eastAsia="Arial" w:hAnsi="Arial"/>
          <w:sz w:val="19"/>
          <w:szCs w:val="19"/>
          <w:color w:val="auto"/>
        </w:rPr>
        <w:t>We were initially formed as a limited liability company in Delaware in May 2013 under the name Alector LLC and completed our restructuring to a corporation in October 2017 under the name Alector, Inc. Our principal executive offices are located at 151 Oyster Point Boulevard, Suite 300, South San Francisco, California 94080. Our telephone number is 415-231-5660. Our website address is www.alector.com. Information contained on, or that can be accessed through, our website is not incorporated by reference into this prospectus and should not be considered to be part of this prospectus.</w:t>
      </w:r>
    </w:p>
    <w:p>
      <w:pPr>
        <w:spacing w:after="0" w:line="204" w:lineRule="exact"/>
        <w:rPr>
          <w:sz w:val="20"/>
          <w:szCs w:val="20"/>
          <w:color w:val="auto"/>
        </w:rPr>
      </w:pPr>
    </w:p>
    <w:p>
      <w:pPr>
        <w:ind w:left="380" w:firstLine="450"/>
        <w:spacing w:after="0" w:line="272" w:lineRule="auto"/>
        <w:rPr>
          <w:sz w:val="20"/>
          <w:szCs w:val="20"/>
          <w:color w:val="auto"/>
        </w:rPr>
      </w:pPr>
      <w:r>
        <w:rPr>
          <w:rFonts w:ascii="Arial" w:cs="Arial" w:eastAsia="Arial" w:hAnsi="Arial"/>
          <w:sz w:val="18"/>
          <w:szCs w:val="18"/>
          <w:color w:val="auto"/>
        </w:rPr>
        <w:t xml:space="preserve">We use Alector, the Alector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5"/>
          <w:szCs w:val="15"/>
          <w:color w:val="auto"/>
        </w:rPr>
        <w:t>®</w:t>
      </w:r>
      <w:r>
        <w:rPr>
          <w:rFonts w:ascii="Arial" w:cs="Arial" w:eastAsia="Arial" w:hAnsi="Arial"/>
          <w:sz w:val="18"/>
          <w:szCs w:val="18"/>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79"/>
        <w:spacing w:after="0"/>
        <w:rPr>
          <w:sz w:val="20"/>
          <w:szCs w:val="20"/>
          <w:color w:val="auto"/>
        </w:rPr>
      </w:pPr>
      <w:r>
        <w:rPr>
          <w:rFonts w:ascii="Arial" w:cs="Arial" w:eastAsia="Arial" w:hAnsi="Arial"/>
          <w:sz w:val="19"/>
          <w:szCs w:val="19"/>
          <w:color w:val="auto"/>
        </w:rPr>
        <w:t>5</w:t>
      </w:r>
    </w:p>
    <w:p>
      <w:pPr>
        <w:sectPr>
          <w:pgSz w:w="12240" w:h="15840" w:orient="portrait"/>
          <w:cols w:equalWidth="0" w:num="1">
            <w:col w:w="11620"/>
          </w:cols>
          <w:pgMar w:left="120" w:top="336" w:right="500" w:bottom="1440" w:gutter="0" w:footer="0" w:header="0"/>
        </w:sectPr>
      </w:pPr>
    </w:p>
    <w:bookmarkStart w:id="13" w:name="page14"/>
    <w:bookmarkEnd w:id="1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22586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93305" cy="22586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Implications of Being an Emerging Growth Company</w:t>
      </w:r>
    </w:p>
    <w:p>
      <w:pPr>
        <w:spacing w:after="0" w:line="130" w:lineRule="exact"/>
        <w:rPr>
          <w:sz w:val="20"/>
          <w:szCs w:val="20"/>
          <w:color w:val="auto"/>
        </w:rPr>
      </w:pPr>
    </w:p>
    <w:p>
      <w:pPr>
        <w:ind w:left="380" w:firstLine="450"/>
        <w:spacing w:after="0" w:line="285" w:lineRule="auto"/>
        <w:rPr>
          <w:sz w:val="20"/>
          <w:szCs w:val="20"/>
          <w:color w:val="auto"/>
        </w:rPr>
      </w:pPr>
      <w:r>
        <w:rPr>
          <w:rFonts w:ascii="Arial" w:cs="Arial" w:eastAsia="Arial" w:hAnsi="Arial"/>
          <w:sz w:val="17"/>
          <w:szCs w:val="17"/>
          <w:color w:val="auto"/>
        </w:rPr>
        <w:t>We are an “emerging growth company” as defined in the Jumpstart Our Business Startups Act of 2012, as amended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Securities and Exchange Commission. In particular, in this prospectus, we have provided only two years of audited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irrevocably elected not to avail ourselves of this exemption and, as a result, upon completion of this offering we will adopt new or revised accounting standards on the relevant dates on which adoption of such standards is required for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79"/>
        <w:spacing w:after="0"/>
        <w:rPr>
          <w:sz w:val="20"/>
          <w:szCs w:val="20"/>
          <w:color w:val="auto"/>
        </w:rPr>
      </w:pPr>
      <w:r>
        <w:rPr>
          <w:rFonts w:ascii="Arial" w:cs="Arial" w:eastAsia="Arial" w:hAnsi="Arial"/>
          <w:sz w:val="19"/>
          <w:szCs w:val="19"/>
          <w:color w:val="auto"/>
        </w:rPr>
        <w:t>6</w:t>
      </w:r>
    </w:p>
    <w:p>
      <w:pPr>
        <w:sectPr>
          <w:pgSz w:w="12240" w:h="15840" w:orient="portrait"/>
          <w:cols w:equalWidth="0" w:num="1">
            <w:col w:w="11620"/>
          </w:cols>
          <w:pgMar w:left="120" w:top="336" w:right="500" w:bottom="1440" w:gutter="0" w:footer="0" w:header="0"/>
        </w:sectPr>
      </w:pPr>
    </w:p>
    <w:bookmarkStart w:id="14" w:name="page15"/>
    <w:bookmarkEnd w:id="1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6279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93305" cy="627951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499"/>
        <w:spacing w:after="0"/>
        <w:rPr>
          <w:sz w:val="20"/>
          <w:szCs w:val="20"/>
          <w:color w:val="auto"/>
        </w:rPr>
      </w:pPr>
      <w:r>
        <w:rPr>
          <w:rFonts w:ascii="Arial" w:cs="Arial" w:eastAsia="Arial" w:hAnsi="Arial"/>
          <w:sz w:val="19"/>
          <w:szCs w:val="19"/>
          <w:b w:val="1"/>
          <w:bCs w:val="1"/>
          <w:color w:val="auto"/>
        </w:rPr>
        <w:t>THE OFFERING</w:t>
      </w:r>
    </w:p>
    <w:p>
      <w:pPr>
        <w:sectPr>
          <w:pgSz w:w="12240" w:h="15840" w:orient="portrait"/>
          <w:cols w:equalWidth="0" w:num="1">
            <w:col w:w="11500"/>
          </w:cols>
          <w:pgMar w:left="120" w:top="336" w:right="620" w:bottom="1440" w:gutter="0" w:footer="0" w:header="0"/>
        </w:sect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9,250,000 shares</w:t>
      </w:r>
    </w:p>
    <w:p>
      <w:pPr>
        <w:spacing w:after="0" w:line="211" w:lineRule="exact"/>
        <w:rPr>
          <w:sz w:val="20"/>
          <w:szCs w:val="20"/>
          <w:color w:val="auto"/>
        </w:rPr>
      </w:pPr>
    </w:p>
    <w:p>
      <w:pPr>
        <w:sectPr>
          <w:pgSz w:w="12240" w:h="15840" w:orient="portrait"/>
          <w:cols w:equalWidth="0" w:num="2">
            <w:col w:w="3920" w:space="720"/>
            <w:col w:w="6860"/>
          </w:cols>
          <w:pgMar w:left="120" w:top="336" w:right="620" w:bottom="1440" w:gutter="0" w:footer="0" w:header="0"/>
          <w:type w:val="continuous"/>
        </w:sectPr>
      </w:pPr>
    </w:p>
    <w:p>
      <w:pPr>
        <w:spacing w:after="0" w:line="10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Common stock to be outstanding immediately after this 68,365,044 shares (or 69,752,544 shares if the underwriters exercise their option to</w:t>
      </w:r>
    </w:p>
    <w:p>
      <w:pPr>
        <w:spacing w:after="0" w:line="46" w:lineRule="exact"/>
        <w:rPr>
          <w:sz w:val="20"/>
          <w:szCs w:val="20"/>
          <w:color w:val="auto"/>
        </w:rPr>
      </w:pPr>
    </w:p>
    <w:p>
      <w:pPr>
        <w:ind w:left="460"/>
        <w:spacing w:after="0"/>
        <w:tabs>
          <w:tab w:leader="none" w:pos="4620" w:val="left"/>
        </w:tabs>
        <w:rPr>
          <w:sz w:val="20"/>
          <w:szCs w:val="20"/>
          <w:color w:val="auto"/>
        </w:rPr>
      </w:pPr>
      <w:r>
        <w:rPr>
          <w:rFonts w:ascii="Arial" w:cs="Arial" w:eastAsia="Arial" w:hAnsi="Arial"/>
          <w:sz w:val="19"/>
          <w:szCs w:val="19"/>
          <w:color w:val="auto"/>
        </w:rPr>
        <w:t>offering</w:t>
      </w:r>
      <w:r>
        <w:rPr>
          <w:sz w:val="20"/>
          <w:szCs w:val="20"/>
          <w:color w:val="auto"/>
        </w:rPr>
        <w:tab/>
      </w:r>
      <w:r>
        <w:rPr>
          <w:rFonts w:ascii="Arial" w:cs="Arial" w:eastAsia="Arial" w:hAnsi="Arial"/>
          <w:sz w:val="19"/>
          <w:szCs w:val="19"/>
          <w:color w:val="auto"/>
        </w:rPr>
        <w:t>purchase additional shares in full)</w:t>
      </w:r>
    </w:p>
    <w:p>
      <w:pPr>
        <w:sectPr>
          <w:pgSz w:w="12240" w:h="15840" w:orient="portrait"/>
          <w:cols w:equalWidth="0" w:num="1">
            <w:col w:w="11500"/>
          </w:cols>
          <w:pgMar w:left="120" w:top="336" w:right="620" w:bottom="1440" w:gutter="0" w:footer="0" w:header="0"/>
          <w:type w:val="continuous"/>
        </w:sectPr>
      </w:pPr>
    </w:p>
    <w:p>
      <w:pPr>
        <w:spacing w:after="0" w:line="267" w:lineRule="exact"/>
        <w:rPr>
          <w:sz w:val="20"/>
          <w:szCs w:val="20"/>
          <w:color w:val="auto"/>
        </w:rPr>
      </w:pPr>
    </w:p>
    <w:p>
      <w:pPr>
        <w:ind w:left="460" w:hanging="83"/>
        <w:spacing w:after="0" w:line="275" w:lineRule="auto"/>
        <w:rPr>
          <w:sz w:val="20"/>
          <w:szCs w:val="20"/>
          <w:color w:val="auto"/>
        </w:rPr>
      </w:pPr>
      <w:r>
        <w:rPr>
          <w:rFonts w:ascii="Arial" w:cs="Arial" w:eastAsia="Arial" w:hAnsi="Arial"/>
          <w:sz w:val="19"/>
          <w:szCs w:val="19"/>
          <w:color w:val="auto"/>
        </w:rPr>
        <w:t>Underwriters’ option to purchase additional shares of common stock from us</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1,387,500 shares</w:t>
      </w:r>
    </w:p>
    <w:p>
      <w:pPr>
        <w:spacing w:after="0" w:line="516" w:lineRule="exact"/>
        <w:rPr>
          <w:sz w:val="20"/>
          <w:szCs w:val="20"/>
          <w:color w:val="auto"/>
        </w:rPr>
      </w:pPr>
    </w:p>
    <w:p>
      <w:pPr>
        <w:sectPr>
          <w:pgSz w:w="12240" w:h="15840" w:orient="portrait"/>
          <w:cols w:equalWidth="0" w:num="2">
            <w:col w:w="4420" w:space="220"/>
            <w:col w:w="6860"/>
          </w:cols>
          <w:pgMar w:left="120" w:top="336" w:right="620" w:bottom="1440" w:gutter="0" w:footer="0" w:header="0"/>
          <w:type w:val="continuous"/>
        </w:sectPr>
      </w:pPr>
    </w:p>
    <w:p>
      <w:pPr>
        <w:spacing w:after="0" w:line="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estimate that the net proceeds to us from the sale of the shares of our common stock in this offering will be approximately $159.8 million, or approximately $184.4 million if the underwriters exercise their option to purchase additional shares in full, based upon an assumed initial public offering price of $19.00 per share, which is the midpoint of the estimated offering price range set forth on the cover page of this prospectus, and after deducting estimated underwriting discounts and commissions and estimated offering expenses payable by us.</w:t>
      </w:r>
    </w:p>
    <w:p>
      <w:pPr>
        <w:spacing w:after="0" w:line="200" w:lineRule="exact"/>
        <w:rPr>
          <w:sz w:val="20"/>
          <w:szCs w:val="20"/>
          <w:color w:val="auto"/>
        </w:rPr>
      </w:pPr>
    </w:p>
    <w:p>
      <w:pPr>
        <w:sectPr>
          <w:pgSz w:w="12240" w:h="15840" w:orient="portrait"/>
          <w:cols w:equalWidth="0" w:num="2">
            <w:col w:w="3920" w:space="720"/>
            <w:col w:w="6860"/>
          </w:cols>
          <w:pgMar w:left="120" w:top="336" w:right="620" w:bottom="1440" w:gutter="0" w:footer="0" w:header="0"/>
          <w:type w:val="continuous"/>
        </w:sectPr>
      </w:pPr>
    </w:p>
    <w:p>
      <w:pPr>
        <w:spacing w:after="0" w:line="18" w:lineRule="exact"/>
        <w:rPr>
          <w:sz w:val="20"/>
          <w:szCs w:val="20"/>
          <w:color w:val="auto"/>
        </w:rPr>
      </w:pPr>
    </w:p>
    <w:p>
      <w:pPr>
        <w:ind w:left="4640"/>
        <w:spacing w:after="0" w:line="254" w:lineRule="auto"/>
        <w:rPr>
          <w:sz w:val="20"/>
          <w:szCs w:val="20"/>
          <w:color w:val="auto"/>
        </w:rPr>
      </w:pPr>
      <w:r>
        <w:rPr>
          <w:rFonts w:ascii="Arial" w:cs="Arial" w:eastAsia="Arial" w:hAnsi="Arial"/>
          <w:sz w:val="19"/>
          <w:szCs w:val="19"/>
          <w:color w:val="auto"/>
        </w:rPr>
        <w:t>We intend to use the net proceeds from this offering, together with our existing resources, as follows: (1) to fund Phase 1 trials for each of AL001 and AL002, as well as preparation for Phase 2 and 3 clinical trials for AL001; (2) to advance AL003 and AL101 in and through Phase 1 clinical trials; (3) to fund Phase 2 enabling activities for AL002 and AL003; (4) to continue to advance our preclinical development pipeline into Phase 1 clinical trials; (5) to further develop our Discovery Platform; and (6) to fund working capital and other general corporate activities. See the section titled “Use of Proceeds” for more information.</w:t>
      </w:r>
    </w:p>
    <w:p>
      <w:pPr>
        <w:sectPr>
          <w:pgSz w:w="12240" w:h="15840" w:orient="portrait"/>
          <w:cols w:equalWidth="0" w:num="1">
            <w:col w:w="11500"/>
          </w:cols>
          <w:pgMar w:left="120" w:top="336" w:right="620" w:bottom="1440" w:gutter="0" w:footer="0" w:header="0"/>
          <w:type w:val="continuous"/>
        </w:sectPr>
      </w:pPr>
    </w:p>
    <w:p>
      <w:pPr>
        <w:spacing w:after="0" w:line="2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both"/>
        <w:ind w:right="260"/>
        <w:spacing w:after="0" w:line="284" w:lineRule="auto"/>
        <w:rPr>
          <w:sz w:val="20"/>
          <w:szCs w:val="20"/>
          <w:color w:val="auto"/>
        </w:rPr>
      </w:pPr>
      <w:r>
        <w:rPr>
          <w:rFonts w:ascii="Arial" w:cs="Arial" w:eastAsia="Arial" w:hAnsi="Arial"/>
          <w:sz w:val="18"/>
          <w:szCs w:val="18"/>
          <w:color w:val="auto"/>
        </w:rPr>
        <w:t>See the section of this prospectus titled “Risk Factors” beginning on page 11 and other information included in this prospectus for a discussion of factors you should carefully consider before deciding to invest in shares of our common stock.</w:t>
      </w:r>
    </w:p>
    <w:p>
      <w:pPr>
        <w:spacing w:after="0" w:line="200" w:lineRule="exact"/>
        <w:rPr>
          <w:sz w:val="20"/>
          <w:szCs w:val="20"/>
          <w:color w:val="auto"/>
        </w:rPr>
      </w:pPr>
    </w:p>
    <w:p>
      <w:pPr>
        <w:sectPr>
          <w:pgSz w:w="12240" w:h="15840" w:orient="portrait"/>
          <w:cols w:equalWidth="0" w:num="2">
            <w:col w:w="3920" w:space="720"/>
            <w:col w:w="6860"/>
          </w:cols>
          <w:pgMar w:left="120" w:top="336" w:right="620" w:bottom="1440" w:gutter="0" w:footer="0" w:header="0"/>
          <w:type w:val="continuous"/>
        </w:sectPr>
      </w:pPr>
    </w:p>
    <w:p>
      <w:pPr>
        <w:spacing w:after="0" w:line="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Proposed 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“ALEC”</w:t>
      </w:r>
    </w:p>
    <w:p>
      <w:pPr>
        <w:spacing w:after="0" w:line="200" w:lineRule="exact"/>
        <w:rPr>
          <w:sz w:val="20"/>
          <w:szCs w:val="20"/>
          <w:color w:val="auto"/>
        </w:rPr>
      </w:pPr>
    </w:p>
    <w:p>
      <w:pPr>
        <w:sectPr>
          <w:pgSz w:w="12240" w:h="15840" w:orient="portrait"/>
          <w:cols w:equalWidth="0" w:num="2">
            <w:col w:w="3920" w:space="720"/>
            <w:col w:w="6860"/>
          </w:cols>
          <w:pgMar w:left="120" w:top="336" w:right="620" w:bottom="1440" w:gutter="0" w:footer="0" w:header="0"/>
          <w:type w:val="continuous"/>
        </w:sectPr>
      </w:pPr>
    </w:p>
    <w:p>
      <w:pPr>
        <w:spacing w:after="0" w:line="52" w:lineRule="exact"/>
        <w:rPr>
          <w:sz w:val="20"/>
          <w:szCs w:val="20"/>
          <w:color w:val="auto"/>
        </w:rPr>
      </w:pPr>
    </w:p>
    <w:p>
      <w:pPr>
        <w:ind w:left="380" w:right="360" w:firstLine="450"/>
        <w:spacing w:after="0" w:line="336" w:lineRule="auto"/>
        <w:rPr>
          <w:sz w:val="20"/>
          <w:szCs w:val="20"/>
          <w:color w:val="auto"/>
        </w:rPr>
      </w:pPr>
      <w:r>
        <w:rPr>
          <w:rFonts w:ascii="Arial" w:cs="Arial" w:eastAsia="Arial" w:hAnsi="Arial"/>
          <w:sz w:val="17"/>
          <w:szCs w:val="17"/>
          <w:color w:val="auto"/>
        </w:rPr>
        <w:t>The number of shares of our common stock to be outstanding after this offering is based on the 59,115,044 shares of our common stock outstanding as of September 30, 2018 (including convertible preferred stock on an as-converted basis), and excludes the following:</w:t>
      </w:r>
    </w:p>
    <w:p>
      <w:pPr>
        <w:spacing w:after="0" w:line="37" w:lineRule="exact"/>
        <w:rPr>
          <w:sz w:val="20"/>
          <w:szCs w:val="20"/>
          <w:color w:val="auto"/>
        </w:rPr>
      </w:pPr>
    </w:p>
    <w:p>
      <w:pPr>
        <w:ind w:left="1240" w:hanging="312"/>
        <w:spacing w:after="0" w:line="336"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3,048,500 shares of common stock issuable upon exercise of options to purchase shares of our common stock outstanding as of September 30, 2018 under our 2017 Stock Option and Grant Plan (2017 Plan), at a weighted-average exercise price of $8.14 per share;</w:t>
      </w:r>
    </w:p>
    <w:p>
      <w:pPr>
        <w:spacing w:after="0" w:line="37" w:lineRule="exact"/>
        <w:rPr>
          <w:rFonts w:ascii="Arial" w:cs="Arial" w:eastAsia="Arial" w:hAnsi="Arial"/>
          <w:sz w:val="17"/>
          <w:szCs w:val="17"/>
          <w:color w:val="auto"/>
        </w:rPr>
      </w:pPr>
    </w:p>
    <w:p>
      <w:pPr>
        <w:ind w:left="1240" w:right="320" w:hanging="312"/>
        <w:spacing w:after="0" w:line="275" w:lineRule="auto"/>
        <w:tabs>
          <w:tab w:leader="none" w:pos="1240" w:val="left"/>
        </w:tabs>
        <w:numPr>
          <w:ilvl w:val="0"/>
          <w:numId w:val="7"/>
        </w:numPr>
        <w:rPr>
          <w:rFonts w:ascii="Arial" w:cs="Arial" w:eastAsia="Arial" w:hAnsi="Arial"/>
          <w:sz w:val="19"/>
          <w:szCs w:val="19"/>
          <w:color w:val="auto"/>
        </w:rPr>
      </w:pPr>
      <w:r>
        <w:rPr>
          <w:rFonts w:ascii="Arial" w:cs="Arial" w:eastAsia="Arial" w:hAnsi="Arial"/>
          <w:sz w:val="19"/>
          <w:szCs w:val="19"/>
          <w:color w:val="auto"/>
        </w:rPr>
        <w:t>2,021,584 shares of common stock issuable upon exercise of options to purchase shares of our common stock that we granted after September 30, 2018 under our 2017 Plan, at a weighted-average price of $10.14 per share;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99"/>
        <w:spacing w:after="0"/>
        <w:rPr>
          <w:sz w:val="20"/>
          <w:szCs w:val="20"/>
          <w:color w:val="auto"/>
        </w:rPr>
      </w:pPr>
      <w:r>
        <w:rPr>
          <w:rFonts w:ascii="Arial" w:cs="Arial" w:eastAsia="Arial" w:hAnsi="Arial"/>
          <w:sz w:val="19"/>
          <w:szCs w:val="19"/>
          <w:color w:val="auto"/>
        </w:rPr>
        <w:t>7</w:t>
      </w:r>
    </w:p>
    <w:p>
      <w:pPr>
        <w:sectPr>
          <w:pgSz w:w="12240" w:h="15840" w:orient="portrait"/>
          <w:cols w:equalWidth="0" w:num="1">
            <w:col w:w="11500"/>
          </w:cols>
          <w:pgMar w:left="120" w:top="336" w:right="620" w:bottom="1440" w:gutter="0" w:footer="0" w:header="0"/>
          <w:type w:val="continuous"/>
        </w:sectPr>
      </w:pPr>
    </w:p>
    <w:bookmarkStart w:id="15" w:name="page16"/>
    <w:bookmarkEnd w:id="1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50114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93305" cy="501142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both"/>
        <w:ind w:left="1240" w:hanging="312"/>
        <w:spacing w:after="0" w:line="288"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316,100 shares of common stock issuable upon exercise of options to purchase shares of our common stock which will be granted, as of the effective date of the registration statement of which this prospectus forms a part, under our 2019 Equity Incentive Plan (2019 Plan),</w:t>
      </w:r>
    </w:p>
    <w:p>
      <w:pPr>
        <w:ind w:left="1240"/>
        <w:spacing w:after="0"/>
        <w:rPr>
          <w:rFonts w:ascii="Arial" w:cs="Arial" w:eastAsia="Arial" w:hAnsi="Arial"/>
          <w:sz w:val="17"/>
          <w:szCs w:val="17"/>
          <w:color w:val="auto"/>
        </w:rPr>
      </w:pPr>
      <w:r>
        <w:rPr>
          <w:rFonts w:ascii="Arial" w:cs="Arial" w:eastAsia="Arial" w:hAnsi="Arial"/>
          <w:sz w:val="19"/>
          <w:szCs w:val="19"/>
          <w:color w:val="auto"/>
        </w:rPr>
        <w:t>at an exercise price of $</w:t>
      </w:r>
      <w:r>
        <w:rPr>
          <w:rFonts w:ascii="Arial" w:cs="Arial" w:eastAsia="Arial" w:hAnsi="Arial"/>
          <w:sz w:val="17"/>
          <w:szCs w:val="17"/>
          <w:color w:val="auto"/>
        </w:rPr>
        <w:t>per share, which is the initial public offering price of our common stock;</w:t>
      </w:r>
    </w:p>
    <w:p>
      <w:pPr>
        <w:spacing w:after="0" w:line="124" w:lineRule="exact"/>
        <w:rPr>
          <w:rFonts w:ascii="Arial" w:cs="Arial" w:eastAsia="Arial" w:hAnsi="Arial"/>
          <w:sz w:val="17"/>
          <w:szCs w:val="17"/>
          <w:color w:val="auto"/>
        </w:rPr>
      </w:pPr>
    </w:p>
    <w:p>
      <w:pPr>
        <w:ind w:left="1240" w:right="60" w:hanging="312"/>
        <w:spacing w:after="0" w:line="275" w:lineRule="auto"/>
        <w:tabs>
          <w:tab w:leader="none" w:pos="1240" w:val="left"/>
        </w:tabs>
        <w:numPr>
          <w:ilvl w:val="0"/>
          <w:numId w:val="8"/>
        </w:numPr>
        <w:rPr>
          <w:rFonts w:ascii="Arial" w:cs="Arial" w:eastAsia="Arial" w:hAnsi="Arial"/>
          <w:sz w:val="19"/>
          <w:szCs w:val="19"/>
          <w:color w:val="auto"/>
        </w:rPr>
      </w:pPr>
      <w:r>
        <w:rPr>
          <w:rFonts w:ascii="Arial" w:cs="Arial" w:eastAsia="Arial" w:hAnsi="Arial"/>
          <w:sz w:val="19"/>
          <w:szCs w:val="19"/>
          <w:color w:val="auto"/>
        </w:rPr>
        <w:t>24,621 shares of common stock issuable upon the conversion of 24,621 shares of Series E preferred stock issued in October 2018, with a purchase price of $14.2154 per share, for aggregate gross proceeds of $0.3 million;</w:t>
      </w:r>
    </w:p>
    <w:p>
      <w:pPr>
        <w:spacing w:after="0" w:line="84" w:lineRule="exact"/>
        <w:rPr>
          <w:rFonts w:ascii="Arial" w:cs="Arial" w:eastAsia="Arial" w:hAnsi="Arial"/>
          <w:sz w:val="19"/>
          <w:szCs w:val="19"/>
          <w:color w:val="auto"/>
        </w:rPr>
      </w:pPr>
    </w:p>
    <w:p>
      <w:pPr>
        <w:ind w:left="1240" w:right="300" w:hanging="312"/>
        <w:spacing w:after="0" w:line="275" w:lineRule="auto"/>
        <w:tabs>
          <w:tab w:leader="none" w:pos="1240" w:val="left"/>
        </w:tabs>
        <w:numPr>
          <w:ilvl w:val="0"/>
          <w:numId w:val="8"/>
        </w:numPr>
        <w:rPr>
          <w:rFonts w:ascii="Arial" w:cs="Arial" w:eastAsia="Arial" w:hAnsi="Arial"/>
          <w:sz w:val="19"/>
          <w:szCs w:val="19"/>
          <w:color w:val="auto"/>
        </w:rPr>
      </w:pPr>
      <w:r>
        <w:rPr>
          <w:rFonts w:ascii="Arial" w:cs="Arial" w:eastAsia="Arial" w:hAnsi="Arial"/>
          <w:sz w:val="19"/>
          <w:szCs w:val="19"/>
          <w:color w:val="auto"/>
        </w:rPr>
        <w:t>2,136,250 shares of common stock reserved for future issuance under our 2017 Plan as of September 30, 2018, which shares will be added to the shares to be reserved under our 2019 Plan;</w:t>
      </w:r>
    </w:p>
    <w:p>
      <w:pPr>
        <w:spacing w:after="0" w:line="84" w:lineRule="exact"/>
        <w:rPr>
          <w:rFonts w:ascii="Arial" w:cs="Arial" w:eastAsia="Arial" w:hAnsi="Arial"/>
          <w:sz w:val="19"/>
          <w:szCs w:val="19"/>
          <w:color w:val="auto"/>
        </w:rPr>
      </w:pPr>
    </w:p>
    <w:p>
      <w:pPr>
        <w:ind w:left="1240" w:right="160" w:hanging="312"/>
        <w:spacing w:after="0" w:line="284"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7,372,056 shares of common stock reserved for future issuance under our 2019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78" w:lineRule="exact"/>
        <w:rPr>
          <w:rFonts w:ascii="Arial" w:cs="Arial" w:eastAsia="Arial" w:hAnsi="Arial"/>
          <w:sz w:val="18"/>
          <w:szCs w:val="18"/>
          <w:color w:val="auto"/>
        </w:rPr>
      </w:pPr>
    </w:p>
    <w:p>
      <w:pPr>
        <w:ind w:left="1240" w:right="60" w:hanging="312"/>
        <w:spacing w:after="0" w:line="308"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1,478,492 shares of common stock reserved for issuance under our 2019 Employee Stock Purchase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60" w:lineRule="exact"/>
        <w:rPr>
          <w:sz w:val="20"/>
          <w:szCs w:val="20"/>
          <w:color w:val="auto"/>
        </w:rPr>
      </w:pPr>
    </w:p>
    <w:p>
      <w:pPr>
        <w:ind w:left="820"/>
        <w:spacing w:after="0"/>
        <w:rPr>
          <w:sz w:val="20"/>
          <w:szCs w:val="20"/>
          <w:color w:val="auto"/>
        </w:rPr>
      </w:pPr>
      <w:r>
        <w:rPr>
          <w:rFonts w:ascii="Arial" w:cs="Arial" w:eastAsia="Arial" w:hAnsi="Arial"/>
          <w:sz w:val="19"/>
          <w:szCs w:val="19"/>
          <w:color w:val="auto"/>
        </w:rPr>
        <w:t>Unless otherwise indicated, this prospectus reflects and assumes the following:</w:t>
      </w:r>
    </w:p>
    <w:p>
      <w:pPr>
        <w:spacing w:after="0" w:line="138" w:lineRule="exact"/>
        <w:rPr>
          <w:sz w:val="20"/>
          <w:szCs w:val="20"/>
          <w:color w:val="auto"/>
        </w:rPr>
      </w:pPr>
    </w:p>
    <w:p>
      <w:pPr>
        <w:ind w:left="1240" w:hanging="312"/>
        <w:spacing w:after="0"/>
        <w:tabs>
          <w:tab w:leader="none" w:pos="1240" w:val="left"/>
        </w:tabs>
        <w:numPr>
          <w:ilvl w:val="0"/>
          <w:numId w:val="9"/>
        </w:numPr>
        <w:rPr>
          <w:rFonts w:ascii="Arial" w:cs="Arial" w:eastAsia="Arial" w:hAnsi="Arial"/>
          <w:sz w:val="19"/>
          <w:szCs w:val="19"/>
          <w:color w:val="auto"/>
        </w:rPr>
      </w:pPr>
      <w:r>
        <w:rPr>
          <w:rFonts w:ascii="Arial" w:cs="Arial" w:eastAsia="Arial" w:hAnsi="Arial"/>
          <w:sz w:val="19"/>
          <w:szCs w:val="19"/>
          <w:color w:val="auto"/>
        </w:rPr>
        <w:t>no exercise of outstanding options;</w:t>
      </w:r>
    </w:p>
    <w:p>
      <w:pPr>
        <w:spacing w:after="0" w:line="138" w:lineRule="exact"/>
        <w:rPr>
          <w:rFonts w:ascii="Arial" w:cs="Arial" w:eastAsia="Arial" w:hAnsi="Arial"/>
          <w:sz w:val="19"/>
          <w:szCs w:val="19"/>
          <w:color w:val="auto"/>
        </w:rPr>
      </w:pPr>
    </w:p>
    <w:p>
      <w:pPr>
        <w:ind w:left="1240" w:hanging="312"/>
        <w:spacing w:after="0"/>
        <w:tabs>
          <w:tab w:leader="none" w:pos="1240" w:val="left"/>
        </w:tabs>
        <w:numPr>
          <w:ilvl w:val="0"/>
          <w:numId w:val="9"/>
        </w:numPr>
        <w:rPr>
          <w:rFonts w:ascii="Arial" w:cs="Arial" w:eastAsia="Arial" w:hAnsi="Arial"/>
          <w:sz w:val="19"/>
          <w:szCs w:val="19"/>
          <w:color w:val="auto"/>
        </w:rPr>
      </w:pPr>
      <w:r>
        <w:rPr>
          <w:rFonts w:ascii="Arial" w:cs="Arial" w:eastAsia="Arial" w:hAnsi="Arial"/>
          <w:sz w:val="19"/>
          <w:szCs w:val="19"/>
          <w:color w:val="auto"/>
        </w:rPr>
        <w:t>no exercise by the underwriters of their option to purchase additional shares of common stock from us in this offering;</w:t>
      </w:r>
    </w:p>
    <w:p>
      <w:pPr>
        <w:spacing w:after="0" w:line="138" w:lineRule="exact"/>
        <w:rPr>
          <w:rFonts w:ascii="Arial" w:cs="Arial" w:eastAsia="Arial" w:hAnsi="Arial"/>
          <w:sz w:val="19"/>
          <w:szCs w:val="19"/>
          <w:color w:val="auto"/>
        </w:rPr>
      </w:pPr>
    </w:p>
    <w:p>
      <w:pPr>
        <w:ind w:left="1240" w:right="820" w:hanging="312"/>
        <w:spacing w:after="0" w:line="275" w:lineRule="auto"/>
        <w:tabs>
          <w:tab w:leader="none" w:pos="124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conversion of all outstanding shares of our convertible preferred stock into shares of our common stock, which will occur immediately prior to the closing of this offering; and</w:t>
      </w:r>
    </w:p>
    <w:p>
      <w:pPr>
        <w:spacing w:after="0" w:line="84" w:lineRule="exact"/>
        <w:rPr>
          <w:rFonts w:ascii="Arial" w:cs="Arial" w:eastAsia="Arial" w:hAnsi="Arial"/>
          <w:sz w:val="19"/>
          <w:szCs w:val="19"/>
          <w:color w:val="auto"/>
        </w:rPr>
      </w:pPr>
    </w:p>
    <w:p>
      <w:pPr>
        <w:ind w:left="1240" w:right="160" w:hanging="312"/>
        <w:spacing w:after="0" w:line="275" w:lineRule="auto"/>
        <w:tabs>
          <w:tab w:leader="none" w:pos="124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filing and effectiveness of our amended and restated certificate of incorporation and the effectiveness of our amended and restated bylaws, which will occur immediately prior to the closing of this offering.</w:t>
      </w:r>
    </w:p>
    <w:p>
      <w:pPr>
        <w:spacing w:after="0" w:line="184" w:lineRule="exact"/>
        <w:rPr>
          <w:sz w:val="20"/>
          <w:szCs w:val="20"/>
          <w:color w:val="auto"/>
        </w:rPr>
      </w:pPr>
    </w:p>
    <w:p>
      <w:pPr>
        <w:ind w:left="380" w:right="120" w:firstLine="450"/>
        <w:spacing w:after="0" w:line="291" w:lineRule="auto"/>
        <w:rPr>
          <w:sz w:val="20"/>
          <w:szCs w:val="20"/>
          <w:color w:val="auto"/>
        </w:rPr>
      </w:pPr>
      <w:r>
        <w:rPr>
          <w:rFonts w:ascii="Arial" w:cs="Arial" w:eastAsia="Arial" w:hAnsi="Arial"/>
          <w:sz w:val="17"/>
          <w:szCs w:val="17"/>
          <w:color w:val="auto"/>
        </w:rPr>
        <w:t>Certain of our existing stockholders, including entities that are affiliated with certain of our directors and beneficially own more than 5% of our outstanding common stock, have indicated an interest in purchasing an aggregate of $85.0 million or more in shares of our common stock in this offering at the initial public offering price.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 The underwriters will receive the same underwriting discounts and commissions on any shares purchased by these stockholders as they will on any other shares sold to the public in this offering.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9"/>
        <w:spacing w:after="0"/>
        <w:rPr>
          <w:sz w:val="20"/>
          <w:szCs w:val="20"/>
          <w:color w:val="auto"/>
        </w:rPr>
      </w:pPr>
      <w:r>
        <w:rPr>
          <w:rFonts w:ascii="Arial" w:cs="Arial" w:eastAsia="Arial" w:hAnsi="Arial"/>
          <w:sz w:val="19"/>
          <w:szCs w:val="19"/>
          <w:color w:val="auto"/>
        </w:rPr>
        <w:t>8</w:t>
      </w:r>
    </w:p>
    <w:p>
      <w:pPr>
        <w:sectPr>
          <w:pgSz w:w="12240" w:h="15840" w:orient="portrait"/>
          <w:cols w:equalWidth="0" w:num="1">
            <w:col w:w="11580"/>
          </w:cols>
          <w:pgMar w:left="120" w:top="336" w:right="540" w:bottom="1440" w:gutter="0" w:footer="0" w:header="0"/>
        </w:sectPr>
      </w:pPr>
    </w:p>
    <w:bookmarkStart w:id="16" w:name="page17"/>
    <w:bookmarkEnd w:id="1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5862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93305" cy="58629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SUMMARY CONSOLIDATED FINANCIAL DATA</w:t>
      </w:r>
    </w:p>
    <w:p>
      <w:pPr>
        <w:spacing w:after="0" w:line="244" w:lineRule="exact"/>
        <w:rPr>
          <w:sz w:val="20"/>
          <w:szCs w:val="20"/>
          <w:color w:val="auto"/>
        </w:rPr>
      </w:pPr>
    </w:p>
    <w:p>
      <w:pPr>
        <w:ind w:left="380" w:right="220" w:firstLine="450"/>
        <w:spacing w:after="0" w:line="268" w:lineRule="auto"/>
        <w:rPr>
          <w:sz w:val="20"/>
          <w:szCs w:val="20"/>
          <w:color w:val="auto"/>
        </w:rPr>
      </w:pPr>
      <w:r>
        <w:rPr>
          <w:rFonts w:ascii="Arial" w:cs="Arial" w:eastAsia="Arial" w:hAnsi="Arial"/>
          <w:sz w:val="18"/>
          <w:szCs w:val="18"/>
          <w:color w:val="auto"/>
        </w:rPr>
        <w:t>The following tables summarize our consolidated financial data for the periods and as of the dates indicated. We derived the consolidated statement of operations data for the years ended December 31, 2016 and 2017, and balance sheet data for 2016 and 2017, from our audited consolidated financial statements included elsewhere in this prospectus. We derived the consolidated statement of operations data for the nine months ended September 30, 2017 and 2018, and the consolidated balance sheet data as of September 30, 2018, from our unaudited interim condensed consolidated financial statements included elsewhere in this prospectus. The unaudited interim condensed consolidated financial statements have been prepared on the same basis as our annual audited consolidated financial statements and, in the opinion of management, reflect all adjustments, which include only normal, recurring adjustments that are necessary to present fairly the unaudited interim condensed consolidated financial statements. Our historical results are not necessarily indicative of the results that may be expected in the future, and our interim results are not necessarily indicative of the results to be expected for the full year or any other period. You should read the following summary consolidated financial data in conjunction with our consolidated financial statements and the related notes appearing elsewhere in this prospectus and the information in the section titled “Selected Consolidated Financial Data” and “Management’s Discussion and Analysis of Financial Condition and Results of Operations.”</w:t>
      </w:r>
    </w:p>
    <w:p>
      <w:pPr>
        <w:spacing w:after="0" w:line="197"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7"/>
          </w:tcPr>
          <w:p>
            <w:pPr>
              <w:jc w:val="center"/>
              <w:ind w:right="400"/>
              <w:spacing w:after="0"/>
              <w:rPr>
                <w:sz w:val="20"/>
                <w:szCs w:val="20"/>
                <w:color w:val="auto"/>
              </w:rPr>
            </w:pPr>
            <w:r>
              <w:rPr>
                <w:rFonts w:ascii="Arial" w:cs="Arial" w:eastAsia="Arial" w:hAnsi="Arial"/>
                <w:sz w:val="15"/>
                <w:szCs w:val="15"/>
                <w:b w:val="1"/>
                <w:bCs w:val="1"/>
                <w:color w:val="auto"/>
                <w:w w:val="92"/>
              </w:rPr>
              <w:t>Nine Months Ended</w:t>
            </w:r>
          </w:p>
        </w:tc>
        <w:tc>
          <w:tcPr>
            <w:tcW w:w="0" w:type="dxa"/>
            <w:vAlign w:val="bottom"/>
          </w:tcPr>
          <w:p>
            <w:pPr>
              <w:spacing w:after="0"/>
              <w:rPr>
                <w:sz w:val="1"/>
                <w:szCs w:val="1"/>
                <w:color w:val="auto"/>
              </w:rPr>
            </w:pPr>
          </w:p>
        </w:tc>
      </w:tr>
      <w:tr>
        <w:trPr>
          <w:trHeight w:val="157"/>
        </w:trPr>
        <w:tc>
          <w:tcPr>
            <w:tcW w:w="2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6"/>
          </w:tcPr>
          <w:p>
            <w:pPr>
              <w:jc w:val="right"/>
              <w:ind w:right="680"/>
              <w:spacing w:after="0" w:line="157" w:lineRule="exact"/>
              <w:rPr>
                <w:sz w:val="20"/>
                <w:szCs w:val="20"/>
                <w:color w:val="auto"/>
              </w:rPr>
            </w:pPr>
            <w:r>
              <w:rPr>
                <w:rFonts w:ascii="Arial" w:cs="Arial" w:eastAsia="Arial" w:hAnsi="Arial"/>
                <w:sz w:val="15"/>
                <w:szCs w:val="15"/>
                <w:b w:val="1"/>
                <w:bCs w:val="1"/>
                <w:color w:val="auto"/>
              </w:rPr>
              <w:t>Year Ended December 31,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7"/>
          </w:tcPr>
          <w:p>
            <w:pPr>
              <w:jc w:val="center"/>
              <w:ind w:right="420"/>
              <w:spacing w:after="0" w:line="157" w:lineRule="exact"/>
              <w:rPr>
                <w:sz w:val="20"/>
                <w:szCs w:val="20"/>
                <w:color w:val="auto"/>
              </w:rPr>
            </w:pPr>
            <w:r>
              <w:rPr>
                <w:rFonts w:ascii="Arial" w:cs="Arial" w:eastAsia="Arial" w:hAnsi="Arial"/>
                <w:sz w:val="15"/>
                <w:szCs w:val="15"/>
                <w:b w:val="1"/>
                <w:bCs w:val="1"/>
                <w:color w:val="auto"/>
                <w:w w:val="89"/>
              </w:rPr>
              <w:t>September 30,</w:t>
            </w: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5"/>
                <w:szCs w:val="15"/>
                <w:b w:val="1"/>
                <w:bCs w:val="1"/>
                <w:color w:val="auto"/>
              </w:rPr>
              <w:t>2016</w:t>
            </w: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2017</w:t>
            </w: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5"/>
                <w:szCs w:val="15"/>
                <w:b w:val="1"/>
                <w:bCs w:val="1"/>
                <w:color w:val="auto"/>
              </w:rPr>
              <w:t>2017</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80" w:type="dxa"/>
            <w:vAlign w:val="bottom"/>
            <w:gridSpan w:val="8"/>
          </w:tcPr>
          <w:p>
            <w:pPr>
              <w:jc w:val="right"/>
              <w:ind w:right="100"/>
              <w:spacing w:after="0" w:line="128" w:lineRule="exact"/>
              <w:rPr>
                <w:sz w:val="20"/>
                <w:szCs w:val="20"/>
                <w:color w:val="auto"/>
              </w:rPr>
            </w:pPr>
            <w:r>
              <w:rPr>
                <w:rFonts w:ascii="Arial" w:cs="Arial" w:eastAsia="Arial" w:hAnsi="Arial"/>
                <w:sz w:val="14"/>
                <w:szCs w:val="14"/>
                <w:b w:val="1"/>
                <w:bCs w:val="1"/>
                <w:color w:val="auto"/>
                <w:w w:val="99"/>
              </w:rPr>
              <w:t>(In thousands, except share and per share data)</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7"/>
          </w:tcPr>
          <w:p>
            <w:pPr>
              <w:jc w:val="center"/>
              <w:ind w:right="400"/>
              <w:spacing w:after="0"/>
              <w:rPr>
                <w:sz w:val="20"/>
                <w:szCs w:val="20"/>
                <w:color w:val="auto"/>
              </w:rPr>
            </w:pPr>
            <w:r>
              <w:rPr>
                <w:rFonts w:ascii="Arial" w:cs="Arial" w:eastAsia="Arial" w:hAnsi="Arial"/>
                <w:sz w:val="15"/>
                <w:szCs w:val="15"/>
                <w:b w:val="1"/>
                <w:bCs w:val="1"/>
                <w:color w:val="auto"/>
                <w:w w:val="93"/>
              </w:rPr>
              <w:t>(Unaudited)</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Consolidated Statement of Operations Data:</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9"/>
                <w:szCs w:val="19"/>
                <w:color w:val="auto"/>
              </w:rPr>
              <w:t>Revenue:</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5240" w:type="dxa"/>
            <w:vAlign w:val="bottom"/>
            <w:shd w:val="clear" w:color="auto" w:fill="CCEEFF"/>
          </w:tcPr>
          <w:p>
            <w:pPr>
              <w:ind w:left="380"/>
              <w:spacing w:after="0"/>
              <w:rPr>
                <w:sz w:val="20"/>
                <w:szCs w:val="20"/>
                <w:color w:val="auto"/>
              </w:rPr>
            </w:pPr>
            <w:r>
              <w:rPr>
                <w:rFonts w:ascii="Arial" w:cs="Arial" w:eastAsia="Arial" w:hAnsi="Arial"/>
                <w:sz w:val="19"/>
                <w:szCs w:val="19"/>
                <w:color w:val="auto"/>
              </w:rPr>
              <w:t>Collaboration revenue</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2,872</w:t>
            </w:r>
          </w:p>
        </w:tc>
        <w:tc>
          <w:tcPr>
            <w:tcW w:w="3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18,363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5240" w:type="dxa"/>
            <w:vAlign w:val="bottom"/>
          </w:tcPr>
          <w:p>
            <w:pPr>
              <w:ind w:left="380"/>
              <w:spacing w:after="0"/>
              <w:rPr>
                <w:sz w:val="20"/>
                <w:szCs w:val="20"/>
                <w:color w:val="auto"/>
              </w:rPr>
            </w:pPr>
            <w:r>
              <w:rPr>
                <w:rFonts w:ascii="Arial" w:cs="Arial" w:eastAsia="Arial" w:hAnsi="Arial"/>
                <w:sz w:val="19"/>
                <w:szCs w:val="19"/>
                <w:color w:val="auto"/>
              </w:rPr>
              <w:t>Grant revenue</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416</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863</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676</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5240" w:type="dxa"/>
            <w:vAlign w:val="bottom"/>
            <w:shd w:val="clear" w:color="auto" w:fill="CCEEFF"/>
          </w:tcPr>
          <w:p>
            <w:pPr>
              <w:ind w:left="760"/>
              <w:spacing w:after="0"/>
              <w:rPr>
                <w:sz w:val="20"/>
                <w:szCs w:val="20"/>
                <w:color w:val="auto"/>
              </w:rPr>
            </w:pPr>
            <w:r>
              <w:rPr>
                <w:rFonts w:ascii="Arial" w:cs="Arial" w:eastAsia="Arial" w:hAnsi="Arial"/>
                <w:sz w:val="19"/>
                <w:szCs w:val="19"/>
                <w:color w:val="auto"/>
              </w:rPr>
              <w:t>Total revenue</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416</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3,735</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676</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18,532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9"/>
                <w:szCs w:val="19"/>
                <w:color w:val="auto"/>
              </w:rPr>
              <w:t>Operating expenses: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5240" w:type="dxa"/>
            <w:vAlign w:val="bottom"/>
            <w:shd w:val="clear" w:color="auto" w:fill="CCEEFF"/>
          </w:tcPr>
          <w:p>
            <w:pPr>
              <w:ind w:left="380"/>
              <w:spacing w:after="0"/>
              <w:rPr>
                <w:sz w:val="20"/>
                <w:szCs w:val="20"/>
                <w:color w:val="auto"/>
              </w:rPr>
            </w:pPr>
            <w:r>
              <w:rPr>
                <w:rFonts w:ascii="Arial" w:cs="Arial" w:eastAsia="Arial" w:hAnsi="Arial"/>
                <w:sz w:val="19"/>
                <w:szCs w:val="19"/>
                <w:color w:val="auto"/>
              </w:rPr>
              <w:t>Research and development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13,674</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29,911</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19,073</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48,934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5240" w:type="dxa"/>
            <w:vAlign w:val="bottom"/>
          </w:tcPr>
          <w:p>
            <w:pPr>
              <w:ind w:left="380"/>
              <w:spacing w:after="0"/>
              <w:rPr>
                <w:sz w:val="20"/>
                <w:szCs w:val="20"/>
                <w:color w:val="auto"/>
              </w:rPr>
            </w:pPr>
            <w:r>
              <w:rPr>
                <w:rFonts w:ascii="Arial" w:cs="Arial" w:eastAsia="Arial" w:hAnsi="Arial"/>
                <w:sz w:val="19"/>
                <w:szCs w:val="19"/>
                <w:color w:val="auto"/>
              </w:rPr>
              <w:t>General and administrative</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1,874</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6,503</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4,475</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7,869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5240" w:type="dxa"/>
            <w:vAlign w:val="bottom"/>
            <w:shd w:val="clear" w:color="auto" w:fill="CCEEFF"/>
          </w:tcPr>
          <w:p>
            <w:pPr>
              <w:ind w:left="760"/>
              <w:spacing w:after="0"/>
              <w:rPr>
                <w:sz w:val="20"/>
                <w:szCs w:val="20"/>
                <w:color w:val="auto"/>
              </w:rPr>
            </w:pPr>
            <w:r>
              <w:rPr>
                <w:rFonts w:ascii="Arial" w:cs="Arial" w:eastAsia="Arial" w:hAnsi="Arial"/>
                <w:sz w:val="19"/>
                <w:szCs w:val="19"/>
                <w:color w:val="auto"/>
              </w:rPr>
              <w:t>Total operating expenses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15,548</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36,414</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23,548</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56,803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ind w:left="200"/>
              <w:spacing w:after="0"/>
              <w:rPr>
                <w:sz w:val="20"/>
                <w:szCs w:val="20"/>
                <w:color w:val="auto"/>
              </w:rPr>
            </w:pPr>
            <w:r>
              <w:rPr>
                <w:rFonts w:ascii="Arial" w:cs="Arial" w:eastAsia="Arial" w:hAnsi="Arial"/>
                <w:sz w:val="19"/>
                <w:szCs w:val="19"/>
                <w:color w:val="auto"/>
              </w:rPr>
              <w:t>Loss from operations</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4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9"/>
                <w:szCs w:val="19"/>
                <w:color w:val="auto"/>
              </w:rPr>
              <w:t>(15,132)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9"/>
                <w:szCs w:val="19"/>
                <w:color w:val="auto"/>
              </w:rPr>
              <w:t>(32,679)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9"/>
                <w:szCs w:val="19"/>
                <w:color w:val="auto"/>
              </w:rPr>
              <w:t>(22,872)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(38,271)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9"/>
                <w:szCs w:val="19"/>
                <w:color w:val="auto"/>
              </w:rPr>
              <w:t>Other income, net</w:t>
            </w:r>
          </w:p>
        </w:tc>
        <w:tc>
          <w:tcPr>
            <w:tcW w:w="5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199</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170</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3,396</w:t>
            </w:r>
          </w:p>
        </w:tc>
        <w:tc>
          <w:tcPr>
            <w:tcW w:w="12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440" w:type="dxa"/>
            <w:vAlign w:val="bottom"/>
            <w:gridSpan w:val="2"/>
          </w:tcPr>
          <w:p>
            <w:pPr>
              <w:ind w:left="200"/>
              <w:spacing w:after="0"/>
              <w:rPr>
                <w:sz w:val="20"/>
                <w:szCs w:val="20"/>
                <w:color w:val="auto"/>
              </w:rPr>
            </w:pPr>
            <w:r>
              <w:rPr>
                <w:rFonts w:ascii="Arial" w:cs="Arial" w:eastAsia="Arial" w:hAnsi="Arial"/>
                <w:sz w:val="19"/>
                <w:szCs w:val="19"/>
                <w:color w:val="auto"/>
              </w:rPr>
              <w:t>Net loss</w:t>
            </w:r>
          </w:p>
        </w:tc>
        <w:tc>
          <w:tcPr>
            <w:tcW w:w="6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9"/>
                <w:szCs w:val="19"/>
                <w:color w:val="auto"/>
              </w:rPr>
              <w:t>(15,110)</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9"/>
                <w:szCs w:val="19"/>
                <w:color w:val="auto"/>
              </w:rPr>
              <w:t>(32,480)</w:t>
            </w:r>
          </w:p>
        </w:tc>
        <w:tc>
          <w:tcPr>
            <w:tcW w:w="3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9"/>
                <w:szCs w:val="19"/>
                <w:color w:val="auto"/>
              </w:rPr>
              <w:t>(22,702)</w:t>
            </w:r>
          </w:p>
        </w:tc>
        <w:tc>
          <w:tcPr>
            <w:tcW w:w="1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(34,875)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9"/>
                <w:szCs w:val="19"/>
                <w:color w:val="auto"/>
              </w:rPr>
              <w:t>Net loss per share, basic and diluted</w:t>
            </w:r>
            <w:r>
              <w:rPr>
                <w:rFonts w:ascii="Arial" w:cs="Arial" w:eastAsia="Arial" w:hAnsi="Arial"/>
                <w:sz w:val="16"/>
                <w:szCs w:val="16"/>
                <w:color w:val="auto"/>
              </w:rPr>
              <w:t>(1)</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(2.11)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(3.55)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9"/>
                <w:szCs w:val="19"/>
                <w:color w:val="auto"/>
              </w:rPr>
              <w:t>(2.61)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ind w:left="200"/>
              <w:spacing w:after="0"/>
              <w:rPr>
                <w:sz w:val="20"/>
                <w:szCs w:val="20"/>
                <w:color w:val="auto"/>
              </w:rPr>
            </w:pPr>
            <w:r>
              <w:rPr>
                <w:rFonts w:ascii="Arial" w:cs="Arial" w:eastAsia="Arial" w:hAnsi="Arial"/>
                <w:sz w:val="19"/>
                <w:szCs w:val="19"/>
                <w:color w:val="auto"/>
                <w:w w:val="95"/>
              </w:rPr>
              <w:t>Shares used in computing net loss per common share, basic and</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5240" w:type="dxa"/>
            <w:vAlign w:val="bottom"/>
          </w:tcPr>
          <w:p>
            <w:pPr>
              <w:ind w:left="180"/>
              <w:spacing w:after="0"/>
              <w:rPr>
                <w:sz w:val="20"/>
                <w:szCs w:val="20"/>
                <w:color w:val="auto"/>
              </w:rPr>
            </w:pPr>
            <w:r>
              <w:rPr>
                <w:rFonts w:ascii="Arial" w:cs="Arial" w:eastAsia="Arial" w:hAnsi="Arial"/>
                <w:sz w:val="19"/>
                <w:szCs w:val="19"/>
                <w:color w:val="auto"/>
              </w:rPr>
              <w:t>diluted</w:t>
            </w:r>
            <w:r>
              <w:rPr>
                <w:rFonts w:ascii="Arial" w:cs="Arial" w:eastAsia="Arial" w:hAnsi="Arial"/>
                <w:sz w:val="16"/>
                <w:szCs w:val="16"/>
                <w:color w:val="auto"/>
              </w:rPr>
              <w:t>(1)</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w w:val="87"/>
              </w:rPr>
              <w:t>7,173,411</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w w:val="99"/>
              </w:rPr>
              <w:t>9,142,688</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w w:val="89"/>
              </w:rPr>
              <w:t>8,712,730</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9"/>
                <w:szCs w:val="19"/>
                <w:color w:val="auto"/>
                <w:w w:val="88"/>
              </w:rPr>
              <w:t>11,154,391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9"/>
                <w:szCs w:val="19"/>
                <w:color w:val="auto"/>
              </w:rPr>
              <w:t>Pro forma net loss per share, basic and diluted (unaudited)</w:t>
            </w:r>
            <w:r>
              <w:rPr>
                <w:rFonts w:ascii="Arial" w:cs="Arial" w:eastAsia="Arial" w:hAnsi="Arial"/>
                <w:sz w:val="16"/>
                <w:szCs w:val="16"/>
                <w:color w:val="auto"/>
              </w:rPr>
              <w:t>(1)</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(0.72)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(0.68)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ind w:left="200"/>
              <w:spacing w:after="0"/>
              <w:rPr>
                <w:sz w:val="20"/>
                <w:szCs w:val="20"/>
                <w:color w:val="auto"/>
              </w:rPr>
            </w:pPr>
            <w:r>
              <w:rPr>
                <w:rFonts w:ascii="Arial" w:cs="Arial" w:eastAsia="Arial" w:hAnsi="Arial"/>
                <w:sz w:val="19"/>
                <w:szCs w:val="19"/>
                <w:color w:val="auto"/>
                <w:w w:val="94"/>
              </w:rPr>
              <w:t>Shares used in computing pro forma net loss per share, basic and</w:t>
            </w: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5240" w:type="dxa"/>
            <w:vAlign w:val="bottom"/>
          </w:tcPr>
          <w:p>
            <w:pPr>
              <w:ind w:left="180"/>
              <w:spacing w:after="0"/>
              <w:rPr>
                <w:sz w:val="20"/>
                <w:szCs w:val="20"/>
                <w:color w:val="auto"/>
              </w:rPr>
            </w:pPr>
            <w:r>
              <w:rPr>
                <w:rFonts w:ascii="Arial" w:cs="Arial" w:eastAsia="Arial" w:hAnsi="Arial"/>
                <w:sz w:val="19"/>
                <w:szCs w:val="19"/>
                <w:color w:val="auto"/>
              </w:rPr>
              <w:t>diluted (unaudited)</w:t>
            </w:r>
            <w:r>
              <w:rPr>
                <w:rFonts w:ascii="Arial" w:cs="Arial" w:eastAsia="Arial" w:hAnsi="Arial"/>
                <w:sz w:val="16"/>
                <w:szCs w:val="16"/>
                <w:color w:val="auto"/>
              </w:rPr>
              <w:t>(1)</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8"/>
              </w:rPr>
              <w:t>45,143,891</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8"/>
              </w:rPr>
              <w:t>51,223,565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0" w:type="dxa"/>
            <w:vAlign w:val="bottom"/>
            <w:tcBorders>
              <w:bottom w:val="single" w:sz="8" w:color="auto"/>
            </w:tcBorders>
          </w:tcPr>
          <w:p>
            <w:pPr>
              <w:spacing w:after="0"/>
              <w:rPr>
                <w:sz w:val="21"/>
                <w:szCs w:val="21"/>
                <w:color w:val="auto"/>
              </w:rPr>
            </w:pPr>
          </w:p>
        </w:tc>
        <w:tc>
          <w:tcPr>
            <w:tcW w:w="5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38"/>
        </w:trPr>
        <w:tc>
          <w:tcPr>
            <w:tcW w:w="2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540" w:type="dxa"/>
            <w:vAlign w:val="bottom"/>
          </w:tcPr>
          <w:p>
            <w:pPr>
              <w:jc w:val="right"/>
              <w:ind w:right="25"/>
              <w:spacing w:after="0"/>
              <w:rPr>
                <w:sz w:val="20"/>
                <w:szCs w:val="20"/>
                <w:color w:val="auto"/>
              </w:rPr>
            </w:pPr>
            <w:r>
              <w:rPr>
                <w:rFonts w:ascii="Arial" w:cs="Arial" w:eastAsia="Arial" w:hAnsi="Arial"/>
                <w:sz w:val="19"/>
                <w:szCs w:val="19"/>
                <w:color w:val="auto"/>
              </w:rPr>
              <w:t>9</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820"/>
          </w:cols>
          <w:pgMar w:left="120" w:top="336" w:right="300" w:bottom="1440" w:gutter="0" w:footer="0" w:header="0"/>
        </w:sectPr>
      </w:pPr>
    </w:p>
    <w:bookmarkStart w:id="17" w:name="page18"/>
    <w:bookmarkEnd w:id="1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52920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93305" cy="529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20" w:right="100" w:hanging="448"/>
        <w:spacing w:after="0" w:line="308" w:lineRule="auto"/>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See Note 10 of the notes to our consolidated financial statements and Note 9 of the notes to our unaudited interim condensed consolidated financial statements included elsewhere in the prospectus for a description of how we compute basic and diluted net loss per share, basic and diluted unaudited pro forma net loss per share, and the number of shares used in the computation of the per share amounts.</w:t>
      </w:r>
    </w:p>
    <w:p>
      <w:pPr>
        <w:spacing w:after="0" w:line="180" w:lineRule="exact"/>
        <w:rPr>
          <w:sz w:val="20"/>
          <w:szCs w:val="20"/>
          <w:color w:val="auto"/>
        </w:rPr>
      </w:pPr>
    </w:p>
    <w:tbl>
      <w:tblPr>
        <w:tblLayout w:type="fixed"/>
        <w:tblInd w:w="380" w:type="dxa"/>
        <w:tblCellMar>
          <w:top w:w="0" w:type="dxa"/>
          <w:left w:w="0" w:type="dxa"/>
          <w:bottom w:w="0" w:type="dxa"/>
          <w:right w:w="0" w:type="dxa"/>
        </w:tblCellMar>
      </w:tblPr>
      <w:tr>
        <w:trPr>
          <w:trHeight w:val="180"/>
        </w:trPr>
        <w:tc>
          <w:tcPr>
            <w:tcW w:w="55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0"/>
              </w:rPr>
              <w:t>As of September 30, 2018</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28"/>
        </w:trPr>
        <w:tc>
          <w:tcPr>
            <w:tcW w:w="55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ind w:right="128"/>
              <w:spacing w:after="0" w:line="128"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1"/>
                <w:szCs w:val="11"/>
                <w:color w:val="auto"/>
              </w:rPr>
            </w:pPr>
          </w:p>
        </w:tc>
      </w:tr>
      <w:tr>
        <w:trPr>
          <w:trHeight w:val="180"/>
        </w:trPr>
        <w:tc>
          <w:tcPr>
            <w:tcW w:w="55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40" w:type="dxa"/>
            <w:vAlign w:val="bottom"/>
          </w:tcPr>
          <w:p>
            <w:pPr>
              <w:jc w:val="right"/>
              <w:ind w:right="284"/>
              <w:spacing w:after="0"/>
              <w:rPr>
                <w:sz w:val="20"/>
                <w:szCs w:val="20"/>
                <w:color w:val="auto"/>
              </w:rPr>
            </w:pPr>
            <w:r>
              <w:rPr>
                <w:rFonts w:ascii="Arial" w:cs="Arial" w:eastAsia="Arial" w:hAnsi="Arial"/>
                <w:sz w:val="15"/>
                <w:szCs w:val="15"/>
                <w:b w:val="1"/>
                <w:bCs w:val="1"/>
                <w:color w:val="auto"/>
              </w:rPr>
              <w:t>Actual</w:t>
            </w:r>
          </w:p>
        </w:tc>
        <w:tc>
          <w:tcPr>
            <w:tcW w:w="1580" w:type="dxa"/>
            <w:vAlign w:val="bottom"/>
          </w:tcPr>
          <w:p>
            <w:pPr>
              <w:jc w:val="right"/>
              <w:ind w:right="312"/>
              <w:spacing w:after="0"/>
              <w:rPr>
                <w:sz w:val="20"/>
                <w:szCs w:val="20"/>
                <w:color w:val="auto"/>
              </w:rPr>
            </w:pPr>
            <w:r>
              <w:rPr>
                <w:rFonts w:ascii="Arial" w:cs="Arial" w:eastAsia="Arial" w:hAnsi="Arial"/>
                <w:sz w:val="15"/>
                <w:szCs w:val="15"/>
                <w:b w:val="1"/>
                <w:bCs w:val="1"/>
                <w:color w:val="auto"/>
              </w:rPr>
              <w:t>Pro Forma</w:t>
            </w:r>
            <w:r>
              <w:rPr>
                <w:rFonts w:ascii="Arial" w:cs="Arial" w:eastAsia="Arial" w:hAnsi="Arial"/>
                <w:sz w:val="12"/>
                <w:szCs w:val="12"/>
                <w:b w:val="1"/>
                <w:bCs w:val="1"/>
                <w:color w:val="auto"/>
              </w:rPr>
              <w:t>(1)</w:t>
            </w:r>
          </w:p>
        </w:tc>
        <w:tc>
          <w:tcPr>
            <w:tcW w:w="1400" w:type="dxa"/>
            <w:vAlign w:val="bottom"/>
            <w:gridSpan w:val="3"/>
          </w:tcPr>
          <w:p>
            <w:pPr>
              <w:ind w:left="140"/>
              <w:spacing w:after="0"/>
              <w:rPr>
                <w:sz w:val="20"/>
                <w:szCs w:val="20"/>
                <w:color w:val="auto"/>
              </w:rPr>
            </w:pPr>
            <w:r>
              <w:rPr>
                <w:rFonts w:ascii="Arial" w:cs="Arial" w:eastAsia="Arial" w:hAnsi="Arial"/>
                <w:sz w:val="15"/>
                <w:szCs w:val="15"/>
                <w:b w:val="1"/>
                <w:bCs w:val="1"/>
                <w:color w:val="auto"/>
              </w:rPr>
              <w:t>As Adjusted</w:t>
            </w:r>
            <w:r>
              <w:rPr>
                <w:rFonts w:ascii="Arial" w:cs="Arial" w:eastAsia="Arial" w:hAnsi="Arial"/>
                <w:sz w:val="12"/>
                <w:szCs w:val="12"/>
                <w:b w:val="1"/>
                <w:bCs w:val="1"/>
                <w:color w:val="auto"/>
              </w:rPr>
              <w:t>(2)(3)</w:t>
            </w:r>
          </w:p>
        </w:tc>
      </w:tr>
      <w:tr>
        <w:trPr>
          <w:trHeight w:val="128"/>
        </w:trPr>
        <w:tc>
          <w:tcPr>
            <w:tcW w:w="55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jc w:val="center"/>
              <w:ind w:left="272"/>
              <w:spacing w:after="0" w:line="128" w:lineRule="exact"/>
              <w:rPr>
                <w:sz w:val="20"/>
                <w:szCs w:val="20"/>
                <w:color w:val="auto"/>
              </w:rPr>
            </w:pPr>
            <w:r>
              <w:rPr>
                <w:rFonts w:ascii="Arial" w:cs="Arial" w:eastAsia="Arial" w:hAnsi="Arial"/>
                <w:sz w:val="14"/>
                <w:szCs w:val="14"/>
                <w:b w:val="1"/>
                <w:bCs w:val="1"/>
                <w:color w:val="auto"/>
                <w:w w:val="97"/>
              </w:rPr>
              <w:t>(In thousands)</w:t>
            </w: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80"/>
        </w:trPr>
        <w:tc>
          <w:tcPr>
            <w:tcW w:w="55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jc w:val="center"/>
              <w:ind w:left="272"/>
              <w:spacing w:after="0"/>
              <w:rPr>
                <w:sz w:val="20"/>
                <w:szCs w:val="20"/>
                <w:color w:val="auto"/>
              </w:rPr>
            </w:pPr>
            <w:r>
              <w:rPr>
                <w:rFonts w:ascii="Arial" w:cs="Arial" w:eastAsia="Arial" w:hAnsi="Arial"/>
                <w:sz w:val="15"/>
                <w:szCs w:val="15"/>
                <w:b w:val="1"/>
                <w:bCs w:val="1"/>
                <w:color w:val="auto"/>
                <w:w w:val="93"/>
              </w:rPr>
              <w:t>(Unaudited)</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8"/>
        </w:trPr>
        <w:tc>
          <w:tcPr>
            <w:tcW w:w="554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Consolidated Balance Sheet Data:</w:t>
            </w:r>
          </w:p>
        </w:tc>
        <w:tc>
          <w:tcPr>
            <w:tcW w:w="17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28"/>
        </w:trPr>
        <w:tc>
          <w:tcPr>
            <w:tcW w:w="5540" w:type="dxa"/>
            <w:vAlign w:val="bottom"/>
          </w:tcPr>
          <w:p>
            <w:pPr>
              <w:spacing w:after="0"/>
              <w:rPr>
                <w:sz w:val="20"/>
                <w:szCs w:val="20"/>
                <w:color w:val="auto"/>
              </w:rPr>
            </w:pPr>
            <w:r>
              <w:rPr>
                <w:rFonts w:ascii="Arial" w:cs="Arial" w:eastAsia="Arial" w:hAnsi="Arial"/>
                <w:sz w:val="19"/>
                <w:szCs w:val="19"/>
                <w:color w:val="auto"/>
              </w:rPr>
              <w:t>Cash, cash equivalents, and marketable securities</w:t>
            </w:r>
          </w:p>
        </w:tc>
        <w:tc>
          <w:tcPr>
            <w:tcW w:w="2720" w:type="dxa"/>
            <w:vAlign w:val="bottom"/>
            <w:gridSpan w:val="2"/>
          </w:tcPr>
          <w:p>
            <w:pPr>
              <w:jc w:val="right"/>
              <w:ind w:right="124"/>
              <w:spacing w:after="0"/>
              <w:rPr>
                <w:sz w:val="20"/>
                <w:szCs w:val="20"/>
                <w:color w:val="auto"/>
              </w:rPr>
            </w:pPr>
            <w:r>
              <w:rPr>
                <w:rFonts w:ascii="Arial" w:cs="Arial" w:eastAsia="Arial" w:hAnsi="Arial"/>
                <w:sz w:val="19"/>
                <w:szCs w:val="19"/>
                <w:color w:val="auto"/>
              </w:rPr>
              <w:t>$308,694</w:t>
            </w:r>
          </w:p>
        </w:tc>
        <w:tc>
          <w:tcPr>
            <w:tcW w:w="1580" w:type="dxa"/>
            <w:vAlign w:val="bottom"/>
          </w:tcPr>
          <w:p>
            <w:pPr>
              <w:jc w:val="right"/>
              <w:ind w:right="292"/>
              <w:spacing w:after="0"/>
              <w:rPr>
                <w:sz w:val="20"/>
                <w:szCs w:val="20"/>
                <w:color w:val="auto"/>
              </w:rPr>
            </w:pPr>
            <w:r>
              <w:rPr>
                <w:rFonts w:ascii="Arial" w:cs="Arial" w:eastAsia="Arial" w:hAnsi="Arial"/>
                <w:sz w:val="19"/>
                <w:szCs w:val="19"/>
                <w:color w:val="auto"/>
              </w:rPr>
              <w:t>$  308,694</w:t>
            </w:r>
          </w:p>
        </w:tc>
        <w:tc>
          <w:tcPr>
            <w:tcW w:w="300" w:type="dxa"/>
            <w:vAlign w:val="bottom"/>
          </w:tcPr>
          <w:p>
            <w:pPr>
              <w:ind w:left="140"/>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468,542</w:t>
            </w:r>
          </w:p>
        </w:tc>
        <w:tc>
          <w:tcPr>
            <w:tcW w:w="120" w:type="dxa"/>
            <w:vAlign w:val="bottom"/>
          </w:tcPr>
          <w:p>
            <w:pPr>
              <w:spacing w:after="0"/>
              <w:rPr>
                <w:sz w:val="19"/>
                <w:szCs w:val="19"/>
                <w:color w:val="auto"/>
              </w:rPr>
            </w:pPr>
          </w:p>
        </w:tc>
      </w:tr>
      <w:tr>
        <w:trPr>
          <w:trHeight w:val="228"/>
        </w:trPr>
        <w:tc>
          <w:tcPr>
            <w:tcW w:w="5540" w:type="dxa"/>
            <w:vAlign w:val="bottom"/>
            <w:shd w:val="clear" w:color="auto" w:fill="CCEEFF"/>
          </w:tcPr>
          <w:p>
            <w:pPr>
              <w:spacing w:after="0"/>
              <w:rPr>
                <w:sz w:val="20"/>
                <w:szCs w:val="20"/>
                <w:color w:val="auto"/>
              </w:rPr>
            </w:pPr>
            <w:r>
              <w:rPr>
                <w:rFonts w:ascii="Arial" w:cs="Arial" w:eastAsia="Arial" w:hAnsi="Arial"/>
                <w:sz w:val="19"/>
                <w:szCs w:val="19"/>
                <w:color w:val="auto"/>
              </w:rPr>
              <w:t>Working capital</w:t>
            </w:r>
          </w:p>
        </w:tc>
        <w:tc>
          <w:tcPr>
            <w:tcW w:w="2720" w:type="dxa"/>
            <w:vAlign w:val="bottom"/>
            <w:gridSpan w:val="2"/>
            <w:shd w:val="clear" w:color="auto" w:fill="CCEEFF"/>
          </w:tcPr>
          <w:p>
            <w:pPr>
              <w:jc w:val="right"/>
              <w:ind w:right="124"/>
              <w:spacing w:after="0"/>
              <w:rPr>
                <w:sz w:val="20"/>
                <w:szCs w:val="20"/>
                <w:color w:val="auto"/>
              </w:rPr>
            </w:pPr>
            <w:r>
              <w:rPr>
                <w:rFonts w:ascii="Arial" w:cs="Arial" w:eastAsia="Arial" w:hAnsi="Arial"/>
                <w:sz w:val="19"/>
                <w:szCs w:val="19"/>
                <w:color w:val="auto"/>
              </w:rPr>
              <w:t>271,588</w:t>
            </w:r>
          </w:p>
        </w:tc>
        <w:tc>
          <w:tcPr>
            <w:tcW w:w="1580" w:type="dxa"/>
            <w:vAlign w:val="bottom"/>
            <w:shd w:val="clear" w:color="auto" w:fill="CCEEFF"/>
          </w:tcPr>
          <w:p>
            <w:pPr>
              <w:jc w:val="right"/>
              <w:ind w:right="292"/>
              <w:spacing w:after="0"/>
              <w:rPr>
                <w:sz w:val="20"/>
                <w:szCs w:val="20"/>
                <w:color w:val="auto"/>
              </w:rPr>
            </w:pPr>
            <w:r>
              <w:rPr>
                <w:rFonts w:ascii="Arial" w:cs="Arial" w:eastAsia="Arial" w:hAnsi="Arial"/>
                <w:sz w:val="19"/>
                <w:szCs w:val="19"/>
                <w:color w:val="auto"/>
              </w:rPr>
              <w:t>271,588</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431,436</w:t>
            </w:r>
          </w:p>
        </w:tc>
        <w:tc>
          <w:tcPr>
            <w:tcW w:w="120" w:type="dxa"/>
            <w:vAlign w:val="bottom"/>
            <w:shd w:val="clear" w:color="auto" w:fill="CCEEFF"/>
          </w:tcPr>
          <w:p>
            <w:pPr>
              <w:spacing w:after="0"/>
              <w:rPr>
                <w:sz w:val="19"/>
                <w:szCs w:val="19"/>
                <w:color w:val="auto"/>
              </w:rPr>
            </w:pPr>
          </w:p>
        </w:tc>
      </w:tr>
      <w:tr>
        <w:trPr>
          <w:trHeight w:val="228"/>
        </w:trPr>
        <w:tc>
          <w:tcPr>
            <w:tcW w:w="5540" w:type="dxa"/>
            <w:vAlign w:val="bottom"/>
          </w:tcPr>
          <w:p>
            <w:pPr>
              <w:spacing w:after="0"/>
              <w:rPr>
                <w:sz w:val="20"/>
                <w:szCs w:val="20"/>
                <w:color w:val="auto"/>
              </w:rPr>
            </w:pPr>
            <w:r>
              <w:rPr>
                <w:rFonts w:ascii="Arial" w:cs="Arial" w:eastAsia="Arial" w:hAnsi="Arial"/>
                <w:sz w:val="19"/>
                <w:szCs w:val="19"/>
                <w:color w:val="auto"/>
              </w:rPr>
              <w:t>Total assets</w:t>
            </w:r>
          </w:p>
        </w:tc>
        <w:tc>
          <w:tcPr>
            <w:tcW w:w="2720" w:type="dxa"/>
            <w:vAlign w:val="bottom"/>
            <w:gridSpan w:val="2"/>
          </w:tcPr>
          <w:p>
            <w:pPr>
              <w:jc w:val="right"/>
              <w:ind w:right="124"/>
              <w:spacing w:after="0"/>
              <w:rPr>
                <w:sz w:val="20"/>
                <w:szCs w:val="20"/>
                <w:color w:val="auto"/>
              </w:rPr>
            </w:pPr>
            <w:r>
              <w:rPr>
                <w:rFonts w:ascii="Arial" w:cs="Arial" w:eastAsia="Arial" w:hAnsi="Arial"/>
                <w:sz w:val="19"/>
                <w:szCs w:val="19"/>
                <w:color w:val="auto"/>
              </w:rPr>
              <w:t>318,699</w:t>
            </w:r>
          </w:p>
        </w:tc>
        <w:tc>
          <w:tcPr>
            <w:tcW w:w="1580" w:type="dxa"/>
            <w:vAlign w:val="bottom"/>
          </w:tcPr>
          <w:p>
            <w:pPr>
              <w:jc w:val="right"/>
              <w:ind w:right="292"/>
              <w:spacing w:after="0"/>
              <w:rPr>
                <w:sz w:val="20"/>
                <w:szCs w:val="20"/>
                <w:color w:val="auto"/>
              </w:rPr>
            </w:pPr>
            <w:r>
              <w:rPr>
                <w:rFonts w:ascii="Arial" w:cs="Arial" w:eastAsia="Arial" w:hAnsi="Arial"/>
                <w:sz w:val="19"/>
                <w:szCs w:val="19"/>
                <w:color w:val="auto"/>
              </w:rPr>
              <w:t>318,699</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478,547</w:t>
            </w:r>
          </w:p>
        </w:tc>
        <w:tc>
          <w:tcPr>
            <w:tcW w:w="120" w:type="dxa"/>
            <w:vAlign w:val="bottom"/>
          </w:tcPr>
          <w:p>
            <w:pPr>
              <w:spacing w:after="0"/>
              <w:rPr>
                <w:sz w:val="19"/>
                <w:szCs w:val="19"/>
                <w:color w:val="auto"/>
              </w:rPr>
            </w:pPr>
          </w:p>
        </w:tc>
      </w:tr>
      <w:tr>
        <w:trPr>
          <w:trHeight w:val="228"/>
        </w:trPr>
        <w:tc>
          <w:tcPr>
            <w:tcW w:w="5540" w:type="dxa"/>
            <w:vAlign w:val="bottom"/>
            <w:shd w:val="clear" w:color="auto" w:fill="CCEEFF"/>
          </w:tcPr>
          <w:p>
            <w:pPr>
              <w:spacing w:after="0"/>
              <w:rPr>
                <w:sz w:val="20"/>
                <w:szCs w:val="20"/>
                <w:color w:val="auto"/>
              </w:rPr>
            </w:pPr>
            <w:r>
              <w:rPr>
                <w:rFonts w:ascii="Arial" w:cs="Arial" w:eastAsia="Arial" w:hAnsi="Arial"/>
                <w:sz w:val="19"/>
                <w:szCs w:val="19"/>
                <w:color w:val="auto"/>
              </w:rPr>
              <w:t>Deferred revenue</w:t>
            </w:r>
          </w:p>
        </w:tc>
        <w:tc>
          <w:tcPr>
            <w:tcW w:w="2720" w:type="dxa"/>
            <w:vAlign w:val="bottom"/>
            <w:gridSpan w:val="2"/>
            <w:shd w:val="clear" w:color="auto" w:fill="CCEEFF"/>
          </w:tcPr>
          <w:p>
            <w:pPr>
              <w:jc w:val="right"/>
              <w:ind w:right="124"/>
              <w:spacing w:after="0"/>
              <w:rPr>
                <w:sz w:val="20"/>
                <w:szCs w:val="20"/>
                <w:color w:val="auto"/>
              </w:rPr>
            </w:pPr>
            <w:r>
              <w:rPr>
                <w:rFonts w:ascii="Arial" w:cs="Arial" w:eastAsia="Arial" w:hAnsi="Arial"/>
                <w:sz w:val="19"/>
                <w:szCs w:val="19"/>
                <w:color w:val="auto"/>
              </w:rPr>
              <w:t>183,765</w:t>
            </w:r>
          </w:p>
        </w:tc>
        <w:tc>
          <w:tcPr>
            <w:tcW w:w="1580" w:type="dxa"/>
            <w:vAlign w:val="bottom"/>
            <w:shd w:val="clear" w:color="auto" w:fill="CCEEFF"/>
          </w:tcPr>
          <w:p>
            <w:pPr>
              <w:jc w:val="right"/>
              <w:ind w:right="292"/>
              <w:spacing w:after="0"/>
              <w:rPr>
                <w:sz w:val="20"/>
                <w:szCs w:val="20"/>
                <w:color w:val="auto"/>
              </w:rPr>
            </w:pPr>
            <w:r>
              <w:rPr>
                <w:rFonts w:ascii="Arial" w:cs="Arial" w:eastAsia="Arial" w:hAnsi="Arial"/>
                <w:sz w:val="19"/>
                <w:szCs w:val="19"/>
                <w:color w:val="auto"/>
              </w:rPr>
              <w:t>183,765</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183,765</w:t>
            </w:r>
          </w:p>
        </w:tc>
        <w:tc>
          <w:tcPr>
            <w:tcW w:w="120" w:type="dxa"/>
            <w:vAlign w:val="bottom"/>
            <w:shd w:val="clear" w:color="auto" w:fill="CCEEFF"/>
          </w:tcPr>
          <w:p>
            <w:pPr>
              <w:spacing w:after="0"/>
              <w:rPr>
                <w:sz w:val="19"/>
                <w:szCs w:val="19"/>
                <w:color w:val="auto"/>
              </w:rPr>
            </w:pPr>
          </w:p>
        </w:tc>
      </w:tr>
      <w:tr>
        <w:trPr>
          <w:trHeight w:val="228"/>
        </w:trPr>
        <w:tc>
          <w:tcPr>
            <w:tcW w:w="5540" w:type="dxa"/>
            <w:vAlign w:val="bottom"/>
          </w:tcPr>
          <w:p>
            <w:pPr>
              <w:spacing w:after="0"/>
              <w:rPr>
                <w:sz w:val="20"/>
                <w:szCs w:val="20"/>
                <w:color w:val="auto"/>
              </w:rPr>
            </w:pPr>
            <w:r>
              <w:rPr>
                <w:rFonts w:ascii="Arial" w:cs="Arial" w:eastAsia="Arial" w:hAnsi="Arial"/>
                <w:sz w:val="19"/>
                <w:szCs w:val="19"/>
                <w:color w:val="auto"/>
              </w:rPr>
              <w:t>Total liabilities</w:t>
            </w:r>
          </w:p>
        </w:tc>
        <w:tc>
          <w:tcPr>
            <w:tcW w:w="2720" w:type="dxa"/>
            <w:vAlign w:val="bottom"/>
            <w:gridSpan w:val="2"/>
          </w:tcPr>
          <w:p>
            <w:pPr>
              <w:jc w:val="right"/>
              <w:ind w:right="124"/>
              <w:spacing w:after="0"/>
              <w:rPr>
                <w:sz w:val="20"/>
                <w:szCs w:val="20"/>
                <w:color w:val="auto"/>
              </w:rPr>
            </w:pPr>
            <w:r>
              <w:rPr>
                <w:rFonts w:ascii="Arial" w:cs="Arial" w:eastAsia="Arial" w:hAnsi="Arial"/>
                <w:sz w:val="19"/>
                <w:szCs w:val="19"/>
                <w:color w:val="auto"/>
              </w:rPr>
              <w:t>191,312</w:t>
            </w:r>
          </w:p>
        </w:tc>
        <w:tc>
          <w:tcPr>
            <w:tcW w:w="1580" w:type="dxa"/>
            <w:vAlign w:val="bottom"/>
          </w:tcPr>
          <w:p>
            <w:pPr>
              <w:jc w:val="right"/>
              <w:ind w:right="292"/>
              <w:spacing w:after="0"/>
              <w:rPr>
                <w:sz w:val="20"/>
                <w:szCs w:val="20"/>
                <w:color w:val="auto"/>
              </w:rPr>
            </w:pPr>
            <w:r>
              <w:rPr>
                <w:rFonts w:ascii="Arial" w:cs="Arial" w:eastAsia="Arial" w:hAnsi="Arial"/>
                <w:sz w:val="19"/>
                <w:szCs w:val="19"/>
                <w:color w:val="auto"/>
              </w:rPr>
              <w:t>191,312</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191,312</w:t>
            </w:r>
          </w:p>
        </w:tc>
        <w:tc>
          <w:tcPr>
            <w:tcW w:w="120" w:type="dxa"/>
            <w:vAlign w:val="bottom"/>
          </w:tcPr>
          <w:p>
            <w:pPr>
              <w:spacing w:after="0"/>
              <w:rPr>
                <w:sz w:val="19"/>
                <w:szCs w:val="19"/>
                <w:color w:val="auto"/>
              </w:rPr>
            </w:pPr>
          </w:p>
        </w:tc>
      </w:tr>
      <w:tr>
        <w:trPr>
          <w:trHeight w:val="228"/>
        </w:trPr>
        <w:tc>
          <w:tcPr>
            <w:tcW w:w="5540" w:type="dxa"/>
            <w:vAlign w:val="bottom"/>
            <w:shd w:val="clear" w:color="auto" w:fill="CCEEFF"/>
          </w:tcPr>
          <w:p>
            <w:pPr>
              <w:spacing w:after="0"/>
              <w:rPr>
                <w:sz w:val="20"/>
                <w:szCs w:val="20"/>
                <w:color w:val="auto"/>
              </w:rPr>
            </w:pPr>
            <w:r>
              <w:rPr>
                <w:rFonts w:ascii="Arial" w:cs="Arial" w:eastAsia="Arial" w:hAnsi="Arial"/>
                <w:sz w:val="19"/>
                <w:szCs w:val="19"/>
                <w:color w:val="auto"/>
              </w:rPr>
              <w:t>Convertible preferred stock</w:t>
            </w:r>
          </w:p>
        </w:tc>
        <w:tc>
          <w:tcPr>
            <w:tcW w:w="2720" w:type="dxa"/>
            <w:vAlign w:val="bottom"/>
            <w:gridSpan w:val="2"/>
            <w:shd w:val="clear" w:color="auto" w:fill="CCEEFF"/>
          </w:tcPr>
          <w:p>
            <w:pPr>
              <w:jc w:val="right"/>
              <w:ind w:right="124"/>
              <w:spacing w:after="0"/>
              <w:rPr>
                <w:sz w:val="20"/>
                <w:szCs w:val="20"/>
                <w:color w:val="auto"/>
              </w:rPr>
            </w:pPr>
            <w:r>
              <w:rPr>
                <w:rFonts w:ascii="Arial" w:cs="Arial" w:eastAsia="Arial" w:hAnsi="Arial"/>
                <w:sz w:val="19"/>
                <w:szCs w:val="19"/>
                <w:color w:val="auto"/>
              </w:rPr>
              <w:t>210,170</w:t>
            </w:r>
          </w:p>
        </w:tc>
        <w:tc>
          <w:tcPr>
            <w:tcW w:w="1580" w:type="dxa"/>
            <w:vAlign w:val="bottom"/>
            <w:shd w:val="clear" w:color="auto" w:fill="CCEEFF"/>
          </w:tcPr>
          <w:p>
            <w:pPr>
              <w:jc w:val="right"/>
              <w:ind w:right="292"/>
              <w:spacing w:after="0"/>
              <w:rPr>
                <w:sz w:val="20"/>
                <w:szCs w:val="20"/>
                <w:color w:val="auto"/>
              </w:rPr>
            </w:pPr>
            <w:r>
              <w:rPr>
                <w:rFonts w:ascii="Arial" w:cs="Arial" w:eastAsia="Arial" w:hAnsi="Arial"/>
                <w:sz w:val="19"/>
                <w:szCs w:val="19"/>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w:t>
            </w:r>
          </w:p>
        </w:tc>
      </w:tr>
      <w:tr>
        <w:trPr>
          <w:trHeight w:val="228"/>
        </w:trPr>
        <w:tc>
          <w:tcPr>
            <w:tcW w:w="5540" w:type="dxa"/>
            <w:vAlign w:val="bottom"/>
          </w:tcPr>
          <w:p>
            <w:pPr>
              <w:spacing w:after="0"/>
              <w:rPr>
                <w:sz w:val="20"/>
                <w:szCs w:val="20"/>
                <w:color w:val="auto"/>
              </w:rPr>
            </w:pPr>
            <w:r>
              <w:rPr>
                <w:rFonts w:ascii="Arial" w:cs="Arial" w:eastAsia="Arial" w:hAnsi="Arial"/>
                <w:sz w:val="19"/>
                <w:szCs w:val="19"/>
                <w:color w:val="auto"/>
              </w:rPr>
              <w:t>Accumulated deficit</w:t>
            </w:r>
          </w:p>
        </w:tc>
        <w:tc>
          <w:tcPr>
            <w:tcW w:w="2720" w:type="dxa"/>
            <w:vAlign w:val="bottom"/>
            <w:gridSpan w:val="2"/>
          </w:tcPr>
          <w:p>
            <w:pPr>
              <w:jc w:val="right"/>
              <w:ind w:right="64"/>
              <w:spacing w:after="0"/>
              <w:rPr>
                <w:sz w:val="20"/>
                <w:szCs w:val="20"/>
                <w:color w:val="auto"/>
              </w:rPr>
            </w:pPr>
            <w:r>
              <w:rPr>
                <w:rFonts w:ascii="Arial" w:cs="Arial" w:eastAsia="Arial" w:hAnsi="Arial"/>
                <w:sz w:val="19"/>
                <w:szCs w:val="19"/>
                <w:color w:val="auto"/>
              </w:rPr>
              <w:t>(97,062)</w:t>
            </w:r>
          </w:p>
        </w:tc>
        <w:tc>
          <w:tcPr>
            <w:tcW w:w="1580" w:type="dxa"/>
            <w:vAlign w:val="bottom"/>
          </w:tcPr>
          <w:p>
            <w:pPr>
              <w:jc w:val="right"/>
              <w:ind w:right="232"/>
              <w:spacing w:after="0"/>
              <w:rPr>
                <w:sz w:val="20"/>
                <w:szCs w:val="20"/>
                <w:color w:val="auto"/>
              </w:rPr>
            </w:pPr>
            <w:r>
              <w:rPr>
                <w:rFonts w:ascii="Arial" w:cs="Arial" w:eastAsia="Arial" w:hAnsi="Arial"/>
                <w:sz w:val="19"/>
                <w:szCs w:val="19"/>
                <w:color w:val="auto"/>
              </w:rPr>
              <w:t>(97,062)</w:t>
            </w:r>
          </w:p>
        </w:tc>
        <w:tc>
          <w:tcPr>
            <w:tcW w:w="3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9"/>
                <w:szCs w:val="19"/>
                <w:color w:val="auto"/>
              </w:rPr>
              <w:t>(97,062)</w:t>
            </w:r>
          </w:p>
        </w:tc>
      </w:tr>
      <w:tr>
        <w:trPr>
          <w:trHeight w:val="228"/>
        </w:trPr>
        <w:tc>
          <w:tcPr>
            <w:tcW w:w="5540" w:type="dxa"/>
            <w:vAlign w:val="bottom"/>
            <w:shd w:val="clear" w:color="auto" w:fill="CCEEFF"/>
          </w:tcPr>
          <w:p>
            <w:pPr>
              <w:spacing w:after="0"/>
              <w:rPr>
                <w:sz w:val="20"/>
                <w:szCs w:val="20"/>
                <w:color w:val="auto"/>
              </w:rPr>
            </w:pPr>
            <w:r>
              <w:rPr>
                <w:rFonts w:ascii="Arial" w:cs="Arial" w:eastAsia="Arial" w:hAnsi="Arial"/>
                <w:sz w:val="19"/>
                <w:szCs w:val="19"/>
                <w:color w:val="auto"/>
              </w:rPr>
              <w:t>Total stockholders’ equity (deficit)</w:t>
            </w:r>
          </w:p>
        </w:tc>
        <w:tc>
          <w:tcPr>
            <w:tcW w:w="2720" w:type="dxa"/>
            <w:vAlign w:val="bottom"/>
            <w:gridSpan w:val="2"/>
            <w:shd w:val="clear" w:color="auto" w:fill="CCEEFF"/>
          </w:tcPr>
          <w:p>
            <w:pPr>
              <w:jc w:val="right"/>
              <w:ind w:right="64"/>
              <w:spacing w:after="0"/>
              <w:rPr>
                <w:sz w:val="20"/>
                <w:szCs w:val="20"/>
                <w:color w:val="auto"/>
              </w:rPr>
            </w:pPr>
            <w:r>
              <w:rPr>
                <w:rFonts w:ascii="Arial" w:cs="Arial" w:eastAsia="Arial" w:hAnsi="Arial"/>
                <w:sz w:val="19"/>
                <w:szCs w:val="19"/>
                <w:color w:val="auto"/>
              </w:rPr>
              <w:t>(82,783)</w:t>
            </w:r>
          </w:p>
        </w:tc>
        <w:tc>
          <w:tcPr>
            <w:tcW w:w="1580" w:type="dxa"/>
            <w:vAlign w:val="bottom"/>
            <w:shd w:val="clear" w:color="auto" w:fill="CCEEFF"/>
          </w:tcPr>
          <w:p>
            <w:pPr>
              <w:jc w:val="right"/>
              <w:ind w:right="292"/>
              <w:spacing w:after="0"/>
              <w:rPr>
                <w:sz w:val="20"/>
                <w:szCs w:val="20"/>
                <w:color w:val="auto"/>
              </w:rPr>
            </w:pPr>
            <w:r>
              <w:rPr>
                <w:rFonts w:ascii="Arial" w:cs="Arial" w:eastAsia="Arial" w:hAnsi="Arial"/>
                <w:sz w:val="19"/>
                <w:szCs w:val="19"/>
                <w:color w:val="auto"/>
              </w:rPr>
              <w:t>127,387</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287,235</w:t>
            </w:r>
          </w:p>
        </w:tc>
        <w:tc>
          <w:tcPr>
            <w:tcW w:w="120" w:type="dxa"/>
            <w:vAlign w:val="bottom"/>
            <w:shd w:val="clear" w:color="auto" w:fill="CCEEFF"/>
          </w:tcPr>
          <w:p>
            <w:pPr>
              <w:spacing w:after="0"/>
              <w:rPr>
                <w:sz w:val="19"/>
                <w:szCs w:val="19"/>
                <w:color w:val="auto"/>
              </w:rPr>
            </w:pPr>
          </w:p>
        </w:tc>
      </w:tr>
    </w:tbl>
    <w:p>
      <w:pPr>
        <w:spacing w:after="0" w:line="171" w:lineRule="exact"/>
        <w:rPr>
          <w:sz w:val="20"/>
          <w:szCs w:val="20"/>
          <w:color w:val="auto"/>
        </w:rPr>
      </w:pPr>
    </w:p>
    <w:p>
      <w:pPr>
        <w:ind w:left="820" w:right="220" w:hanging="448"/>
        <w:spacing w:after="0" w:line="255" w:lineRule="auto"/>
        <w:tabs>
          <w:tab w:leader="none" w:pos="8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pro forma consolidated balance sheet data gives effect to (i) the conversion of all outstanding shares of convertible preferred stock into shares of common stock immediately prior to the closing of this offering and (ii) the filing and effectiveness of our amended and restated certificate of incorporation that will be in effect upon the closing of this offering.</w:t>
      </w:r>
    </w:p>
    <w:p>
      <w:pPr>
        <w:spacing w:after="0" w:line="1" w:lineRule="exact"/>
        <w:rPr>
          <w:rFonts w:ascii="Arial" w:cs="Arial" w:eastAsia="Arial" w:hAnsi="Arial"/>
          <w:sz w:val="19"/>
          <w:szCs w:val="19"/>
          <w:color w:val="auto"/>
        </w:rPr>
      </w:pPr>
    </w:p>
    <w:p>
      <w:pPr>
        <w:ind w:left="820" w:right="100" w:hanging="448"/>
        <w:spacing w:after="0" w:line="280"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pro forma as adjusted consolidated balance sheet data further reflects our receipt of net proceeds from the sale of 9,250,000 shares of common stock in this offering at the assumed initial public offering price of $19.00 per share, the midpoint of the price range set forth on the cover page of this prospectus, after deducting underwriting discounts and commissions and estimated offering expenses payable by us.</w:t>
      </w:r>
    </w:p>
    <w:p>
      <w:pPr>
        <w:ind w:left="820" w:right="20" w:hanging="448"/>
        <w:spacing w:after="0" w:line="26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$1.00 increase or decrease in the assumed initial public offering price of $19.00 per share, the midpoint of the price range set forth on the cover page of this prospectus, would increase or decrease each of cash, cash equivalents, and marketable securities, working capital, total assets, and total stockholders’ equity (deficit) by $8.6 million, assuming the number of shares offered by us, as set forth on the cover page of this prospectus, remains the same and after deducting the underwriting discounts and commissions and estimated expenses payable by us. Each increase or decrease of 1,000,000 shares in the number of shares of common stock offered by us would increase or decrease each of cash, cash equivalents, and marketable securities, working capital, total assets, and total stockholders’ equity (deficit) by approximately $17.7 million, assuming a price of $19.00 per share, the midpoint of the price range set forth on the cover page of this prospectus, remains the same, and after deducting the underwriting discounts and commissions and estimated expenses payable by us. The pro forma as adjusted information discussed above is illustrative only and will be adjusted based on the actual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79"/>
        <w:spacing w:after="0"/>
        <w:rPr>
          <w:sz w:val="20"/>
          <w:szCs w:val="20"/>
          <w:color w:val="auto"/>
        </w:rPr>
      </w:pPr>
      <w:r>
        <w:rPr>
          <w:rFonts w:ascii="Arial" w:cs="Arial" w:eastAsia="Arial" w:hAnsi="Arial"/>
          <w:sz w:val="19"/>
          <w:szCs w:val="19"/>
          <w:color w:val="auto"/>
        </w:rPr>
        <w:t>10</w:t>
      </w:r>
    </w:p>
    <w:p>
      <w:pPr>
        <w:sectPr>
          <w:pgSz w:w="12240" w:h="15840" w:orient="portrait"/>
          <w:cols w:equalWidth="0" w:num="1">
            <w:col w:w="11620"/>
          </w:cols>
          <w:pgMar w:left="120" w:top="336" w:right="500" w:bottom="1440" w:gutter="0" w:footer="0" w:header="0"/>
        </w:sectPr>
      </w:pPr>
    </w:p>
    <w:bookmarkStart w:id="18" w:name="page19"/>
    <w:bookmarkEnd w:id="1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RISK FACTORS</w:t>
      </w:r>
    </w:p>
    <w:p>
      <w:pPr>
        <w:spacing w:after="0" w:line="244"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prospectus, including our financial statements and the related notes and the section titled “Management’s Discussion and Analysis of Financial Condition and Results of Operations” in this prospectus,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Risks Related to Our Business, Financial Condition, and Capital Requirements</w:t>
      </w:r>
    </w:p>
    <w:p>
      <w:pPr>
        <w:spacing w:after="0" w:line="130" w:lineRule="exact"/>
        <w:rPr>
          <w:sz w:val="20"/>
          <w:szCs w:val="20"/>
          <w:color w:val="auto"/>
        </w:rPr>
      </w:pPr>
    </w:p>
    <w:p>
      <w:pPr>
        <w:ind w:left="180" w:right="220"/>
        <w:spacing w:after="0" w:line="275" w:lineRule="auto"/>
        <w:rPr>
          <w:sz w:val="20"/>
          <w:szCs w:val="20"/>
          <w:color w:val="auto"/>
        </w:rPr>
      </w:pPr>
      <w:r>
        <w:rPr>
          <w:rFonts w:ascii="Arial" w:cs="Arial" w:eastAsia="Arial" w:hAnsi="Arial"/>
          <w:sz w:val="19"/>
          <w:szCs w:val="19"/>
          <w:b w:val="1"/>
          <w:bCs w:val="1"/>
          <w:i w:val="1"/>
          <w:iCs w:val="1"/>
          <w:color w:val="auto"/>
        </w:rPr>
        <w:t>We are in the early stages of clinical drug development and have a limited operating history and no products approved for commercial sale, which may make it difficult to evaluate our current business and predict our future success and viability.</w:t>
      </w:r>
    </w:p>
    <w:p>
      <w:pPr>
        <w:spacing w:after="0" w:line="70" w:lineRule="exact"/>
        <w:rPr>
          <w:sz w:val="20"/>
          <w:szCs w:val="20"/>
          <w:color w:val="auto"/>
        </w:rPr>
      </w:pPr>
    </w:p>
    <w:p>
      <w:pPr>
        <w:ind w:left="180" w:right="20" w:firstLine="465"/>
        <w:spacing w:after="0" w:line="269" w:lineRule="auto"/>
        <w:rPr>
          <w:sz w:val="20"/>
          <w:szCs w:val="20"/>
          <w:color w:val="auto"/>
        </w:rPr>
      </w:pPr>
      <w:r>
        <w:rPr>
          <w:rFonts w:ascii="Arial" w:cs="Arial" w:eastAsia="Arial" w:hAnsi="Arial"/>
          <w:sz w:val="18"/>
          <w:szCs w:val="18"/>
          <w:color w:val="auto"/>
        </w:rPr>
        <w:t>We are a clinical stage biopharmaceutical company with a limited operating history, focused initially on developing therapeutics for neurodegenerative diseases, including frontotemporal dementia (FTD), Alzheimer’s disease, and Parkinson’s disease. We commenced operations in May 2013. To date, we have only generated revenue from our collaboration arrangements and a government grant. We have no products approved for commercial sale and have not generated any revenue from product sales. Drug development is a highly uncertain undertaking and involves a substantial degree of risk. We have begun a Phase 1 clinical trial for our product candidate, AL001, which is targeting a subset of FTD patients who have a known genetic mutation (FTD-GRN) that causes a deficiency in progranulin (PGRN). We have also begun a Phase 1 clinical trial for our product candidate, AL002, which is targeting Alzheimer’s disease. To date, we have not initiated or completed a pivotal clinical trial, obtained marketing approval for any product candidates, manufactured a commercial scale product, or arranged for a third party to do so on our behalf, or conducted sales and marketing activities necessary for successful product commercialization. Our short operating history as a company makes any assessment of our future success and viability subject to significant uncertainty.</w:t>
      </w:r>
    </w:p>
    <w:p>
      <w:pPr>
        <w:spacing w:after="0" w:line="190" w:lineRule="exact"/>
        <w:rPr>
          <w:sz w:val="20"/>
          <w:szCs w:val="20"/>
          <w:color w:val="auto"/>
        </w:rPr>
      </w:pPr>
    </w:p>
    <w:p>
      <w:pPr>
        <w:ind w:left="180" w:right="220" w:firstLine="465"/>
        <w:spacing w:after="0" w:line="263" w:lineRule="auto"/>
        <w:rPr>
          <w:sz w:val="20"/>
          <w:szCs w:val="20"/>
          <w:color w:val="auto"/>
        </w:rPr>
      </w:pPr>
      <w:r>
        <w:rPr>
          <w:rFonts w:ascii="Arial" w:cs="Arial" w:eastAsia="Arial" w:hAnsi="Arial"/>
          <w:sz w:val="19"/>
          <w:szCs w:val="19"/>
          <w:color w:val="auto"/>
        </w:rPr>
        <w:t>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309" w:lineRule="exact"/>
        <w:rPr>
          <w:sz w:val="20"/>
          <w:szCs w:val="20"/>
          <w:color w:val="auto"/>
        </w:rPr>
      </w:pPr>
    </w:p>
    <w:p>
      <w:pPr>
        <w:ind w:left="180" w:right="60"/>
        <w:spacing w:after="0" w:line="275" w:lineRule="auto"/>
        <w:rPr>
          <w:sz w:val="20"/>
          <w:szCs w:val="20"/>
          <w:color w:val="auto"/>
        </w:rPr>
      </w:pPr>
      <w:r>
        <w:rPr>
          <w:rFonts w:ascii="Arial" w:cs="Arial" w:eastAsia="Arial" w:hAnsi="Arial"/>
          <w:sz w:val="19"/>
          <w:szCs w:val="19"/>
          <w:b w:val="1"/>
          <w:bCs w:val="1"/>
          <w:i w:val="1"/>
          <w:iCs w:val="1"/>
          <w:color w:val="auto"/>
        </w:rPr>
        <w:t>We have incurred significant net losses in each period since our inception and anticipate that we will continue to incur net losses for the foreseeable future.</w:t>
      </w:r>
    </w:p>
    <w:p>
      <w:pPr>
        <w:spacing w:after="0" w:line="70" w:lineRule="exact"/>
        <w:rPr>
          <w:sz w:val="20"/>
          <w:szCs w:val="20"/>
          <w:color w:val="auto"/>
        </w:rPr>
      </w:pPr>
    </w:p>
    <w:p>
      <w:pPr>
        <w:ind w:left="180" w:right="420" w:firstLine="465"/>
        <w:spacing w:after="0" w:line="263" w:lineRule="auto"/>
        <w:rPr>
          <w:sz w:val="20"/>
          <w:szCs w:val="20"/>
          <w:color w:val="auto"/>
        </w:rPr>
      </w:pPr>
      <w:r>
        <w:rPr>
          <w:rFonts w:ascii="Arial" w:cs="Arial" w:eastAsia="Arial" w:hAnsi="Arial"/>
          <w:sz w:val="19"/>
          <w:szCs w:val="19"/>
          <w:color w:val="auto"/>
        </w:rPr>
        <w:t>We have incurred net losses in each reporting period since our inception, including net losses of $15.1 million and $32.5 million for the years ended December 31, 2016 and 2017, respectively, and $22.7 million and $34.9 million for the nine months ended September 30, 2017 and 2018, respectively. As of September 30, 2018, we had an accumulated deficit of $97.1 million.</w:t>
      </w:r>
    </w:p>
    <w:p>
      <w:pPr>
        <w:spacing w:after="0" w:line="194" w:lineRule="exact"/>
        <w:rPr>
          <w:sz w:val="20"/>
          <w:szCs w:val="20"/>
          <w:color w:val="auto"/>
        </w:rPr>
      </w:pPr>
    </w:p>
    <w:p>
      <w:pPr>
        <w:ind w:left="180" w:right="180" w:firstLine="465"/>
        <w:spacing w:after="0" w:line="271" w:lineRule="auto"/>
        <w:rPr>
          <w:sz w:val="20"/>
          <w:szCs w:val="20"/>
          <w:color w:val="auto"/>
        </w:rPr>
      </w:pPr>
      <w:r>
        <w:rPr>
          <w:rFonts w:ascii="Arial" w:cs="Arial" w:eastAsia="Arial" w:hAnsi="Arial"/>
          <w:sz w:val="18"/>
          <w:szCs w:val="18"/>
          <w:color w:val="auto"/>
        </w:rPr>
        <w:t>We have invested significant financial resources in research and development activities, including for our preclinical and clinical product candidates. We do not expect to generate revenue from product sales for several years, if at all. The revenue we currently generate from our collaboration arrangement with AbbVie Biotechnology, Ltd. (AbbVie) is variable and limited in amount based on such arrangements. For our collaboration with AbbVie, we recognize collaboration revenue by measuring the progress towards complete satisfaction of the performance of obligation measured as the program costs are incurred. The amount of our future net losses will depend, in part, on the level of our future expenditures and revenue. Moreover, our net losses may fluctuate significantly from quarter to quarter and year to year, such that a period-to-period comparison of our results of operations may not be a good indication of our future performance.</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11</w:t>
      </w:r>
    </w:p>
    <w:p>
      <w:pPr>
        <w:sectPr>
          <w:pgSz w:w="12240" w:h="15840" w:orient="portrait"/>
          <w:cols w:equalWidth="0" w:num="1">
            <w:col w:w="11800"/>
          </w:cols>
          <w:pgMar w:left="120" w:top="336" w:right="320" w:bottom="1440" w:gutter="0" w:footer="0" w:header="0"/>
        </w:sectPr>
      </w:pPr>
    </w:p>
    <w:bookmarkStart w:id="19" w:name="page20"/>
    <w:bookmarkEnd w:id="1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40" w:firstLine="465"/>
        <w:spacing w:after="0" w:line="275" w:lineRule="auto"/>
        <w:rPr>
          <w:sz w:val="20"/>
          <w:szCs w:val="20"/>
          <w:color w:val="auto"/>
        </w:rPr>
      </w:pPr>
      <w:r>
        <w:rPr>
          <w:rFonts w:ascii="Arial" w:cs="Arial" w:eastAsia="Arial" w:hAnsi="Arial"/>
          <w:sz w:val="19"/>
          <w:szCs w:val="19"/>
          <w:color w:val="auto"/>
        </w:rPr>
        <w:t>We expect to continue to incur significant expenses and increasingly higher operating losses for the foreseeable future. We anticipate that our expenses will increase substantially if and as we:</w:t>
      </w:r>
    </w:p>
    <w:p>
      <w:pPr>
        <w:spacing w:after="0" w:line="84" w:lineRule="exact"/>
        <w:rPr>
          <w:sz w:val="20"/>
          <w:szCs w:val="20"/>
          <w:color w:val="auto"/>
        </w:rPr>
      </w:pPr>
    </w:p>
    <w:p>
      <w:pPr>
        <w:ind w:left="1100" w:hanging="350"/>
        <w:spacing w:after="0"/>
        <w:tabs>
          <w:tab w:leader="none" w:pos="11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continue our research and discovery activities;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advance our Discovery Platform, including our target, patient, and biomarker selections;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progress our current and any future product candidates through preclinical and clinical development;</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initiate and conduct additional preclinical, clinical, or other studies for our product candidates;</w:t>
      </w:r>
    </w:p>
    <w:p>
      <w:pPr>
        <w:spacing w:after="0" w:line="138" w:lineRule="exact"/>
        <w:rPr>
          <w:rFonts w:ascii="Arial" w:cs="Arial" w:eastAsia="Arial" w:hAnsi="Arial"/>
          <w:sz w:val="19"/>
          <w:szCs w:val="19"/>
          <w:color w:val="auto"/>
        </w:rPr>
      </w:pPr>
    </w:p>
    <w:p>
      <w:pPr>
        <w:ind w:left="1100" w:right="320" w:hanging="350"/>
        <w:spacing w:after="0" w:line="275" w:lineRule="auto"/>
        <w:tabs>
          <w:tab w:leader="none" w:pos="11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work with our contract development and manufacturing organizations (CDMOs) to scale up the manufacturing processes for our product candidates or, in the future, establish and operate a manufacturing facility;</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change or add additional contract manufacturers or suppliers;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seek regulatory approvals and marketing authorizations for our product candidates;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establish sales, marketing, and distribution infrastructure to commercialize any products for which we obtain approval;</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make milestone, royalty, or other payments due under any license or collaboration agreements;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take steps to seek protection of our intellectual property and defend our intellectual property against challenges from third parties;</w:t>
      </w:r>
    </w:p>
    <w:p>
      <w:pPr>
        <w:spacing w:after="0" w:line="149" w:lineRule="exact"/>
        <w:rPr>
          <w:rFonts w:ascii="Arial" w:cs="Arial" w:eastAsia="Arial" w:hAnsi="Arial"/>
          <w:sz w:val="18"/>
          <w:szCs w:val="18"/>
          <w:color w:val="auto"/>
        </w:rPr>
      </w:pPr>
    </w:p>
    <w:p>
      <w:pPr>
        <w:ind w:left="1100" w:hanging="350"/>
        <w:spacing w:after="0"/>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obtain, maintain, protect, and enforce our intellectual property portfolio, including intellectual property obtained through license agreements;</w:t>
      </w:r>
    </w:p>
    <w:p>
      <w:pPr>
        <w:spacing w:after="0" w:line="161" w:lineRule="exact"/>
        <w:rPr>
          <w:rFonts w:ascii="Arial" w:cs="Arial" w:eastAsia="Arial" w:hAnsi="Arial"/>
          <w:sz w:val="17"/>
          <w:szCs w:val="17"/>
          <w:color w:val="auto"/>
        </w:rPr>
      </w:pPr>
    </w:p>
    <w:p>
      <w:pPr>
        <w:ind w:left="1100" w:hanging="350"/>
        <w:spacing w:after="0"/>
        <w:tabs>
          <w:tab w:leader="none" w:pos="11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attract, hire, and retain qualified personnel;</w:t>
      </w:r>
    </w:p>
    <w:p>
      <w:pPr>
        <w:spacing w:after="0" w:line="138" w:lineRule="exact"/>
        <w:rPr>
          <w:rFonts w:ascii="Arial" w:cs="Arial" w:eastAsia="Arial" w:hAnsi="Arial"/>
          <w:sz w:val="19"/>
          <w:szCs w:val="19"/>
          <w:color w:val="auto"/>
        </w:rPr>
      </w:pPr>
    </w:p>
    <w:p>
      <w:pPr>
        <w:ind w:left="1100" w:right="100" w:hanging="350"/>
        <w:spacing w:after="0" w:line="275" w:lineRule="auto"/>
        <w:tabs>
          <w:tab w:leader="none" w:pos="11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provide additional internal infrastructure to support our continued research and development operations and any planned commercialization efforts in the future;</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experience any delays or encounter other issues related to our operations;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meet the requirements and demands of being a public company; and</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defend against any product liability claims or other lawsuits related to our products.</w:t>
      </w:r>
    </w:p>
    <w:p>
      <w:pPr>
        <w:spacing w:after="0" w:line="238" w:lineRule="exact"/>
        <w:rPr>
          <w:sz w:val="20"/>
          <w:szCs w:val="20"/>
          <w:color w:val="auto"/>
        </w:rPr>
      </w:pPr>
    </w:p>
    <w:p>
      <w:pPr>
        <w:ind w:left="180" w:right="140" w:firstLine="465"/>
        <w:spacing w:after="0" w:line="263" w:lineRule="auto"/>
        <w:rPr>
          <w:sz w:val="20"/>
          <w:szCs w:val="20"/>
          <w:color w:val="auto"/>
        </w:rPr>
      </w:pPr>
      <w:r>
        <w:rPr>
          <w:rFonts w:ascii="Arial" w:cs="Arial" w:eastAsia="Arial" w:hAnsi="Arial"/>
          <w:sz w:val="19"/>
          <w:szCs w:val="19"/>
          <w:color w:val="auto"/>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Drug development is a highly uncertain undertaking and involves a substantial degree of risk.</w:t>
      </w:r>
    </w:p>
    <w:p>
      <w:pPr>
        <w:spacing w:after="0" w:line="124" w:lineRule="exact"/>
        <w:rPr>
          <w:sz w:val="20"/>
          <w:szCs w:val="20"/>
          <w:color w:val="auto"/>
        </w:rPr>
      </w:pPr>
    </w:p>
    <w:p>
      <w:pPr>
        <w:ind w:left="180" w:right="60" w:firstLine="465"/>
        <w:spacing w:after="0" w:line="308" w:lineRule="auto"/>
        <w:rPr>
          <w:sz w:val="20"/>
          <w:szCs w:val="20"/>
          <w:color w:val="auto"/>
        </w:rPr>
      </w:pPr>
      <w:r>
        <w:rPr>
          <w:rFonts w:ascii="Arial" w:cs="Arial" w:eastAsia="Arial" w:hAnsi="Arial"/>
          <w:sz w:val="17"/>
          <w:szCs w:val="17"/>
          <w:color w:val="auto"/>
        </w:rPr>
        <w:t>We have no products approved for commercial sale. To obtain revenues from the sales of our product candidates that are significant or large enough to achieve profitability, we must succeed, either alone or with third parties, in developing, obtaining regulatory approval for, manufacturing, and marketing therapies with significant commercial success. Our ability to generate revenue and achieve profitability depends on many factors, including:</w:t>
      </w:r>
    </w:p>
    <w:p>
      <w:pPr>
        <w:spacing w:after="0" w:line="60" w:lineRule="exact"/>
        <w:rPr>
          <w:sz w:val="20"/>
          <w:szCs w:val="20"/>
          <w:color w:val="auto"/>
        </w:rPr>
      </w:pPr>
    </w:p>
    <w:p>
      <w:pPr>
        <w:ind w:left="1100" w:hanging="350"/>
        <w:spacing w:after="0"/>
        <w:tabs>
          <w:tab w:leader="none" w:pos="11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completing research and preclinical and clinical development of our product candidates;</w:t>
      </w:r>
    </w:p>
    <w:p>
      <w:pPr>
        <w:spacing w:after="0" w:line="138" w:lineRule="exact"/>
        <w:rPr>
          <w:rFonts w:ascii="Arial" w:cs="Arial" w:eastAsia="Arial" w:hAnsi="Arial"/>
          <w:sz w:val="19"/>
          <w:szCs w:val="19"/>
          <w:color w:val="auto"/>
        </w:rPr>
      </w:pPr>
    </w:p>
    <w:p>
      <w:pPr>
        <w:ind w:left="1100" w:right="1000" w:hanging="350"/>
        <w:spacing w:after="0" w:line="275" w:lineRule="auto"/>
        <w:tabs>
          <w:tab w:leader="none" w:pos="11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obtaining regulatory approvals and marketing authorizations for product candidates for which we successfully complete clinical development and clinical trials;</w:t>
      </w:r>
    </w:p>
    <w:p>
      <w:pPr>
        <w:spacing w:after="0" w:line="84" w:lineRule="exact"/>
        <w:rPr>
          <w:rFonts w:ascii="Arial" w:cs="Arial" w:eastAsia="Arial" w:hAnsi="Arial"/>
          <w:sz w:val="19"/>
          <w:szCs w:val="19"/>
          <w:color w:val="auto"/>
        </w:rPr>
      </w:pPr>
    </w:p>
    <w:p>
      <w:pPr>
        <w:ind w:left="1100" w:right="100" w:hanging="350"/>
        <w:spacing w:after="0" w:line="263" w:lineRule="auto"/>
        <w:tabs>
          <w:tab w:leader="none" w:pos="11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commercial demand of our product candidates;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12</w:t>
      </w:r>
    </w:p>
    <w:p>
      <w:pPr>
        <w:sectPr>
          <w:pgSz w:w="12240" w:h="15840" w:orient="portrait"/>
          <w:cols w:equalWidth="0" w:num="1">
            <w:col w:w="11820"/>
          </w:cols>
          <w:pgMar w:left="120" w:top="336" w:right="300" w:bottom="1440" w:gutter="0" w:footer="0" w:header="0"/>
        </w:sectPr>
      </w:pPr>
    </w:p>
    <w:bookmarkStart w:id="20" w:name="page21"/>
    <w:bookmarkEnd w:id="2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hanging="350"/>
        <w:spacing w:after="0"/>
        <w:tabs>
          <w:tab w:leader="none" w:pos="11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identifying, assessing, acquiring, and/or developing new product candidates;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negotiating favorable terms in any collaboration, licensing, or other arrangements into which we may enter;</w:t>
      </w:r>
    </w:p>
    <w:p>
      <w:pPr>
        <w:spacing w:after="0" w:line="138" w:lineRule="exact"/>
        <w:rPr>
          <w:rFonts w:ascii="Arial" w:cs="Arial" w:eastAsia="Arial" w:hAnsi="Arial"/>
          <w:sz w:val="19"/>
          <w:szCs w:val="19"/>
          <w:color w:val="auto"/>
        </w:rPr>
      </w:pPr>
    </w:p>
    <w:p>
      <w:pPr>
        <w:ind w:left="1100" w:right="840" w:hanging="350"/>
        <w:spacing w:after="0" w:line="336" w:lineRule="auto"/>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37" w:lineRule="exact"/>
        <w:rPr>
          <w:rFonts w:ascii="Arial" w:cs="Arial" w:eastAsia="Arial" w:hAnsi="Arial"/>
          <w:sz w:val="17"/>
          <w:szCs w:val="17"/>
          <w:color w:val="auto"/>
        </w:rPr>
      </w:pPr>
    </w:p>
    <w:p>
      <w:pPr>
        <w:ind w:left="1100" w:right="640" w:hanging="350"/>
        <w:spacing w:after="0" w:line="275" w:lineRule="auto"/>
        <w:tabs>
          <w:tab w:leader="none" w:pos="11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obtaining and maintaining an adequate price for our product candidates, both in the United States and in foreign countries where our products are commercialized;</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obtaining adequate reimbursement for our product candidates from payors;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obtaining market acceptance of our product candidates as viable treatment options;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addressing any competing technological and market developments;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receiving milestones and other payments under our current and any future collaboration arrangements;</w:t>
      </w:r>
    </w:p>
    <w:p>
      <w:pPr>
        <w:spacing w:after="0" w:line="138" w:lineRule="exact"/>
        <w:rPr>
          <w:rFonts w:ascii="Arial" w:cs="Arial" w:eastAsia="Arial" w:hAnsi="Arial"/>
          <w:sz w:val="19"/>
          <w:szCs w:val="19"/>
          <w:color w:val="auto"/>
        </w:rPr>
      </w:pPr>
    </w:p>
    <w:p>
      <w:pPr>
        <w:ind w:left="1100" w:right="820" w:hanging="350"/>
        <w:spacing w:after="0" w:line="275" w:lineRule="auto"/>
        <w:tabs>
          <w:tab w:leader="none" w:pos="11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maintaining, protecting, expanding, and enforcing our portfolio of intellectual property rights, including patents, trade secrets, and know-how; and</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attracting, hiring, and retaining qualified personnel.</w:t>
      </w:r>
    </w:p>
    <w:p>
      <w:pPr>
        <w:spacing w:after="0" w:line="238" w:lineRule="exact"/>
        <w:rPr>
          <w:sz w:val="20"/>
          <w:szCs w:val="20"/>
          <w:color w:val="auto"/>
        </w:rPr>
      </w:pPr>
    </w:p>
    <w:p>
      <w:pPr>
        <w:ind w:left="180" w:firstLine="465"/>
        <w:spacing w:after="0" w:line="272"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U.S. Food and Drug Administration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launching and commercializing any approved product candidate and ongoing compliance efforts.</w:t>
      </w:r>
    </w:p>
    <w:p>
      <w:pPr>
        <w:spacing w:after="0" w:line="304" w:lineRule="exact"/>
        <w:rPr>
          <w:sz w:val="20"/>
          <w:szCs w:val="20"/>
          <w:color w:val="auto"/>
        </w:rPr>
      </w:pPr>
    </w:p>
    <w:p>
      <w:pPr>
        <w:ind w:left="180" w:right="320"/>
        <w:spacing w:after="0" w:line="263" w:lineRule="auto"/>
        <w:rPr>
          <w:sz w:val="20"/>
          <w:szCs w:val="20"/>
          <w:color w:val="auto"/>
        </w:rPr>
      </w:pPr>
      <w:r>
        <w:rPr>
          <w:rFonts w:ascii="Arial" w:cs="Arial" w:eastAsia="Arial" w:hAnsi="Arial"/>
          <w:sz w:val="19"/>
          <w:szCs w:val="19"/>
          <w:b w:val="1"/>
          <w:bCs w:val="1"/>
          <w:i w:val="1"/>
          <w:iCs w:val="1"/>
          <w:color w:val="auto"/>
        </w:rPr>
        <w:t>We will need to obtain substantial additional financing to complete the development and any commercialization of our product candidates, and a failure to obtain this necessary capital when needed on acceptable terms, or at all, could force us to delay, limit, reduce, or terminate our commercialization efforts, product development, or other operations.</w:t>
      </w:r>
    </w:p>
    <w:p>
      <w:pPr>
        <w:spacing w:after="0" w:line="80" w:lineRule="exact"/>
        <w:rPr>
          <w:sz w:val="20"/>
          <w:szCs w:val="20"/>
          <w:color w:val="auto"/>
        </w:rPr>
      </w:pPr>
    </w:p>
    <w:p>
      <w:pPr>
        <w:ind w:left="180" w:right="80" w:firstLine="465"/>
        <w:spacing w:after="0" w:line="274" w:lineRule="auto"/>
        <w:rPr>
          <w:sz w:val="20"/>
          <w:szCs w:val="20"/>
          <w:color w:val="auto"/>
        </w:rPr>
      </w:pPr>
      <w:r>
        <w:rPr>
          <w:rFonts w:ascii="Arial" w:cs="Arial" w:eastAsia="Arial" w:hAnsi="Arial"/>
          <w:sz w:val="18"/>
          <w:szCs w:val="18"/>
          <w:color w:val="auto"/>
        </w:rPr>
        <w:t>Our operations have required substantial amounts of cash since inception, and we expect our expenses to increase significantly in the foreseeable future. To date, we have financed our operations primarily through the sale of equity securities and through our government grant and upfront payments received in connection with our collaboration arrangement with AbbVie. Developing our product candidates and conducting clinical trials for the treatment of neurodegenerative diseases, including FTD, Alzheimer’s disease, and Parkinson’s disease, will require substantial amounts of capital. We will also require a significant amount of capital to commercialize any approved products.</w:t>
      </w:r>
    </w:p>
    <w:p>
      <w:pPr>
        <w:spacing w:after="0" w:line="188" w:lineRule="exact"/>
        <w:rPr>
          <w:sz w:val="20"/>
          <w:szCs w:val="20"/>
          <w:color w:val="auto"/>
        </w:rPr>
      </w:pPr>
    </w:p>
    <w:p>
      <w:pPr>
        <w:ind w:left="180" w:right="260" w:firstLine="465"/>
        <w:spacing w:after="0" w:line="288" w:lineRule="auto"/>
        <w:rPr>
          <w:sz w:val="20"/>
          <w:szCs w:val="20"/>
          <w:color w:val="auto"/>
        </w:rPr>
      </w:pPr>
      <w:r>
        <w:rPr>
          <w:rFonts w:ascii="Arial" w:cs="Arial" w:eastAsia="Arial" w:hAnsi="Arial"/>
          <w:sz w:val="17"/>
          <w:szCs w:val="17"/>
          <w:color w:val="auto"/>
        </w:rPr>
        <w:t>As of September 30, 2018, we had cash, cash equivalents, and marketable securities of $308.7 million. Based on our current operating plan, we believe that our existing cash, cash equivalents, and marketable securities will be sufficient to fund our projected operations through at least the next</w:t>
      </w:r>
    </w:p>
    <w:p>
      <w:pPr>
        <w:ind w:left="180"/>
        <w:spacing w:after="0" w:line="253" w:lineRule="auto"/>
        <w:rPr>
          <w:sz w:val="20"/>
          <w:szCs w:val="20"/>
          <w:color w:val="auto"/>
        </w:rPr>
      </w:pPr>
      <w:r>
        <w:rPr>
          <w:rFonts w:ascii="Arial" w:cs="Arial" w:eastAsia="Arial" w:hAnsi="Arial"/>
          <w:sz w:val="19"/>
          <w:szCs w:val="19"/>
          <w:color w:val="auto"/>
        </w:rPr>
        <w:t>12 months. Our estimate as to how long we expect our existing cash, cash equivalents, and marketable securities to be available to fund our operations is based on assumptions that may be proved inaccurate, and we could use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13</w:t>
      </w:r>
    </w:p>
    <w:p>
      <w:pPr>
        <w:sectPr>
          <w:pgSz w:w="12240" w:h="15840" w:orient="portrait"/>
          <w:cols w:equalWidth="0" w:num="1">
            <w:col w:w="11800"/>
          </w:cols>
          <w:pgMar w:left="120" w:top="336" w:right="320" w:bottom="1440" w:gutter="0" w:footer="0" w:header="0"/>
        </w:sectPr>
      </w:pPr>
    </w:p>
    <w:bookmarkStart w:id="21" w:name="page22"/>
    <w:bookmarkEnd w:id="2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0" w:firstLine="465"/>
        <w:spacing w:after="0" w:line="255" w:lineRule="auto"/>
        <w:rPr>
          <w:sz w:val="20"/>
          <w:szCs w:val="20"/>
          <w:color w:val="auto"/>
        </w:rPr>
      </w:pPr>
      <w:r>
        <w:rPr>
          <w:rFonts w:ascii="Arial" w:cs="Arial" w:eastAsia="Arial" w:hAnsi="Arial"/>
          <w:sz w:val="19"/>
          <w:szCs w:val="19"/>
          <w:color w:val="auto"/>
        </w:rPr>
        <w:t>We will require additional capital for the further development and, if approved, commercialization of our product candidates. Additional capital may not be available when we need it, on terms acceptable to us or at all. We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results of operations, and growth prospects and cause the price of our common stock to decline.</w:t>
      </w:r>
    </w:p>
    <w:p>
      <w:pPr>
        <w:spacing w:after="0" w:line="204" w:lineRule="exact"/>
        <w:rPr>
          <w:sz w:val="20"/>
          <w:szCs w:val="20"/>
          <w:color w:val="auto"/>
        </w:rPr>
      </w:pPr>
    </w:p>
    <w:p>
      <w:pPr>
        <w:ind w:left="180" w:firstLine="465"/>
        <w:spacing w:after="0" w:line="272"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the ownership interest of our stockholders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pharmaceutical partners, we may have to relinquish valuable rights to our technologies, future revenue streams, research programs, or product candidates, or grant licenses on terms that may not be favorable to us.</w:t>
      </w:r>
    </w:p>
    <w:p>
      <w:pPr>
        <w:spacing w:after="0" w:line="304" w:lineRule="exact"/>
        <w:rPr>
          <w:sz w:val="20"/>
          <w:szCs w:val="20"/>
          <w:color w:val="auto"/>
        </w:rPr>
      </w:pPr>
    </w:p>
    <w:p>
      <w:pPr>
        <w:ind w:left="180" w:right="120"/>
        <w:spacing w:after="0" w:line="335" w:lineRule="auto"/>
        <w:rPr>
          <w:sz w:val="20"/>
          <w:szCs w:val="20"/>
          <w:color w:val="auto"/>
        </w:rPr>
      </w:pPr>
      <w:r>
        <w:rPr>
          <w:rFonts w:ascii="Arial" w:cs="Arial" w:eastAsia="Arial" w:hAnsi="Arial"/>
          <w:sz w:val="16"/>
          <w:szCs w:val="16"/>
          <w:b w:val="1"/>
          <w:bCs w:val="1"/>
          <w:i w:val="1"/>
          <w:iCs w:val="1"/>
          <w:color w:val="auto"/>
        </w:rPr>
        <w:t>Due to the significant resources required for the development of our programs, and depending on our ability to access capital, we must prioritize development of certain product candidates. Moreover, we may expend our limited resources on programs that do not yield a successful product candidate or fail to capitalize on product candidates or indications that may be more profitable or for which there is a greater likelihood of success.</w:t>
      </w:r>
    </w:p>
    <w:p>
      <w:pPr>
        <w:spacing w:after="0" w:line="28" w:lineRule="exact"/>
        <w:rPr>
          <w:sz w:val="20"/>
          <w:szCs w:val="20"/>
          <w:color w:val="auto"/>
        </w:rPr>
      </w:pPr>
    </w:p>
    <w:p>
      <w:pPr>
        <w:ind w:left="180" w:firstLine="465"/>
        <w:spacing w:after="0" w:line="283" w:lineRule="auto"/>
        <w:rPr>
          <w:sz w:val="20"/>
          <w:szCs w:val="20"/>
          <w:color w:val="auto"/>
        </w:rPr>
      </w:pPr>
      <w:r>
        <w:rPr>
          <w:rFonts w:ascii="Arial" w:cs="Arial" w:eastAsia="Arial" w:hAnsi="Arial"/>
          <w:sz w:val="17"/>
          <w:szCs w:val="17"/>
          <w:color w:val="auto"/>
        </w:rPr>
        <w:t>To date, we have identified over forty immune system targets. In the last five years, we have progressed over ten programs into preclinical research. By the end of 2019, we expect to have four product candidates in clinical trials. Together, the development of these programs and product candidates require significant capital investment. Due to the significant resources required for the development of our programs and product candidates, we must focus our programs and product candidates on specific diseases and disease pathways and decide which product candidates to pursue and advance and the amount of resources to allocate to each. Our drug development strategy is to clinically test and seek regulatory approval for our product candidates in indications in which we believe there is the most evidence that we will be able to quickly generate proof-of-concept data. We then intend to expand to clinical testing and seek regulatory approvals in other neurodegenerative indications based on genetic and mechanistic overlap with the primary indication. However, even if our product candidates are able to gain regulatory approval in one indication, there is no guarantee that we will be able to expand to other indications, and we may expend significant resources in seeking such approvals. In addition, we may focus resources on pursuing indications outside of neurodegeneration based on the same genetic and mechanistic rationale we utilize in determining on which of our discovery programs to focus.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programs may subsequently also prove to be suboptimal and could cause us to miss valuable opportunities. If we make incorrect determinations regarding the viability or market potential of any of our programs or product candidates or misread trends in the biopharmaceutical industry, in particular for neurodegenerative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14</w:t>
      </w:r>
    </w:p>
    <w:p>
      <w:pPr>
        <w:sectPr>
          <w:pgSz w:w="12240" w:h="15840" w:orient="portrait"/>
          <w:cols w:equalWidth="0" w:num="1">
            <w:col w:w="11800"/>
          </w:cols>
          <w:pgMar w:left="120" w:top="336" w:right="320" w:bottom="1440" w:gutter="0" w:footer="0" w:header="0"/>
        </w:sectPr>
      </w:pPr>
    </w:p>
    <w:bookmarkStart w:id="22" w:name="page23"/>
    <w:bookmarkEnd w:id="2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Risks Related to the Discovery, Development, and Commercialization of Our Product Candidates</w:t>
      </w:r>
    </w:p>
    <w:p>
      <w:pPr>
        <w:spacing w:after="0" w:line="130" w:lineRule="exact"/>
        <w:rPr>
          <w:sz w:val="20"/>
          <w:szCs w:val="20"/>
          <w:color w:val="auto"/>
        </w:rPr>
      </w:pPr>
    </w:p>
    <w:p>
      <w:pPr>
        <w:ind w:left="180"/>
        <w:spacing w:after="0" w:line="335" w:lineRule="auto"/>
        <w:rPr>
          <w:sz w:val="20"/>
          <w:szCs w:val="20"/>
          <w:color w:val="auto"/>
        </w:rPr>
      </w:pPr>
      <w:r>
        <w:rPr>
          <w:rFonts w:ascii="Arial" w:cs="Arial" w:eastAsia="Arial" w:hAnsi="Arial"/>
          <w:sz w:val="16"/>
          <w:szCs w:val="16"/>
          <w:b w:val="1"/>
          <w:bCs w:val="1"/>
          <w:i w:val="1"/>
          <w:iCs w:val="1"/>
          <w:color w:val="auto"/>
        </w:rPr>
        <w:t>Research and development of biopharmaceutical products is inherently risky. Our business is heavily dependent on the successful development of our product candidates, which are in the early stages of preclinical and clinical development. We cannot give any assurance that any of our product candidates will receive regulatory, including marketing, approval, which is necessary before they can be commercialized.</w:t>
      </w:r>
    </w:p>
    <w:p>
      <w:pPr>
        <w:spacing w:after="0" w:line="28" w:lineRule="exact"/>
        <w:rPr>
          <w:sz w:val="20"/>
          <w:szCs w:val="20"/>
          <w:color w:val="auto"/>
        </w:rPr>
      </w:pPr>
    </w:p>
    <w:p>
      <w:pPr>
        <w:ind w:left="180" w:right="140" w:firstLine="465"/>
        <w:spacing w:after="0" w:line="274" w:lineRule="auto"/>
        <w:rPr>
          <w:sz w:val="20"/>
          <w:szCs w:val="20"/>
          <w:color w:val="auto"/>
        </w:rPr>
      </w:pPr>
      <w:r>
        <w:rPr>
          <w:rFonts w:ascii="Arial" w:cs="Arial" w:eastAsia="Arial" w:hAnsi="Arial"/>
          <w:sz w:val="18"/>
          <w:szCs w:val="18"/>
          <w:color w:val="auto"/>
        </w:rPr>
        <w:t>We are at the early stages of development of the product candidates currently in our programs. To date, we have invested substantially all of our efforts and financial resources to identify, procure intellectual property for, and develop our programs, including conducting preclinical studies and clinical trials in our programs for our product candidates, AL001, AL002, AL003, and AL101, and providing general and administrative support for these operations. Our future success is dependent on our ability to successfully develop, obtain regulatory approval for, and then successfully commercialize our product candidates, and we may fail to do so for many reasons, including the following:</w:t>
      </w:r>
    </w:p>
    <w:p>
      <w:pPr>
        <w:spacing w:after="0" w:line="88" w:lineRule="exact"/>
        <w:rPr>
          <w:sz w:val="20"/>
          <w:szCs w:val="20"/>
          <w:color w:val="auto"/>
        </w:rPr>
      </w:pPr>
    </w:p>
    <w:p>
      <w:pPr>
        <w:ind w:left="1100" w:hanging="350"/>
        <w:spacing w:after="0"/>
        <w:tabs>
          <w:tab w:leader="none" w:pos="11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our product candidates may not successfully complete preclinical studies or clinical trials;</w:t>
      </w:r>
    </w:p>
    <w:p>
      <w:pPr>
        <w:spacing w:after="0" w:line="138" w:lineRule="exact"/>
        <w:rPr>
          <w:rFonts w:ascii="Arial" w:cs="Arial" w:eastAsia="Arial" w:hAnsi="Arial"/>
          <w:sz w:val="19"/>
          <w:szCs w:val="19"/>
          <w:color w:val="auto"/>
        </w:rPr>
      </w:pPr>
    </w:p>
    <w:p>
      <w:pPr>
        <w:ind w:left="1100" w:right="400" w:hanging="350"/>
        <w:spacing w:after="0" w:line="275" w:lineRule="auto"/>
        <w:tabs>
          <w:tab w:leader="none" w:pos="11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 product candidate may on further study be shown to have harmful side effects or other characteristics that indicate it is unlikely to be effective or otherwise does not meet applicable regulatory criteria;</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our competitors may develop therapeutics that render our product candidates obsolete or less attractive;</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product candidates that we develop may not be sufficiently covered by intellectual property for which we hold exclusive rights;</w:t>
      </w:r>
    </w:p>
    <w:p>
      <w:pPr>
        <w:spacing w:after="0" w:line="149" w:lineRule="exact"/>
        <w:rPr>
          <w:rFonts w:ascii="Arial" w:cs="Arial" w:eastAsia="Arial" w:hAnsi="Arial"/>
          <w:sz w:val="18"/>
          <w:szCs w:val="18"/>
          <w:color w:val="auto"/>
        </w:rPr>
      </w:pPr>
    </w:p>
    <w:p>
      <w:pPr>
        <w:ind w:left="1100" w:hanging="350"/>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product candidates that we develop may be covered by third parties’ patents or other intellectual property or exclusive rights;</w:t>
      </w:r>
    </w:p>
    <w:p>
      <w:pPr>
        <w:spacing w:after="0" w:line="149" w:lineRule="exact"/>
        <w:rPr>
          <w:rFonts w:ascii="Arial" w:cs="Arial" w:eastAsia="Arial" w:hAnsi="Arial"/>
          <w:sz w:val="18"/>
          <w:szCs w:val="18"/>
          <w:color w:val="auto"/>
        </w:rPr>
      </w:pPr>
    </w:p>
    <w:p>
      <w:pPr>
        <w:ind w:left="1100" w:right="440" w:hanging="350"/>
        <w:spacing w:after="0" w:line="275" w:lineRule="auto"/>
        <w:tabs>
          <w:tab w:leader="none" w:pos="11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market for a product candidate may change so that the continued development of that product candidate is no longer reasonable or commercially attractive;</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 product candidate may not be capable of being produced in commercial quantities at an acceptable cost, or at all;</w:t>
      </w:r>
    </w:p>
    <w:p>
      <w:pPr>
        <w:spacing w:after="0" w:line="138" w:lineRule="exact"/>
        <w:rPr>
          <w:rFonts w:ascii="Arial" w:cs="Arial" w:eastAsia="Arial" w:hAnsi="Arial"/>
          <w:sz w:val="19"/>
          <w:szCs w:val="19"/>
          <w:color w:val="auto"/>
        </w:rPr>
      </w:pPr>
    </w:p>
    <w:p>
      <w:pPr>
        <w:ind w:left="1100" w:right="180" w:hanging="350"/>
        <w:spacing w:after="0" w:line="275" w:lineRule="auto"/>
        <w:tabs>
          <w:tab w:leader="none" w:pos="11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if a product candidate obtains regulatory approval, we may be unable to establish sales and marketing capabilities, or successfully market such approved product candidate, to gain market acceptance; and</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patients, the medical community or third-party payors, if applicable.</w:t>
      </w:r>
    </w:p>
    <w:p>
      <w:pPr>
        <w:spacing w:after="0" w:line="261" w:lineRule="exact"/>
        <w:rPr>
          <w:sz w:val="20"/>
          <w:szCs w:val="20"/>
          <w:color w:val="auto"/>
        </w:rPr>
      </w:pPr>
    </w:p>
    <w:p>
      <w:pPr>
        <w:ind w:left="180" w:right="420" w:firstLine="465"/>
        <w:spacing w:after="0" w:line="275" w:lineRule="auto"/>
        <w:rPr>
          <w:sz w:val="20"/>
          <w:szCs w:val="20"/>
          <w:color w:val="auto"/>
        </w:rPr>
      </w:pPr>
      <w:r>
        <w:rPr>
          <w:rFonts w:ascii="Arial" w:cs="Arial" w:eastAsia="Arial" w:hAnsi="Arial"/>
          <w:sz w:val="19"/>
          <w:szCs w:val="19"/>
          <w:color w:val="auto"/>
        </w:rPr>
        <w:t>If any of these events occur, we may be forced to abandon our development efforts for a program or programs, which would have a material adverse effect on our business and could potentially cause us to cease operations.</w:t>
      </w:r>
    </w:p>
    <w:p>
      <w:pPr>
        <w:spacing w:after="0" w:line="184" w:lineRule="exact"/>
        <w:rPr>
          <w:sz w:val="20"/>
          <w:szCs w:val="20"/>
          <w:color w:val="auto"/>
        </w:rPr>
      </w:pPr>
    </w:p>
    <w:p>
      <w:pPr>
        <w:jc w:val="both"/>
        <w:ind w:left="180" w:firstLine="465"/>
        <w:spacing w:after="0" w:line="294" w:lineRule="auto"/>
        <w:rPr>
          <w:sz w:val="20"/>
          <w:szCs w:val="20"/>
          <w:color w:val="auto"/>
        </w:rPr>
      </w:pPr>
      <w:r>
        <w:rPr>
          <w:rFonts w:ascii="Arial" w:cs="Arial" w:eastAsia="Arial" w:hAnsi="Arial"/>
          <w:sz w:val="17"/>
          <w:szCs w:val="17"/>
          <w:color w:val="auto"/>
        </w:rPr>
        <w:t>We may not be successful in our efforts to further develop our current product candidates.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the early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w:t>
      </w:r>
    </w:p>
    <w:p>
      <w:pPr>
        <w:spacing w:after="0" w:line="172" w:lineRule="exact"/>
        <w:rPr>
          <w:sz w:val="20"/>
          <w:szCs w:val="20"/>
          <w:color w:val="auto"/>
        </w:rPr>
      </w:pPr>
    </w:p>
    <w:p>
      <w:pPr>
        <w:ind w:left="180" w:right="180" w:firstLine="465"/>
        <w:spacing w:after="0" w:line="259" w:lineRule="auto"/>
        <w:rPr>
          <w:sz w:val="20"/>
          <w:szCs w:val="20"/>
          <w:color w:val="auto"/>
        </w:rPr>
      </w:pPr>
      <w:r>
        <w:rPr>
          <w:rFonts w:ascii="Arial" w:cs="Arial" w:eastAsia="Arial" w:hAnsi="Arial"/>
          <w:sz w:val="19"/>
          <w:szCs w:val="19"/>
          <w:color w:val="auto"/>
        </w:rPr>
        <w:t>We have never completed a clinical development program. We currently have two product candidates, AL001 and AL002, in Phase 1 clinical trials. None of our product candidates have advanced into late-stage development or a pivotal clinical trial and it may be years before any such trial is initiated, if at all. Further, we cannot be certain that any of our product candidates will be successful in clinical trials. We may in the future advance product candidates into clinical trials and terminate such trials prior to their completion.</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15</w:t>
      </w:r>
    </w:p>
    <w:p>
      <w:pPr>
        <w:sectPr>
          <w:pgSz w:w="12240" w:h="15840" w:orient="portrait"/>
          <w:cols w:equalWidth="0" w:num="1">
            <w:col w:w="11720"/>
          </w:cols>
          <w:pgMar w:left="120" w:top="336" w:right="400" w:bottom="1440" w:gutter="0" w:footer="0" w:header="0"/>
        </w:sectPr>
      </w:pPr>
    </w:p>
    <w:bookmarkStart w:id="23" w:name="page24"/>
    <w:bookmarkEnd w:id="2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85" w:lineRule="auto"/>
        <w:rPr>
          <w:sz w:val="20"/>
          <w:szCs w:val="20"/>
          <w:color w:val="auto"/>
        </w:rPr>
      </w:pPr>
      <w:r>
        <w:rPr>
          <w:rFonts w:ascii="Arial" w:cs="Arial" w:eastAsia="Arial" w:hAnsi="Arial"/>
          <w:sz w:val="17"/>
          <w:szCs w:val="17"/>
          <w:color w:val="auto"/>
        </w:rPr>
        <w:t>If any of our product candidates successfully complete clinical trials, we generally plan to seek regulatory approval to market our product candidates in the United States, the European Union,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For example, for our AL002 and AL003 product candidates, our collaboration arrangement with AbbVie provides that we are responsible for the execution of the Phase 1 and Phase 2 studies. We cannot be sure that our collaborators or partners will conduct these activities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business, financial condition, results of operations, and our growth prospects could be negatively affected.</w:t>
      </w:r>
    </w:p>
    <w:p>
      <w:pPr>
        <w:spacing w:after="0" w:line="181" w:lineRule="exact"/>
        <w:rPr>
          <w:sz w:val="20"/>
          <w:szCs w:val="20"/>
          <w:color w:val="auto"/>
        </w:rPr>
      </w:pPr>
    </w:p>
    <w:p>
      <w:pPr>
        <w:ind w:left="180" w:right="120" w:firstLine="465"/>
        <w:spacing w:after="0" w:line="263" w:lineRule="auto"/>
        <w:rPr>
          <w:sz w:val="20"/>
          <w:szCs w:val="20"/>
          <w:color w:val="auto"/>
        </w:rPr>
      </w:pPr>
      <w:r>
        <w:rPr>
          <w:rFonts w:ascii="Arial" w:cs="Arial" w:eastAsia="Arial" w:hAnsi="Arial"/>
          <w:sz w:val="19"/>
          <w:szCs w:val="19"/>
          <w:color w:val="auto"/>
        </w:rPr>
        <w:t>Even if we receive regulatory approval to market any of our product candidates, whether for the treatment of neurodegenerative diseases or other diseases, we cannot assure you that any such product candidate will be successfully commercialized, widely accepted in the marketplace or more effective than other commercially available alternatives.</w:t>
      </w:r>
    </w:p>
    <w:p>
      <w:pPr>
        <w:spacing w:after="0" w:line="194" w:lineRule="exact"/>
        <w:rPr>
          <w:sz w:val="20"/>
          <w:szCs w:val="20"/>
          <w:color w:val="auto"/>
        </w:rPr>
      </w:pPr>
    </w:p>
    <w:p>
      <w:pPr>
        <w:ind w:left="180" w:right="300" w:firstLine="465"/>
        <w:spacing w:after="0" w:line="259" w:lineRule="auto"/>
        <w:rPr>
          <w:sz w:val="20"/>
          <w:szCs w:val="20"/>
          <w:color w:val="auto"/>
        </w:rPr>
      </w:pPr>
      <w:r>
        <w:rPr>
          <w:rFonts w:ascii="Arial" w:cs="Arial" w:eastAsia="Arial" w:hAnsi="Arial"/>
          <w:sz w:val="19"/>
          <w:szCs w:val="19"/>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312" w:lineRule="exact"/>
        <w:rPr>
          <w:sz w:val="20"/>
          <w:szCs w:val="20"/>
          <w:color w:val="auto"/>
        </w:rPr>
      </w:pPr>
    </w:p>
    <w:p>
      <w:pPr>
        <w:ind w:left="180" w:right="420"/>
        <w:spacing w:after="0" w:line="263" w:lineRule="auto"/>
        <w:rPr>
          <w:sz w:val="20"/>
          <w:szCs w:val="20"/>
          <w:color w:val="auto"/>
        </w:rPr>
      </w:pPr>
      <w:r>
        <w:rPr>
          <w:rFonts w:ascii="Arial" w:cs="Arial" w:eastAsia="Arial" w:hAnsi="Arial"/>
          <w:sz w:val="19"/>
          <w:szCs w:val="19"/>
          <w:b w:val="1"/>
          <w:bCs w:val="1"/>
          <w:i w:val="1"/>
          <w:iCs w:val="1"/>
          <w:color w:val="auto"/>
        </w:rPr>
        <w:t>We may not be successful in our efforts to continue to create a pipeline of product candidates from our Discovery Platform or to develop commercially successful products. If we fail to successfully identify and develop additional product candidates from our Discover Platform, our commercial opportunity may be limited.</w:t>
      </w:r>
    </w:p>
    <w:p>
      <w:pPr>
        <w:spacing w:after="0" w:line="80"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One of our strategies is to identify and pursue clinical development of additional product candidates. Our Discovery Platform has helped us identify over forty immune system targets. In the last five years, we have progressed over ten programs into early preclinical development. By the end of 2019, we expect to advance four product candidates into clinical trials. Identifying, developing, obtaining regulatory approval, and commercializing additional product candidates for the treatment of neurodegenerative diseases will require substantial additional funding beyond the net proceeds of this offering and is prone to the risks of failure inherent in drug development. We cannot provide you any assurance that we will be able to successfully identify or acquire additional product candidates, advance any of these additional product candidates through the development process, successfully commercialize any such additional product candidates, if approved, or assemble sufficient resources to identify, acquire, develop, or, if approved, commercialize additional product candidates. If we are unable to successfully identify, acquire, develop, and commercialize additional product candidates, our commercial opportunity may be limited.</w:t>
      </w:r>
    </w:p>
    <w:p>
      <w:pPr>
        <w:spacing w:after="0" w:line="30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may not be successful in our efforts to expand indications for approved product candidates.</w:t>
      </w:r>
    </w:p>
    <w:p>
      <w:pPr>
        <w:spacing w:after="0" w:line="124" w:lineRule="exact"/>
        <w:rPr>
          <w:sz w:val="20"/>
          <w:szCs w:val="20"/>
          <w:color w:val="auto"/>
        </w:rPr>
      </w:pPr>
    </w:p>
    <w:p>
      <w:pPr>
        <w:ind w:left="180" w:right="400" w:firstLine="465"/>
        <w:spacing w:after="0" w:line="263" w:lineRule="auto"/>
        <w:rPr>
          <w:sz w:val="20"/>
          <w:szCs w:val="20"/>
          <w:color w:val="auto"/>
        </w:rPr>
      </w:pPr>
      <w:r>
        <w:rPr>
          <w:rFonts w:ascii="Arial" w:cs="Arial" w:eastAsia="Arial" w:hAnsi="Arial"/>
          <w:sz w:val="19"/>
          <w:szCs w:val="19"/>
          <w:color w:val="auto"/>
        </w:rPr>
        <w:t>Our drug development strategy is to clinically test and seek regulatory approval for our product candidates in indications in which we believe there is the most evidence that we will be able to quickly generate proof-of-concept data. We then intend to expand to clinical testing and seek regulatory approvals in other</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16</w:t>
      </w:r>
    </w:p>
    <w:p>
      <w:pPr>
        <w:sectPr>
          <w:pgSz w:w="12240" w:h="15840" w:orient="portrait"/>
          <w:cols w:equalWidth="0" w:num="1">
            <w:col w:w="11800"/>
          </w:cols>
          <w:pgMar w:left="120" w:top="336" w:right="320" w:bottom="1440" w:gutter="0" w:footer="0" w:header="0"/>
        </w:sectPr>
      </w:pPr>
    </w:p>
    <w:bookmarkStart w:id="24" w:name="page25"/>
    <w:bookmarkEnd w:id="2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spacing w:after="0" w:line="259" w:lineRule="auto"/>
        <w:rPr>
          <w:sz w:val="20"/>
          <w:szCs w:val="20"/>
          <w:color w:val="auto"/>
        </w:rPr>
      </w:pPr>
      <w:r>
        <w:rPr>
          <w:rFonts w:ascii="Arial" w:cs="Arial" w:eastAsia="Arial" w:hAnsi="Arial"/>
          <w:sz w:val="19"/>
          <w:szCs w:val="19"/>
          <w:color w:val="auto"/>
        </w:rPr>
        <w:t>neurodegenerative indications based on genetic and mechanistic overlap with the primary indication. Conducting clinical trials for additional indications for our product candidates requires substantial technical, financial, and human resources and is prone to the risks of failure inherent in drug development. We cannot provide you any assurance that we will be successful in our effort to obtain regulatory approval for our product candidates for additional indications even if we obtain approval for an initial indication.</w:t>
      </w:r>
    </w:p>
    <w:p>
      <w:pPr>
        <w:spacing w:after="0" w:line="198" w:lineRule="exact"/>
        <w:rPr>
          <w:sz w:val="20"/>
          <w:szCs w:val="20"/>
          <w:color w:val="auto"/>
        </w:rPr>
      </w:pPr>
    </w:p>
    <w:p>
      <w:pPr>
        <w:ind w:left="180" w:right="300" w:firstLine="465"/>
        <w:spacing w:after="0" w:line="284" w:lineRule="auto"/>
        <w:rPr>
          <w:sz w:val="20"/>
          <w:szCs w:val="20"/>
          <w:color w:val="auto"/>
        </w:rPr>
      </w:pPr>
      <w:r>
        <w:rPr>
          <w:rFonts w:ascii="Arial" w:cs="Arial" w:eastAsia="Arial" w:hAnsi="Arial"/>
          <w:sz w:val="18"/>
          <w:szCs w:val="18"/>
          <w:color w:val="auto"/>
        </w:rPr>
        <w:t>For example, our product candidate AL001 is initially targeting FTD-GRN. Following proof-of-concept data in FTD-GRN patients, we plan to expand AL001 to other indications associated with decreased levels of PGRN. If we are unable to successfully identify, develop, obtain regulatory approval for, and commercialize AL001 for other indications, our commercial opportunity for AL001 may be limited.</w:t>
      </w:r>
    </w:p>
    <w:p>
      <w:pPr>
        <w:spacing w:after="0" w:line="292" w:lineRule="exact"/>
        <w:rPr>
          <w:sz w:val="20"/>
          <w:szCs w:val="20"/>
          <w:color w:val="auto"/>
        </w:rPr>
      </w:pPr>
    </w:p>
    <w:p>
      <w:pPr>
        <w:ind w:left="180" w:right="80"/>
        <w:spacing w:after="0" w:line="308" w:lineRule="auto"/>
        <w:rPr>
          <w:sz w:val="20"/>
          <w:szCs w:val="20"/>
          <w:color w:val="auto"/>
        </w:rPr>
      </w:pPr>
      <w:r>
        <w:rPr>
          <w:rFonts w:ascii="Arial" w:cs="Arial" w:eastAsia="Arial" w:hAnsi="Arial"/>
          <w:sz w:val="17"/>
          <w:szCs w:val="17"/>
          <w:b w:val="1"/>
          <w:bCs w:val="1"/>
          <w:i w:val="1"/>
          <w:iCs w:val="1"/>
          <w:color w:val="auto"/>
        </w:rPr>
        <w:t>We have concentrated a substantial portion of our research and development efforts on the treatment of neurodegenerative diseases, a field that has seen limited success in drug development. Further, our product candidates are based on new approaches and novel technology, which makes it difficult to predict the time and cost of product candidate development and subsequently obtaining regulatory approval.</w:t>
      </w:r>
    </w:p>
    <w:p>
      <w:pPr>
        <w:spacing w:after="0" w:line="46" w:lineRule="exact"/>
        <w:rPr>
          <w:sz w:val="20"/>
          <w:szCs w:val="20"/>
          <w:color w:val="auto"/>
        </w:rPr>
      </w:pPr>
    </w:p>
    <w:p>
      <w:pPr>
        <w:ind w:left="180" w:right="100" w:firstLine="465"/>
        <w:spacing w:after="0" w:line="271" w:lineRule="auto"/>
        <w:rPr>
          <w:sz w:val="20"/>
          <w:szCs w:val="20"/>
          <w:color w:val="auto"/>
        </w:rPr>
      </w:pPr>
      <w:r>
        <w:rPr>
          <w:rFonts w:ascii="Arial" w:cs="Arial" w:eastAsia="Arial" w:hAnsi="Arial"/>
          <w:sz w:val="18"/>
          <w:szCs w:val="18"/>
          <w:color w:val="auto"/>
        </w:rPr>
        <w:t>We have focused a substantial portion of our research and development efforts on addressing neurodegenerative diseases. Collectively, efforts by biopharmaceutical companies in the field of neurodegenerative diseases have seen limited success in drug development. There are few effective therapeutic options available for patients with FTD, Alzheimer’s disease, Parkinson’s disease, and other neurodegenerative diseases. Our future success is highly dependent on the successful development of our product candidates for treating neurodegenerative diseases. Developing and, if approved, commercializing our product candidates for treatment of neurodegenerative diseases subjects us to a number of challenges, including obtaining disease modifying activity and efficacious dose in target tissue and obtaining regulatory approval from the FDA and other regulatory authorities who have only a limited set of precedents to rely on.</w:t>
      </w:r>
    </w:p>
    <w:p>
      <w:pPr>
        <w:spacing w:after="0" w:line="189" w:lineRule="exact"/>
        <w:rPr>
          <w:sz w:val="20"/>
          <w:szCs w:val="20"/>
          <w:color w:val="auto"/>
        </w:rPr>
      </w:pPr>
    </w:p>
    <w:p>
      <w:pPr>
        <w:ind w:left="180" w:firstLine="465"/>
        <w:spacing w:after="0" w:line="272" w:lineRule="auto"/>
        <w:rPr>
          <w:sz w:val="20"/>
          <w:szCs w:val="20"/>
          <w:color w:val="auto"/>
        </w:rPr>
      </w:pPr>
      <w:r>
        <w:rPr>
          <w:rFonts w:ascii="Arial" w:cs="Arial" w:eastAsia="Arial" w:hAnsi="Arial"/>
          <w:sz w:val="18"/>
          <w:szCs w:val="18"/>
          <w:color w:val="auto"/>
        </w:rPr>
        <w:t>Our approach to the treatment of neurodegenerative diseases aims to identify and select targets enriched in microglia and other myeloid immune cells which are genetically associated with neurodegenerative diseases, identify and develop product candidates that cross the blood brain barrier in sufficient quantity and potency to enable efficacious dosing in the brain and engage the intended target, identify and develop biomarkers that are signs of a disease or condition, to select the right patient population, and to demonstrate target engagement, pathway engagement, and impact on disease progression of our product candidates. This strategy may not prove to be successful. We cannot be sure that our approach will yield satisfactory therapeutic products that are safe and effective, scalable, or profitable.</w:t>
      </w:r>
    </w:p>
    <w:p>
      <w:pPr>
        <w:spacing w:after="0" w:line="304" w:lineRule="exact"/>
        <w:rPr>
          <w:sz w:val="20"/>
          <w:szCs w:val="20"/>
          <w:color w:val="auto"/>
        </w:rPr>
      </w:pPr>
    </w:p>
    <w:p>
      <w:pPr>
        <w:ind w:left="180" w:right="60"/>
        <w:spacing w:after="0" w:line="275" w:lineRule="auto"/>
        <w:rPr>
          <w:sz w:val="20"/>
          <w:szCs w:val="20"/>
          <w:color w:val="auto"/>
        </w:rPr>
      </w:pPr>
      <w:r>
        <w:rPr>
          <w:rFonts w:ascii="Arial" w:cs="Arial" w:eastAsia="Arial" w:hAnsi="Arial"/>
          <w:sz w:val="19"/>
          <w:szCs w:val="19"/>
          <w:b w:val="1"/>
          <w:bCs w:val="1"/>
          <w:i w:val="1"/>
          <w:iCs w:val="1"/>
          <w:color w:val="auto"/>
        </w:rPr>
        <w:t>We may encounter substantial delays in our clinical trials, or may not be able to conduct or complete our clinical trials on the timelines we expect, if at all.</w:t>
      </w:r>
    </w:p>
    <w:p>
      <w:pPr>
        <w:spacing w:after="0" w:line="70" w:lineRule="exact"/>
        <w:rPr>
          <w:sz w:val="20"/>
          <w:szCs w:val="20"/>
          <w:color w:val="auto"/>
        </w:rPr>
      </w:pPr>
    </w:p>
    <w:p>
      <w:pPr>
        <w:ind w:left="180" w:right="20" w:firstLine="465"/>
        <w:spacing w:after="0" w:line="255" w:lineRule="auto"/>
        <w:rPr>
          <w:sz w:val="20"/>
          <w:szCs w:val="20"/>
          <w:color w:val="auto"/>
        </w:rPr>
      </w:pPr>
      <w:r>
        <w:rPr>
          <w:rFonts w:ascii="Arial" w:cs="Arial" w:eastAsia="Arial" w:hAnsi="Arial"/>
          <w:sz w:val="19"/>
          <w:szCs w:val="19"/>
          <w:color w:val="auto"/>
        </w:rPr>
        <w:t>Clinical testing is expensive, time consuming, and subject to uncertainty. We cannot guarantee that any clinical trials will be conducted as planned or completed on schedule, if at all. We cannot be sure that submission of an investigational new drug application (IND) or a clinical trial application (CTA) will result in the FDA or European Medicines Agency (EMA)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105" w:lineRule="exact"/>
        <w:rPr>
          <w:sz w:val="20"/>
          <w:szCs w:val="20"/>
          <w:color w:val="auto"/>
        </w:rPr>
      </w:pPr>
    </w:p>
    <w:p>
      <w:pPr>
        <w:ind w:left="1100" w:right="400" w:hanging="350"/>
        <w:spacing w:after="0" w:line="275" w:lineRule="auto"/>
        <w:tabs>
          <w:tab w:leader="none" w:pos="11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inability to generate sufficient preclinical, toxicology, or other in vivo or in vitro data to support the initiation or continuation of clinical trials;</w:t>
      </w:r>
    </w:p>
    <w:p>
      <w:pPr>
        <w:spacing w:after="0" w:line="84" w:lineRule="exact"/>
        <w:rPr>
          <w:rFonts w:ascii="Arial" w:cs="Arial" w:eastAsia="Arial" w:hAnsi="Arial"/>
          <w:sz w:val="19"/>
          <w:szCs w:val="19"/>
          <w:color w:val="auto"/>
        </w:rPr>
      </w:pPr>
    </w:p>
    <w:p>
      <w:pPr>
        <w:ind w:left="1100" w:right="460" w:hanging="350"/>
        <w:spacing w:after="0" w:line="275" w:lineRule="auto"/>
        <w:tabs>
          <w:tab w:leader="none" w:pos="11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delays in confirming target engagement, patient selection, or other relevant biomarkers to be utilized in preclinical and clinical product candidate development;</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delays in reaching a consensus with regulatory agencies on study design;</w:t>
      </w:r>
    </w:p>
    <w:p>
      <w:pPr>
        <w:spacing w:after="0" w:line="167"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17</w:t>
      </w:r>
    </w:p>
    <w:p>
      <w:pPr>
        <w:sectPr>
          <w:pgSz w:w="12240" w:h="15840" w:orient="portrait"/>
          <w:cols w:equalWidth="0" w:num="1">
            <w:col w:w="11800"/>
          </w:cols>
          <w:pgMar w:left="120" w:top="336" w:right="320" w:bottom="1440" w:gutter="0" w:footer="0" w:header="0"/>
        </w:sectPr>
      </w:pPr>
    </w:p>
    <w:bookmarkStart w:id="25" w:name="page26"/>
    <w:bookmarkEnd w:id="2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100" w:hanging="350"/>
        <w:spacing w:after="0" w:line="304"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contract research organizations (CROs) and clinical trial sites, the terms of which can be subject to extensive negotiation and may vary significantly among different CROs and clinical trial sites;</w:t>
      </w:r>
    </w:p>
    <w:p>
      <w:pPr>
        <w:spacing w:after="0" w:line="60" w:lineRule="exact"/>
        <w:rPr>
          <w:rFonts w:ascii="Arial" w:cs="Arial" w:eastAsia="Arial" w:hAnsi="Arial"/>
          <w:sz w:val="18"/>
          <w:szCs w:val="18"/>
          <w:color w:val="auto"/>
        </w:rPr>
      </w:pPr>
    </w:p>
    <w:p>
      <w:pPr>
        <w:ind w:left="1100" w:hanging="350"/>
        <w:spacing w:after="0"/>
        <w:tabs>
          <w:tab w:leader="none" w:pos="11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delays in identifying, recruiting, and training suitable clinical investigators;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delays in obtaining required Institutional Review Board (IRB) approval at each clinical trial site;</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imposition of a temporary or permanent clinical hold by regulatory agencies for a number of reasons, including:</w:t>
      </w:r>
    </w:p>
    <w:p>
      <w:pPr>
        <w:spacing w:after="0" w:line="138" w:lineRule="exact"/>
        <w:rPr>
          <w:rFonts w:ascii="Arial" w:cs="Arial" w:eastAsia="Arial" w:hAnsi="Arial"/>
          <w:sz w:val="19"/>
          <w:szCs w:val="19"/>
          <w:color w:val="auto"/>
        </w:rPr>
      </w:pPr>
    </w:p>
    <w:p>
      <w:pPr>
        <w:ind w:left="1680" w:hanging="459"/>
        <w:spacing w:after="0"/>
        <w:tabs>
          <w:tab w:leader="none" w:pos="1680" w:val="left"/>
        </w:tabs>
        <w:numPr>
          <w:ilvl w:val="1"/>
          <w:numId w:val="17"/>
        </w:numPr>
        <w:rPr>
          <w:rFonts w:ascii="Arial" w:cs="Arial" w:eastAsia="Arial" w:hAnsi="Arial"/>
          <w:sz w:val="19"/>
          <w:szCs w:val="19"/>
          <w:color w:val="auto"/>
        </w:rPr>
      </w:pPr>
      <w:r>
        <w:rPr>
          <w:rFonts w:ascii="Arial" w:cs="Arial" w:eastAsia="Arial" w:hAnsi="Arial"/>
          <w:sz w:val="19"/>
          <w:szCs w:val="19"/>
          <w:color w:val="auto"/>
        </w:rPr>
        <w:t>after review of an IND or amendment, CTA or amendment, or equivalent application or amendment;</w:t>
      </w:r>
    </w:p>
    <w:p>
      <w:pPr>
        <w:spacing w:after="0" w:line="138" w:lineRule="exact"/>
        <w:rPr>
          <w:rFonts w:ascii="Arial" w:cs="Arial" w:eastAsia="Arial" w:hAnsi="Arial"/>
          <w:sz w:val="19"/>
          <w:szCs w:val="19"/>
          <w:color w:val="auto"/>
        </w:rPr>
      </w:pPr>
    </w:p>
    <w:p>
      <w:pPr>
        <w:ind w:left="1680" w:hanging="459"/>
        <w:spacing w:after="0"/>
        <w:tabs>
          <w:tab w:leader="none" w:pos="1680" w:val="left"/>
        </w:tabs>
        <w:numPr>
          <w:ilvl w:val="1"/>
          <w:numId w:val="17"/>
        </w:numPr>
        <w:rPr>
          <w:rFonts w:ascii="Arial" w:cs="Arial" w:eastAsia="Arial" w:hAnsi="Arial"/>
          <w:sz w:val="19"/>
          <w:szCs w:val="19"/>
          <w:color w:val="auto"/>
        </w:rPr>
      </w:pPr>
      <w:r>
        <w:rPr>
          <w:rFonts w:ascii="Arial" w:cs="Arial" w:eastAsia="Arial" w:hAnsi="Arial"/>
          <w:sz w:val="19"/>
          <w:szCs w:val="19"/>
          <w:color w:val="auto"/>
        </w:rPr>
        <w:t>as a result of a new safety finding that presents unreasonable risk to clinical trial participants;</w:t>
      </w:r>
    </w:p>
    <w:p>
      <w:pPr>
        <w:spacing w:after="0" w:line="138" w:lineRule="exact"/>
        <w:rPr>
          <w:rFonts w:ascii="Arial" w:cs="Arial" w:eastAsia="Arial" w:hAnsi="Arial"/>
          <w:sz w:val="19"/>
          <w:szCs w:val="19"/>
          <w:color w:val="auto"/>
        </w:rPr>
      </w:pPr>
    </w:p>
    <w:p>
      <w:pPr>
        <w:ind w:left="1680" w:hanging="459"/>
        <w:spacing w:after="0"/>
        <w:tabs>
          <w:tab w:leader="none" w:pos="1680" w:val="left"/>
        </w:tabs>
        <w:numPr>
          <w:ilvl w:val="1"/>
          <w:numId w:val="17"/>
        </w:numPr>
        <w:rPr>
          <w:rFonts w:ascii="Arial" w:cs="Arial" w:eastAsia="Arial" w:hAnsi="Arial"/>
          <w:sz w:val="19"/>
          <w:szCs w:val="19"/>
          <w:color w:val="auto"/>
        </w:rPr>
      </w:pPr>
      <w:r>
        <w:rPr>
          <w:rFonts w:ascii="Arial" w:cs="Arial" w:eastAsia="Arial" w:hAnsi="Arial"/>
          <w:sz w:val="19"/>
          <w:szCs w:val="19"/>
          <w:color w:val="auto"/>
        </w:rPr>
        <w:t>a negative finding from an inspection of our clinical trial operations or study sites; or</w:t>
      </w:r>
    </w:p>
    <w:p>
      <w:pPr>
        <w:spacing w:after="0" w:line="138" w:lineRule="exact"/>
        <w:rPr>
          <w:rFonts w:ascii="Arial" w:cs="Arial" w:eastAsia="Arial" w:hAnsi="Arial"/>
          <w:sz w:val="19"/>
          <w:szCs w:val="19"/>
          <w:color w:val="auto"/>
        </w:rPr>
      </w:pPr>
    </w:p>
    <w:p>
      <w:pPr>
        <w:ind w:left="1680" w:hanging="459"/>
        <w:spacing w:after="0"/>
        <w:tabs>
          <w:tab w:leader="none" w:pos="1680" w:val="left"/>
        </w:tabs>
        <w:numPr>
          <w:ilvl w:val="1"/>
          <w:numId w:val="17"/>
        </w:numPr>
        <w:rPr>
          <w:rFonts w:ascii="Arial" w:cs="Arial" w:eastAsia="Arial" w:hAnsi="Arial"/>
          <w:sz w:val="19"/>
          <w:szCs w:val="19"/>
          <w:color w:val="auto"/>
        </w:rPr>
      </w:pPr>
      <w:r>
        <w:rPr>
          <w:rFonts w:ascii="Arial" w:cs="Arial" w:eastAsia="Arial" w:hAnsi="Arial"/>
          <w:sz w:val="19"/>
          <w:szCs w:val="19"/>
          <w:color w:val="auto"/>
        </w:rPr>
        <w:t>the finding that the investigational protocol or plan is clearly deficient to meet its stated objectives;</w:t>
      </w:r>
    </w:p>
    <w:p>
      <w:pPr>
        <w:spacing w:after="0" w:line="138" w:lineRule="exact"/>
        <w:rPr>
          <w:rFonts w:ascii="Arial" w:cs="Arial" w:eastAsia="Arial" w:hAnsi="Arial"/>
          <w:sz w:val="19"/>
          <w:szCs w:val="19"/>
          <w:color w:val="auto"/>
        </w:rPr>
      </w:pPr>
    </w:p>
    <w:p>
      <w:pPr>
        <w:ind w:left="1100" w:hanging="350"/>
        <w:spacing w:after="0" w:line="275" w:lineRule="auto"/>
        <w:tabs>
          <w:tab w:leader="none" w:pos="11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delays in identifying, recruiting, and enrolling suitable patients to participate in our clinical trials, and delays caused by patients withdrawing from clinical trials, or failing to return for post-treatment follow-up;</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difficulty collaborating with patient groups and investigators;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failure by our CROs, other third parties, or us to adhere to clinical trial requirements;</w:t>
      </w:r>
    </w:p>
    <w:p>
      <w:pPr>
        <w:spacing w:after="0" w:line="138" w:lineRule="exact"/>
        <w:rPr>
          <w:rFonts w:ascii="Arial" w:cs="Arial" w:eastAsia="Arial" w:hAnsi="Arial"/>
          <w:sz w:val="19"/>
          <w:szCs w:val="19"/>
          <w:color w:val="auto"/>
        </w:rPr>
      </w:pPr>
    </w:p>
    <w:p>
      <w:pPr>
        <w:ind w:left="1100" w:right="60" w:hanging="350"/>
        <w:spacing w:after="0" w:line="275" w:lineRule="auto"/>
        <w:tabs>
          <w:tab w:leader="none" w:pos="11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failure to perform in accordance with the FDA’s or any other regulatory authority’s current good clinical practices (cGCPs) requirements, or applicable EMA or other regulatory guidelines in other countries;</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occurrence of adverse events associated with the product candidate that are viewed to outweigh its potential benefits;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changes in regulatory requirements and guidance that require amending or submitting new clinical protocols;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changes in the standard of care on which a clinical development plan was based, which may require new or additional trials;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cost of clinical trials of our product candidates being greater than we anticipate;</w:t>
      </w:r>
    </w:p>
    <w:p>
      <w:pPr>
        <w:spacing w:after="0" w:line="138" w:lineRule="exact"/>
        <w:rPr>
          <w:rFonts w:ascii="Arial" w:cs="Arial" w:eastAsia="Arial" w:hAnsi="Arial"/>
          <w:sz w:val="19"/>
          <w:szCs w:val="19"/>
          <w:color w:val="auto"/>
        </w:rPr>
      </w:pPr>
    </w:p>
    <w:p>
      <w:pPr>
        <w:ind w:left="1100" w:right="60" w:hanging="350"/>
        <w:spacing w:after="0" w:line="275" w:lineRule="auto"/>
        <w:tabs>
          <w:tab w:leader="none" w:pos="11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clinical trials of our product candidates producing negative or inconclusive results, which may result in our deciding, or regulators requiring us, to conduct additional clinical trials or abandon product development programs; and</w:t>
      </w:r>
    </w:p>
    <w:p>
      <w:pPr>
        <w:spacing w:after="0" w:line="84" w:lineRule="exact"/>
        <w:rPr>
          <w:rFonts w:ascii="Arial" w:cs="Arial" w:eastAsia="Arial" w:hAnsi="Arial"/>
          <w:sz w:val="19"/>
          <w:szCs w:val="19"/>
          <w:color w:val="auto"/>
        </w:rPr>
      </w:pPr>
    </w:p>
    <w:p>
      <w:pPr>
        <w:ind w:left="1100" w:right="20" w:hanging="350"/>
        <w:spacing w:after="0" w:line="275" w:lineRule="auto"/>
        <w:tabs>
          <w:tab w:leader="none" w:pos="11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delays in manufacturing, testing, releasing, validating, or importing/exporting sufficient stable quantities of our product candidates for use in clinical trials or the inability to do any of the foregoing.</w:t>
      </w:r>
    </w:p>
    <w:p>
      <w:pPr>
        <w:spacing w:after="0" w:line="184"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204" w:lineRule="exact"/>
        <w:rPr>
          <w:sz w:val="20"/>
          <w:szCs w:val="20"/>
          <w:color w:val="auto"/>
        </w:rPr>
      </w:pPr>
    </w:p>
    <w:p>
      <w:pPr>
        <w:ind w:left="180" w:right="420" w:firstLine="465"/>
        <w:spacing w:after="0" w:line="275" w:lineRule="auto"/>
        <w:rPr>
          <w:sz w:val="20"/>
          <w:szCs w:val="20"/>
          <w:color w:val="auto"/>
        </w:rPr>
      </w:pPr>
      <w:r>
        <w:rPr>
          <w:rFonts w:ascii="Arial" w:cs="Arial" w:eastAsia="Arial" w:hAnsi="Arial"/>
          <w:sz w:val="19"/>
          <w:szCs w:val="19"/>
          <w:color w:val="auto"/>
        </w:rPr>
        <w:t>We could also encounter delays if a clinical trial is suspended or terminated by us, by the data safety monitoring board for such trial or by the FDA, EMA, or any other regulatory authority, or if the IRBs of the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18</w:t>
      </w:r>
    </w:p>
    <w:p>
      <w:pPr>
        <w:sectPr>
          <w:pgSz w:w="12240" w:h="15840" w:orient="portrait"/>
          <w:cols w:equalWidth="0" w:num="1">
            <w:col w:w="11800"/>
          </w:cols>
          <w:pgMar w:left="120" w:top="336" w:right="320" w:bottom="1440" w:gutter="0" w:footer="0" w:header="0"/>
        </w:sectPr>
      </w:pPr>
    </w:p>
    <w:bookmarkStart w:id="26" w:name="page27"/>
    <w:bookmarkEnd w:id="2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0"/>
        <w:spacing w:after="0" w:line="294" w:lineRule="auto"/>
        <w:rPr>
          <w:sz w:val="20"/>
          <w:szCs w:val="20"/>
          <w:color w:val="auto"/>
        </w:rPr>
      </w:pPr>
      <w:r>
        <w:rPr>
          <w:rFonts w:ascii="Arial" w:cs="Arial" w:eastAsia="Arial" w:hAnsi="Arial"/>
          <w:sz w:val="17"/>
          <w:szCs w:val="17"/>
          <w:color w:val="auto"/>
        </w:rPr>
        <w:t>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72" w:lineRule="exact"/>
        <w:rPr>
          <w:sz w:val="20"/>
          <w:szCs w:val="20"/>
          <w:color w:val="auto"/>
        </w:rPr>
      </w:pPr>
    </w:p>
    <w:p>
      <w:pPr>
        <w:ind w:left="180" w:right="420" w:firstLine="465"/>
        <w:spacing w:after="0" w:line="275" w:lineRule="auto"/>
        <w:rPr>
          <w:sz w:val="20"/>
          <w:szCs w:val="20"/>
          <w:color w:val="auto"/>
        </w:rPr>
      </w:pPr>
      <w:r>
        <w:rPr>
          <w:rFonts w:ascii="Arial" w:cs="Arial" w:eastAsia="Arial" w:hAnsi="Arial"/>
          <w:sz w:val="19"/>
          <w:szCs w:val="19"/>
          <w:color w:val="auto"/>
        </w:rPr>
        <w:t>We may in the future advance product candidates into clinical trials and terminate such trials prior to their completion, which could adversely affect our business.</w:t>
      </w:r>
    </w:p>
    <w:p>
      <w:pPr>
        <w:spacing w:after="0" w:line="184" w:lineRule="exact"/>
        <w:rPr>
          <w:sz w:val="20"/>
          <w:szCs w:val="20"/>
          <w:color w:val="auto"/>
        </w:rPr>
      </w:pPr>
    </w:p>
    <w:p>
      <w:pPr>
        <w:ind w:left="180" w:right="80" w:firstLine="465"/>
        <w:spacing w:after="0" w:line="259" w:lineRule="auto"/>
        <w:rPr>
          <w:sz w:val="20"/>
          <w:szCs w:val="20"/>
          <w:color w:val="auto"/>
        </w:rPr>
      </w:pPr>
      <w:r>
        <w:rPr>
          <w:rFonts w:ascii="Arial" w:cs="Arial" w:eastAsia="Arial" w:hAnsi="Arial"/>
          <w:sz w:val="19"/>
          <w:szCs w:val="19"/>
          <w:color w:val="auto"/>
        </w:rPr>
        <w:t>Delays in the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312" w:lineRule="exact"/>
        <w:rPr>
          <w:sz w:val="20"/>
          <w:szCs w:val="20"/>
          <w:color w:val="auto"/>
        </w:rPr>
      </w:pPr>
    </w:p>
    <w:p>
      <w:pPr>
        <w:ind w:left="180" w:right="180"/>
        <w:spacing w:after="0" w:line="275" w:lineRule="auto"/>
        <w:rPr>
          <w:sz w:val="20"/>
          <w:szCs w:val="20"/>
          <w:color w:val="auto"/>
        </w:rPr>
      </w:pPr>
      <w:r>
        <w:rPr>
          <w:rFonts w:ascii="Arial" w:cs="Arial" w:eastAsia="Arial" w:hAnsi="Arial"/>
          <w:sz w:val="19"/>
          <w:szCs w:val="19"/>
          <w:b w:val="1"/>
          <w:bCs w:val="1"/>
          <w:i w:val="1"/>
          <w:iCs w:val="1"/>
          <w:color w:val="auto"/>
        </w:rPr>
        <w:t>We may encounter difficulties enrolling patients in our clinical trials, and our clinical development activities could thereby be delayed or otherwise adversely affected.</w:t>
      </w:r>
    </w:p>
    <w:p>
      <w:pPr>
        <w:spacing w:after="0" w:line="70" w:lineRule="exact"/>
        <w:rPr>
          <w:sz w:val="20"/>
          <w:szCs w:val="20"/>
          <w:color w:val="auto"/>
        </w:rPr>
      </w:pPr>
    </w:p>
    <w:p>
      <w:pPr>
        <w:jc w:val="both"/>
        <w:ind w:left="180" w:firstLine="465"/>
        <w:spacing w:after="0" w:line="263" w:lineRule="auto"/>
        <w:rPr>
          <w:sz w:val="20"/>
          <w:szCs w:val="20"/>
          <w:color w:val="auto"/>
        </w:rPr>
      </w:pPr>
      <w:r>
        <w:rPr>
          <w:rFonts w:ascii="Arial" w:cs="Arial" w:eastAsia="Arial" w:hAnsi="Arial"/>
          <w:sz w:val="19"/>
          <w:szCs w:val="19"/>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95" w:lineRule="exact"/>
        <w:rPr>
          <w:sz w:val="20"/>
          <w:szCs w:val="20"/>
          <w:color w:val="auto"/>
        </w:rPr>
      </w:pPr>
    </w:p>
    <w:p>
      <w:pPr>
        <w:ind w:left="1100" w:hanging="350"/>
        <w:spacing w:after="0"/>
        <w:tabs>
          <w:tab w:leader="none" w:pos="11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size and nature of the patient population;</w:t>
      </w:r>
    </w:p>
    <w:p>
      <w:pPr>
        <w:spacing w:after="0" w:line="138" w:lineRule="exact"/>
        <w:rPr>
          <w:rFonts w:ascii="Arial" w:cs="Arial" w:eastAsia="Arial" w:hAnsi="Arial"/>
          <w:sz w:val="19"/>
          <w:szCs w:val="19"/>
          <w:color w:val="auto"/>
        </w:rPr>
      </w:pPr>
    </w:p>
    <w:p>
      <w:pPr>
        <w:ind w:left="1100" w:right="100" w:hanging="350"/>
        <w:spacing w:after="0" w:line="263" w:lineRule="auto"/>
        <w:tabs>
          <w:tab w:leader="none" w:pos="11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patient eligibility criteria defined in the protocol, including biomarker-driven identification and/or certain highly-specific criteria related to stage of disease progression, which may limit the patient populations eligible for our clinical trials to a greater extent than competing clinical trials for the same indication that do not have biomarker-driven patient eligibility criteria;</w:t>
      </w:r>
    </w:p>
    <w:p>
      <w:pPr>
        <w:spacing w:after="0" w:line="94" w:lineRule="exact"/>
        <w:rPr>
          <w:rFonts w:ascii="Arial" w:cs="Arial" w:eastAsia="Arial" w:hAnsi="Arial"/>
          <w:sz w:val="19"/>
          <w:szCs w:val="19"/>
          <w:color w:val="auto"/>
        </w:rPr>
      </w:pPr>
    </w:p>
    <w:p>
      <w:pPr>
        <w:ind w:left="1100" w:hanging="350"/>
        <w:spacing w:after="0"/>
        <w:tabs>
          <w:tab w:leader="none" w:pos="11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size of the study population required for analysis of the trial’s primary endpoints;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proximity of patients to a trial site;</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design of the trial;</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our ability to recruit clinical trial investigators with the appropriate competencies and experience;</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competing clinical trials for similar therapies or targeting patient populations meeting our patient eligibility criteria;</w:t>
      </w:r>
    </w:p>
    <w:p>
      <w:pPr>
        <w:spacing w:after="0" w:line="138" w:lineRule="exact"/>
        <w:rPr>
          <w:rFonts w:ascii="Arial" w:cs="Arial" w:eastAsia="Arial" w:hAnsi="Arial"/>
          <w:sz w:val="19"/>
          <w:szCs w:val="19"/>
          <w:color w:val="auto"/>
        </w:rPr>
      </w:pPr>
    </w:p>
    <w:p>
      <w:pPr>
        <w:ind w:left="1100" w:right="60" w:hanging="350"/>
        <w:spacing w:after="0" w:line="275" w:lineRule="auto"/>
        <w:tabs>
          <w:tab w:leader="none" w:pos="11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clinicians’ and patients’ perceptions as to the potential advantages and side effects of the product candidate being studied in relation to other available therapies and product candidates;</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our ability to obtain and maintain patient consents; and</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risk that patients enrolled in clinical trials will not complete such trials, for any reason.</w:t>
      </w:r>
    </w:p>
    <w:p>
      <w:pPr>
        <w:spacing w:after="0" w:line="352" w:lineRule="exact"/>
        <w:rPr>
          <w:sz w:val="20"/>
          <w:szCs w:val="20"/>
          <w:color w:val="auto"/>
        </w:rPr>
      </w:pPr>
    </w:p>
    <w:p>
      <w:pPr>
        <w:ind w:left="180" w:right="20"/>
        <w:spacing w:after="0" w:line="336" w:lineRule="auto"/>
        <w:rPr>
          <w:sz w:val="20"/>
          <w:szCs w:val="20"/>
          <w:color w:val="auto"/>
        </w:rPr>
      </w:pPr>
      <w:r>
        <w:rPr>
          <w:rFonts w:ascii="Arial" w:cs="Arial" w:eastAsia="Arial" w:hAnsi="Arial"/>
          <w:sz w:val="17"/>
          <w:szCs w:val="17"/>
          <w:b w:val="1"/>
          <w:bCs w:val="1"/>
          <w:i w:val="1"/>
          <w:iCs w:val="1"/>
          <w:color w:val="auto"/>
        </w:rPr>
        <w:t>Our clinical trials may reveal significant adverse events, toxicities, or other side effects and may fail to demonstrate substantial evidence of the safety and efficacy of our product candidates, which would prevent, delay, or limit the scope of regulatory approval and commercialization.</w:t>
      </w:r>
    </w:p>
    <w:p>
      <w:pPr>
        <w:spacing w:after="0" w:line="23" w:lineRule="exact"/>
        <w:rPr>
          <w:sz w:val="20"/>
          <w:szCs w:val="20"/>
          <w:color w:val="auto"/>
        </w:rPr>
      </w:pPr>
    </w:p>
    <w:p>
      <w:pPr>
        <w:ind w:left="180" w:right="180" w:firstLine="465"/>
        <w:spacing w:after="0" w:line="256" w:lineRule="auto"/>
        <w:rPr>
          <w:sz w:val="20"/>
          <w:szCs w:val="20"/>
          <w:color w:val="auto"/>
        </w:rPr>
      </w:pPr>
      <w:r>
        <w:rPr>
          <w:rFonts w:ascii="Arial" w:cs="Arial" w:eastAsia="Arial" w:hAnsi="Arial"/>
          <w:sz w:val="19"/>
          <w:szCs w:val="19"/>
          <w:color w:val="auto"/>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19</w:t>
      </w:r>
    </w:p>
    <w:p>
      <w:pPr>
        <w:sectPr>
          <w:pgSz w:w="12240" w:h="15840" w:orient="portrait"/>
          <w:cols w:equalWidth="0" w:num="1">
            <w:col w:w="11820"/>
          </w:cols>
          <w:pgMar w:left="120" w:top="336" w:right="300" w:bottom="1440" w:gutter="0" w:footer="0" w:header="0"/>
        </w:sectPr>
      </w:pPr>
    </w:p>
    <w:bookmarkStart w:id="27" w:name="page28"/>
    <w:bookmarkEnd w:id="2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85"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Open-label extension studies may also extend the timing and cost of a clinical test substantially.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This is particularly true in neurodegenerative diseases, where failure rates historically have been higher than in many other disease areas. Most product candidates that begin clinical trials are never approved by regulatory authorities for commercialization.</w:t>
      </w:r>
    </w:p>
    <w:p>
      <w:pPr>
        <w:spacing w:after="0" w:line="181"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We have limited experience in designing clinical trials and may be unable to design and execute a clinical trial to support marketing approval. We cannot be certain that our current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 For instance, in the ongoing Phase 1 clinical trial of AL001, one subject experienced a severe adverse event of rhabdomyolysis, a muscle injury, eight weeks after a single dose of AL001, which was attributed to strenuous activity and was deemed by the principal investigator to not be drug-related. This event resolved on its own without need of treatment within one week following a period of rest. We recently received a principal investigator report that a second subject has experienced a severe adverse event of muscle injury eight weeks after a single dose of AL001, which has also been deemed in such report by the principal investigator to not be drug-related.</w:t>
      </w:r>
    </w:p>
    <w:p>
      <w:pPr>
        <w:spacing w:after="0" w:line="194" w:lineRule="exact"/>
        <w:rPr>
          <w:sz w:val="20"/>
          <w:szCs w:val="20"/>
          <w:color w:val="auto"/>
        </w:rPr>
      </w:pPr>
    </w:p>
    <w:p>
      <w:pPr>
        <w:ind w:left="180" w:right="280" w:firstLine="465"/>
        <w:spacing w:after="0" w:line="255" w:lineRule="auto"/>
        <w:rPr>
          <w:sz w:val="20"/>
          <w:szCs w:val="20"/>
          <w:color w:val="auto"/>
        </w:rPr>
      </w:pPr>
      <w:r>
        <w:rPr>
          <w:rFonts w:ascii="Arial" w:cs="Arial" w:eastAsia="Arial" w:hAnsi="Arial"/>
          <w:sz w:val="19"/>
          <w:szCs w:val="19"/>
          <w:color w:val="auto"/>
        </w:rPr>
        <w:t>In addition, even if such clinical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candidates, which may also limit its commercial potential.</w:t>
      </w:r>
    </w:p>
    <w:p>
      <w:pPr>
        <w:spacing w:after="0" w:line="318" w:lineRule="exact"/>
        <w:rPr>
          <w:sz w:val="20"/>
          <w:szCs w:val="20"/>
          <w:color w:val="auto"/>
        </w:rPr>
      </w:pPr>
    </w:p>
    <w:p>
      <w:pPr>
        <w:jc w:val="both"/>
        <w:ind w:left="180" w:right="120"/>
        <w:spacing w:after="0" w:line="335" w:lineRule="auto"/>
        <w:rPr>
          <w:sz w:val="20"/>
          <w:szCs w:val="20"/>
          <w:color w:val="auto"/>
        </w:rPr>
      </w:pPr>
      <w:r>
        <w:rPr>
          <w:rFonts w:ascii="Arial" w:cs="Arial" w:eastAsia="Arial" w:hAnsi="Arial"/>
          <w:sz w:val="16"/>
          <w:szCs w:val="16"/>
          <w:b w:val="1"/>
          <w:bCs w:val="1"/>
          <w:i w:val="1"/>
          <w:iCs w:val="1"/>
          <w:color w:val="auto"/>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28" w:lineRule="exact"/>
        <w:rPr>
          <w:sz w:val="20"/>
          <w:szCs w:val="20"/>
          <w:color w:val="auto"/>
        </w:rPr>
      </w:pPr>
    </w:p>
    <w:p>
      <w:pPr>
        <w:ind w:left="180" w:right="40" w:firstLine="465"/>
        <w:spacing w:after="0" w:line="255" w:lineRule="auto"/>
        <w:rPr>
          <w:sz w:val="20"/>
          <w:szCs w:val="20"/>
          <w:color w:val="auto"/>
        </w:rPr>
      </w:pPr>
      <w:r>
        <w:rPr>
          <w:rFonts w:ascii="Arial" w:cs="Arial" w:eastAsia="Arial" w:hAnsi="Arial"/>
          <w:sz w:val="19"/>
          <w:szCs w:val="19"/>
          <w:color w:val="auto"/>
        </w:rPr>
        <w:t>The development and commercialization of new drug products is highly competitive. Moreover, the neurodegenerative field is characterized by strong and increasing competition, and a strong emphasis on intellectual property. We may face competition with respect to any of our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20</w:t>
      </w:r>
    </w:p>
    <w:p>
      <w:pPr>
        <w:sectPr>
          <w:pgSz w:w="12240" w:h="15840" w:orient="portrait"/>
          <w:cols w:equalWidth="0" w:num="1">
            <w:col w:w="11820"/>
          </w:cols>
          <w:pgMar w:left="120" w:top="336" w:right="300" w:bottom="1440" w:gutter="0" w:footer="0" w:header="0"/>
        </w:sectPr>
      </w:pPr>
    </w:p>
    <w:bookmarkStart w:id="28" w:name="page29"/>
    <w:bookmarkEnd w:id="2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firstLine="465"/>
        <w:spacing w:after="0" w:line="283" w:lineRule="auto"/>
        <w:rPr>
          <w:sz w:val="20"/>
          <w:szCs w:val="20"/>
          <w:color w:val="auto"/>
        </w:rPr>
      </w:pPr>
      <w:r>
        <w:rPr>
          <w:rFonts w:ascii="Arial" w:cs="Arial" w:eastAsia="Arial" w:hAnsi="Arial"/>
          <w:sz w:val="17"/>
          <w:szCs w:val="17"/>
          <w:color w:val="auto"/>
        </w:rPr>
        <w:t>There are a number of large pharmaceutical and biotechnology companies that are currently pursuing the development of products for the treatment of neurodegenerative diseases, including FTD and Alzheimer’s disease. Many of these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neurodegenerative disease indications, which could give such products significant regulatory and market timing advantages over any of our product candidates. Our competitors also may obtain FDA, EMA, or other regulatory approval for their products more rapidly than we may obtain approval for ours and may obtain orphan drug exclusivity from the FDA for indications our product candidates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spacing w:after="0" w:line="191" w:lineRule="exact"/>
        <w:rPr>
          <w:sz w:val="20"/>
          <w:szCs w:val="20"/>
          <w:color w:val="auto"/>
        </w:rPr>
      </w:pPr>
    </w:p>
    <w:p>
      <w:pPr>
        <w:ind w:left="180" w:right="300" w:firstLine="465"/>
        <w:spacing w:after="0" w:line="259" w:lineRule="auto"/>
        <w:rPr>
          <w:sz w:val="20"/>
          <w:szCs w:val="20"/>
          <w:color w:val="auto"/>
        </w:rPr>
      </w:pPr>
      <w:r>
        <w:rPr>
          <w:rFonts w:ascii="Arial" w:cs="Arial" w:eastAsia="Arial" w:hAnsi="Arial"/>
          <w:sz w:val="19"/>
          <w:szCs w:val="19"/>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The availability of our competitors’ products could limit the demand, and the price we are able to charge, for any products that we may develop and commercialize.</w:t>
      </w:r>
    </w:p>
    <w:p>
      <w:pPr>
        <w:spacing w:after="0" w:line="312" w:lineRule="exact"/>
        <w:rPr>
          <w:sz w:val="20"/>
          <w:szCs w:val="20"/>
          <w:color w:val="auto"/>
        </w:rPr>
      </w:pPr>
    </w:p>
    <w:p>
      <w:pPr>
        <w:ind w:left="180" w:right="120"/>
        <w:spacing w:after="0" w:line="259" w:lineRule="auto"/>
        <w:rPr>
          <w:sz w:val="20"/>
          <w:szCs w:val="20"/>
          <w:color w:val="auto"/>
        </w:rPr>
      </w:pPr>
      <w:r>
        <w:rPr>
          <w:rFonts w:ascii="Arial" w:cs="Arial" w:eastAsia="Arial" w:hAnsi="Arial"/>
          <w:sz w:val="19"/>
          <w:szCs w:val="19"/>
          <w:b w:val="1"/>
          <w:bCs w:val="1"/>
          <w:i w:val="1"/>
          <w:iCs w:val="1"/>
          <w:color w:val="auto"/>
        </w:rPr>
        <w:t>The manufacture of our product candidates is complex, and we may encounter difficulties in production. If we or any of our third-party manufacturers encounter such difficulties, or fail to meet rigorously enforced regulatory standards, our ability to provide supply of our product candidates for clinical trials or our products for patients, if approved, could be delayed or stopped, or we may be unable to maintain a commercially viable cost structure.</w:t>
      </w:r>
    </w:p>
    <w:p>
      <w:pPr>
        <w:spacing w:after="0" w:line="84" w:lineRule="exact"/>
        <w:rPr>
          <w:sz w:val="20"/>
          <w:szCs w:val="20"/>
          <w:color w:val="auto"/>
        </w:rPr>
      </w:pPr>
    </w:p>
    <w:p>
      <w:pPr>
        <w:ind w:left="180" w:firstLine="465"/>
        <w:spacing w:after="0" w:line="274" w:lineRule="auto"/>
        <w:rPr>
          <w:sz w:val="20"/>
          <w:szCs w:val="20"/>
          <w:color w:val="auto"/>
        </w:rPr>
      </w:pPr>
      <w:r>
        <w:rPr>
          <w:rFonts w:ascii="Arial" w:cs="Arial" w:eastAsia="Arial" w:hAnsi="Arial"/>
          <w:sz w:val="18"/>
          <w:szCs w:val="18"/>
          <w:color w:val="auto"/>
        </w:rPr>
        <w:t>The processes involved in manufacturing our drug and biological product candidates are complex, expensive, highly-regulated, and subject to multiple risks. 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188" w:lineRule="exact"/>
        <w:rPr>
          <w:sz w:val="20"/>
          <w:szCs w:val="20"/>
          <w:color w:val="auto"/>
        </w:rPr>
      </w:pPr>
    </w:p>
    <w:p>
      <w:pPr>
        <w:ind w:left="180" w:right="220" w:firstLine="465"/>
        <w:spacing w:after="0" w:line="271" w:lineRule="auto"/>
        <w:rPr>
          <w:sz w:val="20"/>
          <w:szCs w:val="20"/>
          <w:color w:val="auto"/>
        </w:rPr>
      </w:pPr>
      <w:r>
        <w:rPr>
          <w:rFonts w:ascii="Arial" w:cs="Arial" w:eastAsia="Arial" w:hAnsi="Arial"/>
          <w:sz w:val="18"/>
          <w:szCs w:val="18"/>
          <w:color w:val="auto"/>
        </w:rPr>
        <w:t>In order to conduct clinical trials of our product candidates, or supply commercial products, if approved, we will need to manufacture them in large quantities. Our CDMOs may be unable to successfully increase the manufacturing capacity for any of our product candidates in a timely or cost-effective manner, or at all. In addition, quality issues may arise during scale-up activities. If our CDMOs are unable to successfully scale up the manufacture of our product candidates in sufficient quality and quantity, the development, testing, and clinical trials of that product candidate may be delayed or become infeasible, and regulatory approval or commercial launch of any resulting product may be delayed or not obtained, which could significantly harm our business. The same risk would apply to our internal manufacturing facilities, should we in the future decide to build internal manufacturing capacity. In addition, building internal manufacturing capacity would carry</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21</w:t>
      </w:r>
    </w:p>
    <w:p>
      <w:pPr>
        <w:sectPr>
          <w:pgSz w:w="12240" w:h="15840" w:orient="portrait"/>
          <w:cols w:equalWidth="0" w:num="1">
            <w:col w:w="11820"/>
          </w:cols>
          <w:pgMar w:left="120" w:top="336" w:right="300" w:bottom="1440" w:gutter="0" w:footer="0" w:header="0"/>
        </w:sectPr>
      </w:pPr>
    </w:p>
    <w:bookmarkStart w:id="29" w:name="page30"/>
    <w:bookmarkEnd w:id="2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80"/>
        <w:spacing w:after="0" w:line="275" w:lineRule="auto"/>
        <w:rPr>
          <w:sz w:val="20"/>
          <w:szCs w:val="20"/>
          <w:color w:val="auto"/>
        </w:rPr>
      </w:pPr>
      <w:r>
        <w:rPr>
          <w:rFonts w:ascii="Arial" w:cs="Arial" w:eastAsia="Arial" w:hAnsi="Arial"/>
          <w:sz w:val="19"/>
          <w:szCs w:val="19"/>
          <w:color w:val="auto"/>
        </w:rPr>
        <w:t>significant risks in terms of being able to plan, design, and execute on a complex project to build manufacturing facilities in a timely and cost-efficient manner.</w:t>
      </w:r>
    </w:p>
    <w:p>
      <w:pPr>
        <w:spacing w:after="0" w:line="184" w:lineRule="exact"/>
        <w:rPr>
          <w:sz w:val="20"/>
          <w:szCs w:val="20"/>
          <w:color w:val="auto"/>
        </w:rPr>
      </w:pPr>
    </w:p>
    <w:p>
      <w:pPr>
        <w:ind w:left="180" w:right="80" w:firstLine="465"/>
        <w:spacing w:after="0" w:line="269" w:lineRule="auto"/>
        <w:rPr>
          <w:sz w:val="20"/>
          <w:szCs w:val="20"/>
          <w:color w:val="auto"/>
        </w:rPr>
      </w:pPr>
      <w:r>
        <w:rPr>
          <w:rFonts w:ascii="Arial" w:cs="Arial" w:eastAsia="Arial" w:hAnsi="Arial"/>
          <w:sz w:val="18"/>
          <w:szCs w:val="18"/>
          <w:color w:val="auto"/>
        </w:rPr>
        <w:t>In addition, the manufacturing process for any products that we may develop is subject to FDA, EMA, and foreign regulatory authority approval processes, and continuous oversight, and we will need to contract with manufacturers who can meet all applicable FDA, EMA, and foreign regulatory authority requirements, including complying with current good manufacturing practices (cGMPs) on an ongoing basis. If we or our third-party manufacturers are unable to reliably produce products to specifications acceptable to the FDA, EMA, or other regulatory authorities, we may not obtain or maintain the approvals we need to commercialize such products. Even if we obtain regulatory approval for any of our product candidates, there is no assurance that either we or our CDMOs will be able to manufacture the approved product to specifications acceptable to the FDA, EMA,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304" w:lineRule="exact"/>
        <w:rPr>
          <w:sz w:val="20"/>
          <w:szCs w:val="20"/>
          <w:color w:val="auto"/>
        </w:rPr>
      </w:pPr>
    </w:p>
    <w:p>
      <w:pPr>
        <w:ind w:left="180" w:right="600"/>
        <w:spacing w:after="0" w:line="372" w:lineRule="auto"/>
        <w:rPr>
          <w:sz w:val="20"/>
          <w:szCs w:val="20"/>
          <w:color w:val="auto"/>
        </w:rPr>
      </w:pPr>
      <w:r>
        <w:rPr>
          <w:rFonts w:ascii="Arial" w:cs="Arial" w:eastAsia="Arial" w:hAnsi="Arial"/>
          <w:sz w:val="16"/>
          <w:szCs w:val="16"/>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ind w:left="180" w:right="160" w:firstLine="465"/>
        <w:spacing w:after="0" w:line="298"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170" w:lineRule="exact"/>
        <w:rPr>
          <w:sz w:val="20"/>
          <w:szCs w:val="20"/>
          <w:color w:val="auto"/>
        </w:rPr>
      </w:pPr>
    </w:p>
    <w:p>
      <w:pPr>
        <w:ind w:left="180" w:firstLine="465"/>
        <w:spacing w:after="0" w:line="294" w:lineRule="auto"/>
        <w:rPr>
          <w:sz w:val="20"/>
          <w:szCs w:val="20"/>
          <w:color w:val="auto"/>
        </w:rPr>
      </w:pPr>
      <w:r>
        <w:rPr>
          <w:rFonts w:ascii="Arial" w:cs="Arial" w:eastAsia="Arial" w:hAnsi="Arial"/>
          <w:sz w:val="17"/>
          <w:szCs w:val="17"/>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Factors that may inhibit our efforts to commercialize any approved product on our own include:</w:t>
      </w:r>
    </w:p>
    <w:p>
      <w:pPr>
        <w:spacing w:after="0" w:line="138" w:lineRule="exact"/>
        <w:rPr>
          <w:sz w:val="20"/>
          <w:szCs w:val="20"/>
          <w:color w:val="auto"/>
        </w:rPr>
      </w:pPr>
    </w:p>
    <w:p>
      <w:pPr>
        <w:ind w:left="1100" w:right="400" w:hanging="350"/>
        <w:spacing w:after="0" w:line="275" w:lineRule="auto"/>
        <w:tabs>
          <w:tab w:leader="none" w:pos="11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our inability to recruit and retain adequate numbers of effective sales, marketing, reimbursement, customer service, medical affairs, and other support personnel;</w:t>
      </w:r>
    </w:p>
    <w:p>
      <w:pPr>
        <w:spacing w:after="0" w:line="84" w:lineRule="exact"/>
        <w:rPr>
          <w:rFonts w:ascii="Arial" w:cs="Arial" w:eastAsia="Arial" w:hAnsi="Arial"/>
          <w:sz w:val="19"/>
          <w:szCs w:val="19"/>
          <w:color w:val="auto"/>
        </w:rPr>
      </w:pPr>
    </w:p>
    <w:p>
      <w:pPr>
        <w:ind w:left="1100" w:right="160" w:hanging="350"/>
        <w:spacing w:after="0" w:line="275" w:lineRule="auto"/>
        <w:tabs>
          <w:tab w:leader="none" w:pos="11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inability of sales personnel to obtain access to physicians or persuade adequate numbers of physicians to prescribe any future approved products;</w:t>
      </w:r>
    </w:p>
    <w:p>
      <w:pPr>
        <w:spacing w:after="0" w:line="84" w:lineRule="exact"/>
        <w:rPr>
          <w:rFonts w:ascii="Arial" w:cs="Arial" w:eastAsia="Arial" w:hAnsi="Arial"/>
          <w:sz w:val="19"/>
          <w:szCs w:val="19"/>
          <w:color w:val="auto"/>
        </w:rPr>
      </w:pPr>
    </w:p>
    <w:p>
      <w:pPr>
        <w:ind w:left="1100" w:right="560" w:hanging="350"/>
        <w:spacing w:after="0" w:line="275" w:lineRule="auto"/>
        <w:tabs>
          <w:tab w:leader="none" w:pos="11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inability of reimbursement professionals to negotiate arrangements for formulary access, reimbursement, and other acceptance by payors;</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inability to price our products at a sufficient price point to ensure an adequate and attractive level of profitability;</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restricted or closed distribution channels that make it difficult to distribute our products to segments of the patient population;</w:t>
      </w:r>
    </w:p>
    <w:p>
      <w:pPr>
        <w:spacing w:after="0" w:line="138" w:lineRule="exact"/>
        <w:rPr>
          <w:rFonts w:ascii="Arial" w:cs="Arial" w:eastAsia="Arial" w:hAnsi="Arial"/>
          <w:sz w:val="19"/>
          <w:szCs w:val="19"/>
          <w:color w:val="auto"/>
        </w:rPr>
      </w:pPr>
    </w:p>
    <w:p>
      <w:pPr>
        <w:ind w:left="1100" w:right="100" w:hanging="350"/>
        <w:spacing w:after="0" w:line="275" w:lineRule="auto"/>
        <w:tabs>
          <w:tab w:leader="none" w:pos="11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lack of complementary products to be offered by sales personnel, which may put us at a competitive disadvantage relative to companies with more extensive product lines; and</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22</w:t>
      </w:r>
    </w:p>
    <w:p>
      <w:pPr>
        <w:sectPr>
          <w:pgSz w:w="12240" w:h="15840" w:orient="portrait"/>
          <w:cols w:equalWidth="0" w:num="1">
            <w:col w:w="11800"/>
          </w:cols>
          <w:pgMar w:left="120" w:top="336" w:right="320" w:bottom="1440" w:gutter="0" w:footer="0" w:header="0"/>
        </w:sectPr>
      </w:pPr>
    </w:p>
    <w:bookmarkStart w:id="30" w:name="page31"/>
    <w:bookmarkEnd w:id="3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hanging="350"/>
        <w:spacing w:after="0"/>
        <w:tabs>
          <w:tab w:leader="none" w:pos="11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unforeseen costs and expenses associated with creating an independent commercialization organization.</w:t>
      </w:r>
    </w:p>
    <w:p>
      <w:pPr>
        <w:spacing w:after="0" w:line="238" w:lineRule="exact"/>
        <w:rPr>
          <w:sz w:val="20"/>
          <w:szCs w:val="20"/>
          <w:color w:val="auto"/>
        </w:rPr>
      </w:pPr>
    </w:p>
    <w:p>
      <w:pPr>
        <w:ind w:left="180" w:firstLine="465"/>
        <w:spacing w:after="0" w:line="272" w:lineRule="auto"/>
        <w:rPr>
          <w:sz w:val="20"/>
          <w:szCs w:val="20"/>
          <w:color w:val="auto"/>
        </w:rPr>
      </w:pPr>
      <w:r>
        <w:rPr>
          <w:rFonts w:ascii="Arial" w:cs="Arial" w:eastAsia="Arial" w:hAnsi="Arial"/>
          <w:sz w:val="18"/>
          <w:szCs w:val="18"/>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p>
    <w:p>
      <w:pPr>
        <w:spacing w:after="0" w:line="304" w:lineRule="exact"/>
        <w:rPr>
          <w:sz w:val="20"/>
          <w:szCs w:val="20"/>
          <w:color w:val="auto"/>
        </w:rPr>
      </w:pPr>
    </w:p>
    <w:p>
      <w:pPr>
        <w:ind w:left="180" w:right="440"/>
        <w:spacing w:after="0" w:line="304" w:lineRule="auto"/>
        <w:rPr>
          <w:sz w:val="20"/>
          <w:szCs w:val="20"/>
          <w:color w:val="auto"/>
        </w:rPr>
      </w:pPr>
      <w:r>
        <w:rPr>
          <w:rFonts w:ascii="Arial" w:cs="Arial" w:eastAsia="Arial" w:hAnsi="Arial"/>
          <w:sz w:val="18"/>
          <w:szCs w:val="18"/>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46" w:lineRule="exact"/>
        <w:rPr>
          <w:sz w:val="20"/>
          <w:szCs w:val="20"/>
          <w:color w:val="auto"/>
        </w:rPr>
      </w:pPr>
    </w:p>
    <w:p>
      <w:pPr>
        <w:ind w:left="180" w:right="100" w:firstLine="465"/>
        <w:spacing w:after="0" w:line="298" w:lineRule="auto"/>
        <w:rPr>
          <w:sz w:val="20"/>
          <w:szCs w:val="20"/>
          <w:color w:val="auto"/>
        </w:rPr>
      </w:pPr>
      <w:r>
        <w:rPr>
          <w:rFonts w:ascii="Arial" w:cs="Arial" w:eastAsia="Arial" w:hAnsi="Arial"/>
          <w:sz w:val="17"/>
          <w:szCs w:val="17"/>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70" w:lineRule="exact"/>
        <w:rPr>
          <w:sz w:val="20"/>
          <w:szCs w:val="20"/>
          <w:color w:val="auto"/>
        </w:rPr>
      </w:pPr>
    </w:p>
    <w:p>
      <w:pPr>
        <w:ind w:left="1100" w:hanging="350"/>
        <w:spacing w:after="0"/>
        <w:tabs>
          <w:tab w:leader="none" w:pos="1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efficacy and safety of such product candidates as demonstrated in clinical trials and published in peer-reviewed journals;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potential and perceived advantages compared to alternative treatments;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ability to offer our products for sale at competitive prices;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sufficient third-party coverage or reimbursement;</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ability to offer appropriate patient access programs, such as co-pay assistance;</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extent to which physicians recommend our products to their patients;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convenience and ease of dosing and administration compared to alternative treatments;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clinical indications for which the product candidate is approved by FDA, EMA, or other regulatory agencies;</w:t>
      </w:r>
    </w:p>
    <w:p>
      <w:pPr>
        <w:spacing w:after="0" w:line="138" w:lineRule="exact"/>
        <w:rPr>
          <w:rFonts w:ascii="Arial" w:cs="Arial" w:eastAsia="Arial" w:hAnsi="Arial"/>
          <w:sz w:val="19"/>
          <w:szCs w:val="19"/>
          <w:color w:val="auto"/>
        </w:rPr>
      </w:pPr>
    </w:p>
    <w:p>
      <w:pPr>
        <w:ind w:left="1100" w:right="640" w:hanging="350"/>
        <w:spacing w:after="0" w:line="275" w:lineRule="auto"/>
        <w:tabs>
          <w:tab w:leader="none" w:pos="1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product labeling or product insert requirements of the FDA, EMA, or other comparable foreign regulatory authorities, including any limitations, contraindications, or warnings contained in a product’s approved labeling;</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restrictions on how the product is distributed;</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timing of market introduction of competitive products;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publicity concerning our products or competing products and treatments;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strength of marketing and distribution support; and</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prevalence and severity of any side effects.</w:t>
      </w:r>
    </w:p>
    <w:p>
      <w:pPr>
        <w:spacing w:after="0" w:line="238" w:lineRule="exact"/>
        <w:rPr>
          <w:sz w:val="20"/>
          <w:szCs w:val="20"/>
          <w:color w:val="auto"/>
        </w:rPr>
      </w:pPr>
    </w:p>
    <w:p>
      <w:pPr>
        <w:ind w:left="180" w:right="240" w:firstLine="465"/>
        <w:spacing w:after="0" w:line="275" w:lineRule="auto"/>
        <w:rPr>
          <w:sz w:val="20"/>
          <w:szCs w:val="20"/>
          <w:color w:val="auto"/>
        </w:rPr>
      </w:pPr>
      <w:r>
        <w:rPr>
          <w:rFonts w:ascii="Arial" w:cs="Arial" w:eastAsia="Arial" w:hAnsi="Arial"/>
          <w:sz w:val="19"/>
          <w:szCs w:val="19"/>
          <w:color w:val="auto"/>
        </w:rPr>
        <w:t>If any product candidates we develop do not achieve an adequate level of acceptance, we may not generate significant product revenue, and we may not become profitable.</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23</w:t>
      </w:r>
    </w:p>
    <w:p>
      <w:pPr>
        <w:sectPr>
          <w:pgSz w:w="12240" w:h="15840" w:orient="portrait"/>
          <w:cols w:equalWidth="0" w:num="1">
            <w:col w:w="11780"/>
          </w:cols>
          <w:pgMar w:left="120" w:top="336" w:right="340" w:bottom="1440" w:gutter="0" w:footer="0" w:header="0"/>
        </w:sectPr>
      </w:pPr>
    </w:p>
    <w:bookmarkStart w:id="31" w:name="page32"/>
    <w:bookmarkEnd w:id="3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60"/>
        <w:spacing w:after="0" w:line="275" w:lineRule="auto"/>
        <w:rPr>
          <w:sz w:val="20"/>
          <w:szCs w:val="20"/>
          <w:color w:val="auto"/>
        </w:rPr>
      </w:pPr>
      <w:r>
        <w:rPr>
          <w:rFonts w:ascii="Arial" w:cs="Arial" w:eastAsia="Arial" w:hAnsi="Arial"/>
          <w:sz w:val="19"/>
          <w:szCs w:val="19"/>
          <w:b w:val="1"/>
          <w:bCs w:val="1"/>
          <w:i w:val="1"/>
          <w:iCs w:val="1"/>
          <w:color w:val="auto"/>
        </w:rPr>
        <w:t>Any products we commercialize may become subject to unfavorable pricing regulations, third-party reimbursement practices, or healthcare reform initiatives, which would harm our business.</w:t>
      </w:r>
    </w:p>
    <w:p>
      <w:pPr>
        <w:spacing w:after="0" w:line="70" w:lineRule="exact"/>
        <w:rPr>
          <w:sz w:val="20"/>
          <w:szCs w:val="20"/>
          <w:color w:val="auto"/>
        </w:rPr>
      </w:pPr>
    </w:p>
    <w:p>
      <w:pPr>
        <w:ind w:left="180" w:right="100" w:firstLine="465"/>
        <w:spacing w:after="0" w:line="288"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77" w:lineRule="exact"/>
        <w:rPr>
          <w:sz w:val="20"/>
          <w:szCs w:val="20"/>
          <w:color w:val="auto"/>
        </w:rPr>
      </w:pPr>
    </w:p>
    <w:p>
      <w:pPr>
        <w:ind w:left="180" w:firstLine="465"/>
        <w:spacing w:after="0" w:line="283" w:lineRule="auto"/>
        <w:rPr>
          <w:sz w:val="20"/>
          <w:szCs w:val="20"/>
          <w:color w:val="auto"/>
        </w:rPr>
      </w:pPr>
      <w:r>
        <w:rPr>
          <w:rFonts w:ascii="Arial" w:cs="Arial" w:eastAsia="Arial" w:hAnsi="Arial"/>
          <w:sz w:val="17"/>
          <w:szCs w:val="17"/>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to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189" w:lineRule="exact"/>
        <w:rPr>
          <w:sz w:val="20"/>
          <w:szCs w:val="20"/>
          <w:color w:val="auto"/>
        </w:rPr>
      </w:pPr>
    </w:p>
    <w:p>
      <w:pPr>
        <w:ind w:left="180" w:right="20" w:firstLine="465"/>
        <w:spacing w:after="0" w:line="286"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have a</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24</w:t>
      </w:r>
    </w:p>
    <w:p>
      <w:pPr>
        <w:sectPr>
          <w:pgSz w:w="12240" w:h="15840" w:orient="portrait"/>
          <w:cols w:equalWidth="0" w:num="1">
            <w:col w:w="11800"/>
          </w:cols>
          <w:pgMar w:left="120" w:top="336" w:right="320" w:bottom="1440" w:gutter="0" w:footer="0" w:header="0"/>
        </w:sectPr>
      </w:pPr>
    </w:p>
    <w:bookmarkStart w:id="32" w:name="page33"/>
    <w:bookmarkEnd w:id="3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20"/>
        <w:spacing w:after="0" w:line="275" w:lineRule="auto"/>
        <w:rPr>
          <w:sz w:val="20"/>
          <w:szCs w:val="20"/>
          <w:color w:val="auto"/>
        </w:rPr>
      </w:pPr>
      <w:r>
        <w:rPr>
          <w:rFonts w:ascii="Arial" w:cs="Arial" w:eastAsia="Arial" w:hAnsi="Arial"/>
          <w:sz w:val="19"/>
          <w:szCs w:val="19"/>
          <w:color w:val="auto"/>
        </w:rPr>
        <w:t>material adverse effect on our operating results, our ability to raise capital needed to commercialize product candidates, and our overall financial condition.</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product candidates for which we intend to seek approval may face competition sooner than anticipated.</w:t>
      </w:r>
    </w:p>
    <w:p>
      <w:pPr>
        <w:spacing w:after="0" w:line="124"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Even if we are successful in achieving regulatory approval to commercialize a product candidate ahead of our competitors, our product candidates may face competition from biosimilar products. In the United States, our product candidates are regulated by the FDA as biologic products and we intend to seek approval for these product candidates pursuant to the biologics license application (BLA) pathway. The Biologics Price Competition and Innovation Act of 2009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product candidates.</w:t>
      </w:r>
    </w:p>
    <w:p>
      <w:pPr>
        <w:spacing w:after="0" w:line="190"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204" w:lineRule="exact"/>
        <w:rPr>
          <w:sz w:val="20"/>
          <w:szCs w:val="20"/>
          <w:color w:val="auto"/>
        </w:rPr>
      </w:pPr>
    </w:p>
    <w:p>
      <w:pPr>
        <w:ind w:left="180" w:firstLine="465"/>
        <w:spacing w:after="0" w:line="272" w:lineRule="auto"/>
        <w:rPr>
          <w:sz w:val="20"/>
          <w:szCs w:val="20"/>
          <w:color w:val="auto"/>
        </w:rPr>
      </w:pPr>
      <w:r>
        <w:rPr>
          <w:rFonts w:ascii="Arial" w:cs="Arial" w:eastAsia="Arial" w:hAnsi="Arial"/>
          <w:sz w:val="18"/>
          <w:szCs w:val="18"/>
          <w:color w:val="auto"/>
        </w:rPr>
        <w:t>In Europe, the European Commission has granted marketing authorizations for several biosimilar products pursuant to a set of general and product class-specific guidelines for biosimilar approvals issued over the past few years. In Europe, a competitor may reference data supporting approval of an innovative biological product, but will not be able to get it on the market until 10 years after the time of approval of the innovative product. This 10-year marketing exclusivity period will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 products in other countries that could compete with our products, if approved.</w:t>
      </w:r>
    </w:p>
    <w:p>
      <w:pPr>
        <w:spacing w:after="0" w:line="190" w:lineRule="exact"/>
        <w:rPr>
          <w:sz w:val="20"/>
          <w:szCs w:val="20"/>
          <w:color w:val="auto"/>
        </w:rPr>
      </w:pPr>
    </w:p>
    <w:p>
      <w:pPr>
        <w:jc w:val="both"/>
        <w:ind w:left="180" w:right="220" w:firstLine="465"/>
        <w:spacing w:after="0" w:line="308" w:lineRule="auto"/>
        <w:rPr>
          <w:sz w:val="20"/>
          <w:szCs w:val="20"/>
          <w:color w:val="auto"/>
        </w:rPr>
      </w:pPr>
      <w:r>
        <w:rPr>
          <w:rFonts w:ascii="Arial" w:cs="Arial" w:eastAsia="Arial" w:hAnsi="Arial"/>
          <w:sz w:val="17"/>
          <w:szCs w:val="17"/>
          <w:color w:val="auto"/>
        </w:rPr>
        <w:t>If competitors are able to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pacing w:after="0" w:line="274" w:lineRule="exact"/>
        <w:rPr>
          <w:sz w:val="20"/>
          <w:szCs w:val="20"/>
          <w:color w:val="auto"/>
        </w:rPr>
      </w:pPr>
    </w:p>
    <w:p>
      <w:pPr>
        <w:ind w:left="180" w:right="600"/>
        <w:spacing w:after="0" w:line="275" w:lineRule="auto"/>
        <w:rPr>
          <w:sz w:val="20"/>
          <w:szCs w:val="20"/>
          <w:color w:val="auto"/>
        </w:rPr>
      </w:pPr>
      <w:r>
        <w:rPr>
          <w:rFonts w:ascii="Arial" w:cs="Arial" w:eastAsia="Arial" w:hAnsi="Arial"/>
          <w:sz w:val="19"/>
          <w:szCs w:val="19"/>
          <w:b w:val="1"/>
          <w:bCs w:val="1"/>
          <w:i w:val="1"/>
          <w:iCs w:val="1"/>
          <w:color w:val="auto"/>
        </w:rPr>
        <w:t>If product liability lawsuits are brought against us, we may incur substantial liabilities and may be required to limit commercialization of our product candidates.</w:t>
      </w:r>
    </w:p>
    <w:p>
      <w:pPr>
        <w:spacing w:after="0" w:line="70" w:lineRule="exact"/>
        <w:rPr>
          <w:sz w:val="20"/>
          <w:szCs w:val="20"/>
          <w:color w:val="auto"/>
        </w:rPr>
      </w:pPr>
    </w:p>
    <w:p>
      <w:pPr>
        <w:ind w:left="180" w:right="60" w:firstLine="465"/>
        <w:spacing w:after="0" w:line="277"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25</w:t>
      </w:r>
    </w:p>
    <w:p>
      <w:pPr>
        <w:sectPr>
          <w:pgSz w:w="12240" w:h="15840" w:orient="portrait"/>
          <w:cols w:equalWidth="0" w:num="1">
            <w:col w:w="11800"/>
          </w:cols>
          <w:pgMar w:left="120" w:top="336" w:right="320" w:bottom="1440" w:gutter="0" w:footer="0" w:header="0"/>
        </w:sectPr>
      </w:pPr>
    </w:p>
    <w:bookmarkStart w:id="33" w:name="page34"/>
    <w:bookmarkEnd w:id="3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308" w:lineRule="auto"/>
        <w:rPr>
          <w:sz w:val="20"/>
          <w:szCs w:val="20"/>
          <w:color w:val="auto"/>
        </w:rPr>
      </w:pPr>
      <w:r>
        <w:rPr>
          <w:rFonts w:ascii="Arial" w:cs="Arial" w:eastAsia="Arial" w:hAnsi="Arial"/>
          <w:sz w:val="17"/>
          <w:szCs w:val="17"/>
          <w:color w:val="auto"/>
        </w:rPr>
        <w:t>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p>
    <w:p>
      <w:pPr>
        <w:spacing w:after="0" w:line="60" w:lineRule="exact"/>
        <w:rPr>
          <w:sz w:val="20"/>
          <w:szCs w:val="20"/>
          <w:color w:val="auto"/>
        </w:rPr>
      </w:pPr>
    </w:p>
    <w:p>
      <w:pPr>
        <w:ind w:left="1100" w:hanging="350"/>
        <w:spacing w:after="0"/>
        <w:tabs>
          <w:tab w:leader="none" w:pos="11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decreased or interrupted demand for our products;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injury to our reputation;</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withdrawal of clinical trial participants and inability to continue clinical trials;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initiation of investigations by regulators;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costs to defend the related litigation;</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 diversion of management’s time and our resources;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substantial monetary awards to trial participants or patients;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product recalls, withdrawals or labeling, marketing, or promotional restrictions;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loss of revenue;</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exhaustion of any available insurance and our capital resources; and</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inability to commercialize any product candidate.</w:t>
      </w:r>
    </w:p>
    <w:p>
      <w:pPr>
        <w:spacing w:after="0" w:line="238"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Risks Related to Regulatory Approval and Other Legal Compliance Matters</w:t>
      </w:r>
    </w:p>
    <w:p>
      <w:pPr>
        <w:spacing w:after="0" w:line="130" w:lineRule="exact"/>
        <w:rPr>
          <w:sz w:val="20"/>
          <w:szCs w:val="20"/>
          <w:color w:val="auto"/>
        </w:rPr>
      </w:pPr>
    </w:p>
    <w:p>
      <w:pPr>
        <w:jc w:val="both"/>
        <w:ind w:left="180" w:right="180"/>
        <w:spacing w:after="0" w:line="263" w:lineRule="auto"/>
        <w:rPr>
          <w:sz w:val="20"/>
          <w:szCs w:val="20"/>
          <w:color w:val="auto"/>
        </w:rPr>
      </w:pPr>
      <w:r>
        <w:rPr>
          <w:rFonts w:ascii="Arial" w:cs="Arial" w:eastAsia="Arial" w:hAnsi="Arial"/>
          <w:sz w:val="19"/>
          <w:szCs w:val="19"/>
          <w:b w:val="1"/>
          <w:bCs w:val="1"/>
          <w:i w:val="1"/>
          <w:iCs w:val="1"/>
          <w:color w:val="auto"/>
        </w:rPr>
        <w:t>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80" w:lineRule="exact"/>
        <w:rPr>
          <w:sz w:val="20"/>
          <w:szCs w:val="20"/>
          <w:color w:val="auto"/>
        </w:rPr>
      </w:pPr>
    </w:p>
    <w:p>
      <w:pPr>
        <w:ind w:left="180" w:right="120" w:firstLine="465"/>
        <w:spacing w:after="0" w:line="270" w:lineRule="auto"/>
        <w:rPr>
          <w:sz w:val="20"/>
          <w:szCs w:val="20"/>
          <w:color w:val="auto"/>
        </w:rPr>
      </w:pPr>
      <w:r>
        <w:rPr>
          <w:rFonts w:ascii="Arial" w:cs="Arial" w:eastAsia="Arial" w:hAnsi="Arial"/>
          <w:sz w:val="18"/>
          <w:szCs w:val="18"/>
          <w:color w:val="auto"/>
        </w:rPr>
        <w:t>The time required to obtain approval by the FDA, EMA,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191" w:lineRule="exact"/>
        <w:rPr>
          <w:sz w:val="20"/>
          <w:szCs w:val="20"/>
          <w:color w:val="auto"/>
        </w:rPr>
      </w:pPr>
    </w:p>
    <w:p>
      <w:pPr>
        <w:jc w:val="both"/>
        <w:ind w:left="180" w:right="220" w:firstLine="465"/>
        <w:spacing w:after="0" w:line="277" w:lineRule="auto"/>
        <w:rPr>
          <w:sz w:val="20"/>
          <w:szCs w:val="20"/>
          <w:color w:val="auto"/>
        </w:rPr>
      </w:pPr>
      <w:r>
        <w:rPr>
          <w:rFonts w:ascii="Arial" w:cs="Arial" w:eastAsia="Arial" w:hAnsi="Arial"/>
          <w:sz w:val="18"/>
          <w:szCs w:val="18"/>
          <w:color w:val="auto"/>
        </w:rPr>
        <w:t>Further, development of our product candidates and/or regulatory approval may be delayed for reasons beyond our control. For example, a U.S. federal government shutdown or budget sequestration, such as ones that occurred during 2013, 2018, and 2019, may result in significant reductions to the FDA’s budget, employees and operations, which may lead to slower response times and longer review periods, potentially affecting our ability to progress development of our product candidates or obtain regulatory approval for our product candidates.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26</w:t>
      </w:r>
    </w:p>
    <w:p>
      <w:pPr>
        <w:sectPr>
          <w:pgSz w:w="12240" w:h="15840" w:orient="portrait"/>
          <w:cols w:equalWidth="0" w:num="1">
            <w:col w:w="11800"/>
          </w:cols>
          <w:pgMar w:left="120" w:top="336" w:right="320" w:bottom="1440" w:gutter="0" w:footer="0" w:header="0"/>
        </w:sectPr>
      </w:pPr>
    </w:p>
    <w:bookmarkStart w:id="34" w:name="page35"/>
    <w:bookmarkEnd w:id="3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75" w:lineRule="auto"/>
        <w:rPr>
          <w:sz w:val="20"/>
          <w:szCs w:val="20"/>
          <w:color w:val="auto"/>
        </w:rPr>
      </w:pPr>
      <w:r>
        <w:rPr>
          <w:rFonts w:ascii="Arial" w:cs="Arial" w:eastAsia="Arial" w:hAnsi="Arial"/>
          <w:sz w:val="19"/>
          <w:szCs w:val="19"/>
          <w:color w:val="auto"/>
        </w:rPr>
        <w:t>Applications for our product candidates could fail to receive regulatory approval in an initial or subsequent indication for many reasons, including but not limited to the following:</w:t>
      </w:r>
    </w:p>
    <w:p>
      <w:pPr>
        <w:spacing w:after="0" w:line="84" w:lineRule="exact"/>
        <w:rPr>
          <w:sz w:val="20"/>
          <w:szCs w:val="20"/>
          <w:color w:val="auto"/>
        </w:rPr>
      </w:pPr>
    </w:p>
    <w:p>
      <w:pPr>
        <w:ind w:left="1100" w:hanging="350"/>
        <w:spacing w:after="0"/>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disagree with the design, implementation, or results of our clinical trials;</w:t>
      </w:r>
    </w:p>
    <w:p>
      <w:pPr>
        <w:spacing w:after="0" w:line="161" w:lineRule="exact"/>
        <w:rPr>
          <w:rFonts w:ascii="Arial" w:cs="Arial" w:eastAsia="Arial" w:hAnsi="Arial"/>
          <w:sz w:val="17"/>
          <w:szCs w:val="17"/>
          <w:color w:val="auto"/>
        </w:rPr>
      </w:pPr>
    </w:p>
    <w:p>
      <w:pPr>
        <w:ind w:left="1100" w:right="20" w:hanging="350"/>
        <w:spacing w:after="0" w:line="263" w:lineRule="auto"/>
        <w:tabs>
          <w:tab w:leader="none" w:pos="11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FDA, EMA,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94" w:lineRule="exact"/>
        <w:rPr>
          <w:rFonts w:ascii="Arial" w:cs="Arial" w:eastAsia="Arial" w:hAnsi="Arial"/>
          <w:sz w:val="19"/>
          <w:szCs w:val="19"/>
          <w:color w:val="auto"/>
        </w:rPr>
      </w:pPr>
    </w:p>
    <w:p>
      <w:pPr>
        <w:ind w:left="1100" w:right="620" w:hanging="350"/>
        <w:spacing w:after="0" w:line="275" w:lineRule="auto"/>
        <w:tabs>
          <w:tab w:leader="none" w:pos="11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population studied in the clinical program may not be sufficiently broad or representative to assure efficacy and safety in the full population for which we seek approval;</w:t>
      </w:r>
    </w:p>
    <w:p>
      <w:pPr>
        <w:spacing w:after="0" w:line="84" w:lineRule="exact"/>
        <w:rPr>
          <w:rFonts w:ascii="Arial" w:cs="Arial" w:eastAsia="Arial" w:hAnsi="Arial"/>
          <w:sz w:val="19"/>
          <w:szCs w:val="19"/>
          <w:color w:val="auto"/>
        </w:rPr>
      </w:pPr>
    </w:p>
    <w:p>
      <w:pPr>
        <w:ind w:left="1100" w:right="20" w:hanging="350"/>
        <w:spacing w:after="0" w:line="275" w:lineRule="auto"/>
        <w:tabs>
          <w:tab w:leader="none" w:pos="11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we may be unable to demonstrate to the FDA or comparable foreign regulatory authorities that a product candidate’s risk-benefit ratio when compared to the standard of care is acceptable;</w:t>
      </w:r>
    </w:p>
    <w:p>
      <w:pPr>
        <w:spacing w:after="0" w:line="84" w:lineRule="exact"/>
        <w:rPr>
          <w:rFonts w:ascii="Arial" w:cs="Arial" w:eastAsia="Arial" w:hAnsi="Arial"/>
          <w:sz w:val="19"/>
          <w:szCs w:val="19"/>
          <w:color w:val="auto"/>
        </w:rPr>
      </w:pPr>
    </w:p>
    <w:p>
      <w:pPr>
        <w:ind w:left="1100" w:hanging="350"/>
        <w:spacing w:after="0" w:line="275" w:lineRule="auto"/>
        <w:tabs>
          <w:tab w:leader="none" w:pos="11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FDA, EMA, or comparable foreign regulatory authorities may disagree with our interpretation of data from preclinical studies or clinical trials;</w:t>
      </w:r>
    </w:p>
    <w:p>
      <w:pPr>
        <w:spacing w:after="0" w:line="84" w:lineRule="exact"/>
        <w:rPr>
          <w:rFonts w:ascii="Arial" w:cs="Arial" w:eastAsia="Arial" w:hAnsi="Arial"/>
          <w:sz w:val="19"/>
          <w:szCs w:val="19"/>
          <w:color w:val="auto"/>
        </w:rPr>
      </w:pPr>
    </w:p>
    <w:p>
      <w:pPr>
        <w:ind w:left="1100" w:right="260" w:hanging="350"/>
        <w:spacing w:after="0" w:line="275" w:lineRule="auto"/>
        <w:tabs>
          <w:tab w:leader="none" w:pos="11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data collected from clinical trials of our product candidates may not be sufficient to support the submission of a new drug application (NDA), BLA, or other submission or to obtain regulatory approval in the United States or elsewhere;</w:t>
      </w:r>
    </w:p>
    <w:p>
      <w:pPr>
        <w:spacing w:after="0" w:line="84" w:lineRule="exact"/>
        <w:rPr>
          <w:rFonts w:ascii="Arial" w:cs="Arial" w:eastAsia="Arial" w:hAnsi="Arial"/>
          <w:sz w:val="19"/>
          <w:szCs w:val="19"/>
          <w:color w:val="auto"/>
        </w:rPr>
      </w:pPr>
    </w:p>
    <w:p>
      <w:pPr>
        <w:ind w:left="1100" w:right="320" w:hanging="350"/>
        <w:spacing w:after="0" w:line="275" w:lineRule="auto"/>
        <w:tabs>
          <w:tab w:leader="none" w:pos="11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we may be unable to demonstrate to the FDA, EMA, or comparable foreign regulatory authorities that a product candidate’s risk-benefit ratio for a proposed indication is acceptable;</w:t>
      </w:r>
    </w:p>
    <w:p>
      <w:pPr>
        <w:spacing w:after="0" w:line="84" w:lineRule="exact"/>
        <w:rPr>
          <w:rFonts w:ascii="Arial" w:cs="Arial" w:eastAsia="Arial" w:hAnsi="Arial"/>
          <w:sz w:val="19"/>
          <w:szCs w:val="19"/>
          <w:color w:val="auto"/>
        </w:rPr>
      </w:pPr>
    </w:p>
    <w:p>
      <w:pPr>
        <w:ind w:left="1100" w:right="680" w:hanging="350"/>
        <w:spacing w:after="0" w:line="336" w:lineRule="auto"/>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fail to approve the manufacturing processes, test procedures, and specifications, or facilities of third-party manufacturers with which we contract for clinical and commercial supplies; and</w:t>
      </w:r>
    </w:p>
    <w:p>
      <w:pPr>
        <w:spacing w:after="0" w:line="37" w:lineRule="exact"/>
        <w:rPr>
          <w:rFonts w:ascii="Arial" w:cs="Arial" w:eastAsia="Arial" w:hAnsi="Arial"/>
          <w:sz w:val="17"/>
          <w:szCs w:val="17"/>
          <w:color w:val="auto"/>
        </w:rPr>
      </w:pPr>
    </w:p>
    <w:p>
      <w:pPr>
        <w:ind w:left="1100" w:right="200" w:hanging="350"/>
        <w:spacing w:after="0" w:line="275" w:lineRule="auto"/>
        <w:tabs>
          <w:tab w:leader="none" w:pos="11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approval policies or regulations of the FDA, EMA, or comparable foreign regulatory authorities may significantly change in a manner rendering our clinical data insufficient for approval.</w:t>
      </w:r>
    </w:p>
    <w:p>
      <w:pPr>
        <w:spacing w:after="0" w:line="184" w:lineRule="exact"/>
        <w:rPr>
          <w:sz w:val="20"/>
          <w:szCs w:val="20"/>
          <w:color w:val="auto"/>
        </w:rPr>
      </w:pPr>
    </w:p>
    <w:p>
      <w:pPr>
        <w:ind w:left="180" w:firstLine="465"/>
        <w:spacing w:after="0" w:line="304"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274" w:lineRule="exact"/>
        <w:rPr>
          <w:sz w:val="20"/>
          <w:szCs w:val="20"/>
          <w:color w:val="auto"/>
        </w:rPr>
      </w:pPr>
    </w:p>
    <w:p>
      <w:pPr>
        <w:ind w:left="180" w:right="720"/>
        <w:spacing w:after="0" w:line="304"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46" w:lineRule="exact"/>
        <w:rPr>
          <w:sz w:val="20"/>
          <w:szCs w:val="20"/>
          <w:color w:val="auto"/>
        </w:rPr>
      </w:pPr>
    </w:p>
    <w:p>
      <w:pPr>
        <w:ind w:left="180" w:right="220" w:firstLine="465"/>
        <w:spacing w:after="0" w:line="263" w:lineRule="auto"/>
        <w:rPr>
          <w:sz w:val="20"/>
          <w:szCs w:val="20"/>
          <w:color w:val="auto"/>
        </w:rPr>
      </w:pPr>
      <w:r>
        <w:rPr>
          <w:rFonts w:ascii="Arial" w:cs="Arial" w:eastAsia="Arial" w:hAnsi="Arial"/>
          <w:sz w:val="19"/>
          <w:szCs w:val="19"/>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or other comparable foreign regulatory authorities.</w:t>
      </w:r>
    </w:p>
    <w:p>
      <w:pPr>
        <w:spacing w:after="0" w:line="194"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color w:val="auto"/>
        </w:rPr>
        <w:t>Drug-related side effects could affect patient recruitment, the ability of enrolled patients to complete the study, and/or result in potential product liability claims. We are required to maintain product liability insurance pursuant to certain of our development and commercialization agreements. We may not be able to maintain insurance coverage at a reasonable cost or in sufficient amounts to protect us against losses due to liability. A successful product liability claim or series of claims brought against us could adversely affect our results of operations, business, and reputation.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27</w:t>
      </w:r>
    </w:p>
    <w:p>
      <w:pPr>
        <w:sectPr>
          <w:pgSz w:w="12240" w:h="15840" w:orient="portrait"/>
          <w:cols w:equalWidth="0" w:num="1">
            <w:col w:w="11760"/>
          </w:cols>
          <w:pgMar w:left="120" w:top="336" w:right="360" w:bottom="1440" w:gutter="0" w:footer="0" w:header="0"/>
        </w:sectPr>
      </w:pPr>
    </w:p>
    <w:bookmarkStart w:id="35" w:name="page36"/>
    <w:bookmarkEnd w:id="3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40" w:firstLine="465"/>
        <w:spacing w:after="0" w:line="336" w:lineRule="auto"/>
        <w:rPr>
          <w:sz w:val="20"/>
          <w:szCs w:val="20"/>
          <w:color w:val="auto"/>
        </w:rPr>
      </w:pPr>
      <w:r>
        <w:rPr>
          <w:rFonts w:ascii="Arial" w:cs="Arial" w:eastAsia="Arial" w:hAnsi="Arial"/>
          <w:sz w:val="17"/>
          <w:szCs w:val="17"/>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37" w:lineRule="exact"/>
        <w:rPr>
          <w:sz w:val="20"/>
          <w:szCs w:val="20"/>
          <w:color w:val="auto"/>
        </w:rPr>
      </w:pPr>
    </w:p>
    <w:p>
      <w:pPr>
        <w:ind w:left="1100" w:hanging="350"/>
        <w:spacing w:after="0"/>
        <w:tabs>
          <w:tab w:leader="none" w:pos="11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regulatory authorities may withdraw approvals of such product and cause us to recall our products;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regulatory authorities may require additional warnings on the label;</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we may be required to change the way the product is administered or conduct additional clinical trials or post-approval studies;</w:t>
      </w:r>
    </w:p>
    <w:p>
      <w:pPr>
        <w:spacing w:after="0" w:line="138" w:lineRule="exact"/>
        <w:rPr>
          <w:rFonts w:ascii="Arial" w:cs="Arial" w:eastAsia="Arial" w:hAnsi="Arial"/>
          <w:sz w:val="19"/>
          <w:szCs w:val="19"/>
          <w:color w:val="auto"/>
        </w:rPr>
      </w:pPr>
    </w:p>
    <w:p>
      <w:pPr>
        <w:ind w:left="1100" w:right="120" w:hanging="350"/>
        <w:spacing w:after="0" w:line="263" w:lineRule="auto"/>
        <w:tabs>
          <w:tab w:leader="none" w:pos="11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we may be required to create a Risk Evaluation and Mitigation Strategy plan, which could include a medication guide outlining the risks of such side effects for distribution to patients, a communication plan for healthcare providers, and/or other elements, such as boxed warning on the packaging, to assure safe use;</w:t>
      </w:r>
    </w:p>
    <w:p>
      <w:pPr>
        <w:spacing w:after="0" w:line="94" w:lineRule="exact"/>
        <w:rPr>
          <w:rFonts w:ascii="Arial" w:cs="Arial" w:eastAsia="Arial" w:hAnsi="Arial"/>
          <w:sz w:val="19"/>
          <w:szCs w:val="19"/>
          <w:color w:val="auto"/>
        </w:rPr>
      </w:pPr>
    </w:p>
    <w:p>
      <w:pPr>
        <w:ind w:left="1100" w:hanging="350"/>
        <w:spacing w:after="0"/>
        <w:tabs>
          <w:tab w:leader="none" w:pos="11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we could be sued and held liable for harm caused to patients; and</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our reputation may suffer.</w:t>
      </w:r>
    </w:p>
    <w:p>
      <w:pPr>
        <w:spacing w:after="0" w:line="238" w:lineRule="exact"/>
        <w:rPr>
          <w:sz w:val="20"/>
          <w:szCs w:val="20"/>
          <w:color w:val="auto"/>
        </w:rPr>
      </w:pPr>
    </w:p>
    <w:p>
      <w:pPr>
        <w:ind w:left="180" w:right="60" w:firstLine="465"/>
        <w:spacing w:after="0" w:line="275" w:lineRule="auto"/>
        <w:rPr>
          <w:sz w:val="20"/>
          <w:szCs w:val="20"/>
          <w:color w:val="auto"/>
        </w:rPr>
      </w:pPr>
      <w:r>
        <w:rPr>
          <w:rFonts w:ascii="Arial" w:cs="Arial" w:eastAsia="Arial" w:hAnsi="Arial"/>
          <w:sz w:val="19"/>
          <w:szCs w:val="19"/>
          <w:color w:val="auto"/>
        </w:rPr>
        <w:t>Any of these events could prevent us from achieving or maintaining market acceptance of the particular product candidate, if approved, and could significantly harm our business, financial condition, results of operations, and growth prospects.</w:t>
      </w:r>
    </w:p>
    <w:p>
      <w:pPr>
        <w:spacing w:after="0" w:line="298" w:lineRule="exact"/>
        <w:rPr>
          <w:sz w:val="20"/>
          <w:szCs w:val="20"/>
          <w:color w:val="auto"/>
        </w:rPr>
      </w:pPr>
    </w:p>
    <w:p>
      <w:pPr>
        <w:ind w:left="180" w:right="620"/>
        <w:spacing w:after="0" w:line="275" w:lineRule="auto"/>
        <w:rPr>
          <w:sz w:val="20"/>
          <w:szCs w:val="20"/>
          <w:color w:val="auto"/>
        </w:rPr>
      </w:pPr>
      <w:r>
        <w:rPr>
          <w:rFonts w:ascii="Arial" w:cs="Arial" w:eastAsia="Arial" w:hAnsi="Arial"/>
          <w:sz w:val="19"/>
          <w:szCs w:val="19"/>
          <w:b w:val="1"/>
          <w:bCs w:val="1"/>
          <w:i w:val="1"/>
          <w:iCs w:val="1"/>
          <w:color w:val="auto"/>
        </w:rPr>
        <w:t>We may in the future conduct clinical trials for our product candidates outside the United States, and the FDA, EMA, and applicable foreign regulatory authorities may not accept data from such trials.</w:t>
      </w:r>
    </w:p>
    <w:p>
      <w:pPr>
        <w:spacing w:after="0" w:line="70" w:lineRule="exact"/>
        <w:rPr>
          <w:sz w:val="20"/>
          <w:szCs w:val="20"/>
          <w:color w:val="auto"/>
        </w:rPr>
      </w:pPr>
    </w:p>
    <w:p>
      <w:pPr>
        <w:ind w:left="180" w:right="60" w:firstLine="465"/>
        <w:spacing w:after="0" w:line="268" w:lineRule="auto"/>
        <w:rPr>
          <w:sz w:val="20"/>
          <w:szCs w:val="20"/>
          <w:color w:val="auto"/>
        </w:rPr>
      </w:pPr>
      <w:r>
        <w:rPr>
          <w:rFonts w:ascii="Arial" w:cs="Arial" w:eastAsia="Arial" w:hAnsi="Arial"/>
          <w:sz w:val="18"/>
          <w:szCs w:val="18"/>
          <w:color w:val="auto"/>
        </w:rPr>
        <w:t>We may in the future choose to conduct one or more of our clinical trials outside the United States, including in Europe or Australia. The acceptance of study data from clinical trials conducted outside the United States or another jurisdiction by the FDA, EMA,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and (ii) the trials were performed by clinical investigators of recognized competence and pursuant to cGCP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 United States or the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307" w:lineRule="exact"/>
        <w:rPr>
          <w:sz w:val="20"/>
          <w:szCs w:val="20"/>
          <w:color w:val="auto"/>
        </w:rPr>
      </w:pPr>
    </w:p>
    <w:p>
      <w:pPr>
        <w:ind w:left="180" w:right="140"/>
        <w:spacing w:after="0" w:line="275" w:lineRule="auto"/>
        <w:rPr>
          <w:sz w:val="20"/>
          <w:szCs w:val="20"/>
          <w:color w:val="auto"/>
        </w:rPr>
      </w:pPr>
      <w:r>
        <w:rPr>
          <w:rFonts w:ascii="Arial" w:cs="Arial" w:eastAsia="Arial" w:hAnsi="Arial"/>
          <w:sz w:val="19"/>
          <w:szCs w:val="19"/>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70"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or EMA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28</w:t>
      </w:r>
    </w:p>
    <w:p>
      <w:pPr>
        <w:sectPr>
          <w:pgSz w:w="12240" w:h="15840" w:orient="portrait"/>
          <w:cols w:equalWidth="0" w:num="1">
            <w:col w:w="11800"/>
          </w:cols>
          <w:pgMar w:left="120" w:top="336" w:right="320" w:bottom="1440" w:gutter="0" w:footer="0" w:header="0"/>
        </w:sectPr>
      </w:pPr>
    </w:p>
    <w:bookmarkStart w:id="36" w:name="page37"/>
    <w:bookmarkEnd w:id="3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spacing w:after="0" w:line="336" w:lineRule="auto"/>
        <w:rPr>
          <w:sz w:val="20"/>
          <w:szCs w:val="20"/>
          <w:color w:val="auto"/>
        </w:rPr>
      </w:pPr>
      <w:r>
        <w:rPr>
          <w:rFonts w:ascii="Arial" w:cs="Arial" w:eastAsia="Arial" w:hAnsi="Arial"/>
          <w:sz w:val="17"/>
          <w:szCs w:val="17"/>
          <w:color w:val="auto"/>
        </w:rPr>
        <w:t>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37" w:lineRule="exact"/>
        <w:rPr>
          <w:sz w:val="20"/>
          <w:szCs w:val="20"/>
          <w:color w:val="auto"/>
        </w:rPr>
      </w:pPr>
    </w:p>
    <w:p>
      <w:pPr>
        <w:jc w:val="both"/>
        <w:ind w:left="180" w:right="200" w:firstLine="465"/>
        <w:spacing w:after="0" w:line="259" w:lineRule="auto"/>
        <w:rPr>
          <w:sz w:val="20"/>
          <w:szCs w:val="20"/>
          <w:color w:val="auto"/>
        </w:rPr>
      </w:pPr>
      <w:r>
        <w:rPr>
          <w:rFonts w:ascii="Arial" w:cs="Arial" w:eastAsia="Arial" w:hAnsi="Arial"/>
          <w:sz w:val="19"/>
          <w:szCs w:val="19"/>
          <w:color w:val="auto"/>
        </w:rPr>
        <w:t>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Even if we obtain regulatory approval for a product candidate, our products will remain subject to extensive regulatory scrutiny.</w:t>
      </w:r>
    </w:p>
    <w:p>
      <w:pPr>
        <w:spacing w:after="0" w:line="124" w:lineRule="exact"/>
        <w:rPr>
          <w:sz w:val="20"/>
          <w:szCs w:val="20"/>
          <w:color w:val="auto"/>
        </w:rPr>
      </w:pPr>
    </w:p>
    <w:p>
      <w:pPr>
        <w:ind w:left="180" w:right="100" w:firstLine="465"/>
        <w:spacing w:after="0" w:line="308" w:lineRule="auto"/>
        <w:rPr>
          <w:sz w:val="20"/>
          <w:szCs w:val="20"/>
          <w:color w:val="auto"/>
        </w:rPr>
      </w:pPr>
      <w:r>
        <w:rPr>
          <w:rFonts w:ascii="Arial" w:cs="Arial" w:eastAsia="Arial" w:hAnsi="Arial"/>
          <w:sz w:val="17"/>
          <w:szCs w:val="17"/>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160" w:lineRule="exact"/>
        <w:rPr>
          <w:sz w:val="20"/>
          <w:szCs w:val="20"/>
          <w:color w:val="auto"/>
        </w:rPr>
      </w:pPr>
    </w:p>
    <w:p>
      <w:pPr>
        <w:ind w:left="180" w:right="20" w:firstLine="465"/>
        <w:spacing w:after="0" w:line="274" w:lineRule="auto"/>
        <w:rPr>
          <w:sz w:val="20"/>
          <w:szCs w:val="20"/>
          <w:color w:val="auto"/>
        </w:rPr>
      </w:pPr>
      <w:r>
        <w:rPr>
          <w:rFonts w:ascii="Arial" w:cs="Arial" w:eastAsia="Arial" w:hAnsi="Arial"/>
          <w:sz w:val="18"/>
          <w:szCs w:val="18"/>
          <w:color w:val="auto"/>
        </w:rPr>
        <w:t>Manufacturers and manufacturers’ facilities are required to comply with extensive requirements imposed by the FDA, EMA,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NDA, BLA, or marketing authorization application (MAA). Accordingly, we and others with whom we work must continue to expend time, money, and effort in all areas of regulatory compliance, including manufacturing, production, and quality control.</w:t>
      </w:r>
    </w:p>
    <w:p>
      <w:pPr>
        <w:spacing w:after="0" w:line="188" w:lineRule="exact"/>
        <w:rPr>
          <w:sz w:val="20"/>
          <w:szCs w:val="20"/>
          <w:color w:val="auto"/>
        </w:rPr>
      </w:pPr>
    </w:p>
    <w:p>
      <w:pPr>
        <w:ind w:left="180" w:firstLine="465"/>
        <w:spacing w:after="0" w:line="284" w:lineRule="auto"/>
        <w:rPr>
          <w:sz w:val="20"/>
          <w:szCs w:val="20"/>
          <w:color w:val="auto"/>
        </w:rPr>
      </w:pPr>
      <w:r>
        <w:rPr>
          <w:rFonts w:ascii="Arial" w:cs="Arial" w:eastAsia="Arial" w:hAnsi="Arial"/>
          <w:sz w:val="17"/>
          <w:szCs w:val="17"/>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Risk Evaluation and Mitigation Strategy), or contain requirements for potentially costly post-marketing testing. We will be required to report certain adverse reactions and production problems, if any, to the FDA, EMA,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NDA,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184" w:lineRule="exact"/>
        <w:rPr>
          <w:sz w:val="20"/>
          <w:szCs w:val="20"/>
          <w:color w:val="auto"/>
        </w:rPr>
      </w:pPr>
    </w:p>
    <w:p>
      <w:pPr>
        <w:ind w:left="180" w:right="220" w:firstLine="465"/>
        <w:spacing w:after="0" w:line="277"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85" w:lineRule="exact"/>
        <w:rPr>
          <w:sz w:val="20"/>
          <w:szCs w:val="20"/>
          <w:color w:val="auto"/>
        </w:rPr>
      </w:pPr>
    </w:p>
    <w:p>
      <w:pPr>
        <w:ind w:left="1100" w:hanging="350"/>
        <w:spacing w:after="0"/>
        <w:tabs>
          <w:tab w:leader="none" w:pos="11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issue warning letters that would result in adverse publicity;</w:t>
      </w:r>
    </w:p>
    <w:p>
      <w:pPr>
        <w:spacing w:after="0" w:line="167"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29</w:t>
      </w:r>
    </w:p>
    <w:p>
      <w:pPr>
        <w:sectPr>
          <w:pgSz w:w="12240" w:h="15840" w:orient="portrait"/>
          <w:cols w:equalWidth="0" w:num="1">
            <w:col w:w="11800"/>
          </w:cols>
          <w:pgMar w:left="120" w:top="336" w:right="320" w:bottom="1440" w:gutter="0" w:footer="0" w:header="0"/>
        </w:sectPr>
      </w:pPr>
    </w:p>
    <w:bookmarkStart w:id="37" w:name="page38"/>
    <w:bookmarkEnd w:id="3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hanging="350"/>
        <w:spacing w:after="0"/>
        <w:tabs>
          <w:tab w:leader="none" w:pos="11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impose civil or criminal penalties;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suspend or withdraw regulatory approvals;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suspend any of our ongoing clinical trials;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refuse to approve pending applications or supplements to approved applications submitted by us;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impose restrictions on our operations, including closing our contract manufacturers’ facilities;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seize or detain products; or</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require a product recall.</w:t>
      </w:r>
    </w:p>
    <w:p>
      <w:pPr>
        <w:spacing w:after="0" w:line="238" w:lineRule="exact"/>
        <w:rPr>
          <w:sz w:val="20"/>
          <w:szCs w:val="20"/>
          <w:color w:val="auto"/>
        </w:rPr>
      </w:pPr>
    </w:p>
    <w:p>
      <w:pPr>
        <w:ind w:left="180" w:right="480" w:firstLine="465"/>
        <w:spacing w:after="0" w:line="259" w:lineRule="auto"/>
        <w:rPr>
          <w:sz w:val="20"/>
          <w:szCs w:val="20"/>
          <w:color w:val="auto"/>
        </w:rPr>
      </w:pPr>
      <w:r>
        <w:rPr>
          <w:rFonts w:ascii="Arial" w:cs="Arial" w:eastAsia="Arial" w:hAnsi="Arial"/>
          <w:sz w:val="19"/>
          <w:szCs w:val="19"/>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312" w:lineRule="exact"/>
        <w:rPr>
          <w:sz w:val="20"/>
          <w:szCs w:val="20"/>
          <w:color w:val="auto"/>
        </w:rPr>
      </w:pPr>
    </w:p>
    <w:p>
      <w:pPr>
        <w:ind w:left="180"/>
        <w:spacing w:after="0" w:line="263" w:lineRule="auto"/>
        <w:rPr>
          <w:sz w:val="20"/>
          <w:szCs w:val="20"/>
          <w:color w:val="auto"/>
        </w:rPr>
      </w:pPr>
      <w:r>
        <w:rPr>
          <w:rFonts w:ascii="Arial" w:cs="Arial" w:eastAsia="Arial" w:hAnsi="Arial"/>
          <w:sz w:val="19"/>
          <w:szCs w:val="19"/>
          <w:b w:val="1"/>
          <w:bCs w:val="1"/>
          <w:i w:val="1"/>
          <w:iCs w:val="1"/>
          <w:color w:val="auto"/>
        </w:rPr>
        <w:t>We have received orphan drug designation from the FDA for AL001 for treatment of FTD and plan to seek orphan drug designation for some of our other product candidates, but we may be unable to obtain such designations or to maintain the benefits associated with orphan drug status, including market exclusivity, which may cause our revenue, if any, to be reduced.</w:t>
      </w:r>
    </w:p>
    <w:p>
      <w:pPr>
        <w:spacing w:after="0" w:line="80" w:lineRule="exact"/>
        <w:rPr>
          <w:sz w:val="20"/>
          <w:szCs w:val="20"/>
          <w:color w:val="auto"/>
        </w:rPr>
      </w:pPr>
    </w:p>
    <w:p>
      <w:pPr>
        <w:ind w:left="180" w:right="20" w:firstLine="465"/>
        <w:spacing w:after="0" w:line="286" w:lineRule="auto"/>
        <w:rPr>
          <w:sz w:val="20"/>
          <w:szCs w:val="20"/>
          <w:color w:val="auto"/>
        </w:rPr>
      </w:pPr>
      <w:r>
        <w:rPr>
          <w:rFonts w:ascii="Arial" w:cs="Arial" w:eastAsia="Arial" w:hAnsi="Arial"/>
          <w:sz w:val="17"/>
          <w:szCs w:val="17"/>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Orphan drug designation must be requested before submitting an NDA or BLA.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 While we have obtained orphan drug designation from the FDA for AL001 for treatment of FTD, we may be unable to reap the benefits associated with orphan drug status. In addition, we plan to seek orphan drug designations for some of our other product candidates in the future but may be unable to obtain an orphan drug designation for any additional product candidates.</w:t>
      </w:r>
    </w:p>
    <w:p>
      <w:pPr>
        <w:spacing w:after="0" w:line="181" w:lineRule="exact"/>
        <w:rPr>
          <w:sz w:val="20"/>
          <w:szCs w:val="20"/>
          <w:color w:val="auto"/>
        </w:rPr>
      </w:pPr>
    </w:p>
    <w:p>
      <w:pPr>
        <w:ind w:left="180" w:right="60" w:firstLine="465"/>
        <w:spacing w:after="0" w:line="254" w:lineRule="auto"/>
        <w:rPr>
          <w:sz w:val="20"/>
          <w:szCs w:val="20"/>
          <w:color w:val="auto"/>
        </w:rPr>
      </w:pPr>
      <w:r>
        <w:rPr>
          <w:rFonts w:ascii="Arial" w:cs="Arial" w:eastAsia="Arial" w:hAnsi="Arial"/>
          <w:sz w:val="19"/>
          <w:szCs w:val="19"/>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NDA or BLA applications to market the same drug or biologic for the same indication for seven years, except in limited circumstances such as a showing of clinical superiority to the product with orphan exclusivity or if FDA finds that the holder of the orphan exclusivity has not shown that it can assure the availability of sufficient quantities of the orphan product to meet the needs of patients with the disease or condition for which the drug was designated. As a result, even though the FDA has approved orphan drug status for AL001 for treatment of FTD, the FDA can still approve other drugs that have a different active ingredient for use in treating the same indication or disease. Furthermore, the FDA can waive orphan exclusivity if we are unable to manufacture sufficient supply of our product.</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Healthcare legislative measures aimed at reducing healthcare costs may have a material adverse effect on our business and results of operations.</w:t>
      </w:r>
    </w:p>
    <w:p>
      <w:pPr>
        <w:spacing w:after="0" w:line="158" w:lineRule="exact"/>
        <w:rPr>
          <w:sz w:val="20"/>
          <w:szCs w:val="20"/>
          <w:color w:val="auto"/>
        </w:rPr>
      </w:pPr>
    </w:p>
    <w:p>
      <w:pPr>
        <w:ind w:left="180" w:right="860" w:firstLine="465"/>
        <w:spacing w:after="0" w:line="275" w:lineRule="auto"/>
        <w:rPr>
          <w:sz w:val="20"/>
          <w:szCs w:val="20"/>
          <w:color w:val="auto"/>
        </w:rPr>
      </w:pPr>
      <w:r>
        <w:rPr>
          <w:rFonts w:ascii="Arial" w:cs="Arial" w:eastAsia="Arial" w:hAnsi="Arial"/>
          <w:sz w:val="19"/>
          <w:szCs w:val="19"/>
          <w:color w:val="auto"/>
        </w:rPr>
        <w:t>Third-party payors, whether domestic or foreign, or governmental or commercial, are developing increasingly sophisticated methods of controlling healthcare costs. In both the United States and certain foreign</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30</w:t>
      </w:r>
    </w:p>
    <w:p>
      <w:pPr>
        <w:sectPr>
          <w:pgSz w:w="12240" w:h="15840" w:orient="portrait"/>
          <w:cols w:equalWidth="0" w:num="1">
            <w:col w:w="11800"/>
          </w:cols>
          <w:pgMar w:left="120" w:top="336" w:right="320" w:bottom="1440" w:gutter="0" w:footer="0" w:header="0"/>
        </w:sectPr>
      </w:pPr>
    </w:p>
    <w:bookmarkStart w:id="38" w:name="page39"/>
    <w:bookmarkEnd w:id="3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86" w:lineRule="auto"/>
        <w:rPr>
          <w:sz w:val="20"/>
          <w:szCs w:val="20"/>
          <w:color w:val="auto"/>
        </w:rPr>
      </w:pPr>
      <w:r>
        <w:rPr>
          <w:rFonts w:ascii="Arial" w:cs="Arial" w:eastAsia="Arial" w:hAnsi="Arial"/>
          <w:sz w:val="17"/>
          <w:szCs w:val="17"/>
          <w:color w:val="auto"/>
        </w:rPr>
        <w:t>jurisdictions, there have been a number of legislative and regulatory changes to the healthcare system that could impact our ability to sell our products profitably. In particular, in 2010, the Affordable Care Act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 Recent changes in the U.S. administration could lead to repeal of or changes in some or all of the ACA, and complying with any new legislation or reversing changes implemented under the ACA could be time-intensive and expensive, resulting in a material adverse effect on our business. Until the ACA is fully implemented or there is more certainty concerning the future of the ACA, it will be difficult to predict its full impact and influence on our business.</w:t>
      </w:r>
    </w:p>
    <w:p>
      <w:pPr>
        <w:spacing w:after="0" w:line="181" w:lineRule="exact"/>
        <w:rPr>
          <w:sz w:val="20"/>
          <w:szCs w:val="20"/>
          <w:color w:val="auto"/>
        </w:rPr>
      </w:pPr>
    </w:p>
    <w:p>
      <w:pPr>
        <w:ind w:left="180" w:right="120" w:firstLine="465"/>
        <w:spacing w:after="0" w:line="259" w:lineRule="auto"/>
        <w:rPr>
          <w:sz w:val="20"/>
          <w:szCs w:val="20"/>
          <w:color w:val="auto"/>
        </w:rPr>
      </w:pPr>
      <w:r>
        <w:rPr>
          <w:rFonts w:ascii="Arial" w:cs="Arial" w:eastAsia="Arial" w:hAnsi="Arial"/>
          <w:sz w:val="19"/>
          <w:szCs w:val="19"/>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98" w:lineRule="exact"/>
        <w:rPr>
          <w:sz w:val="20"/>
          <w:szCs w:val="20"/>
          <w:color w:val="auto"/>
        </w:rPr>
      </w:pPr>
    </w:p>
    <w:p>
      <w:pPr>
        <w:ind w:left="1100" w:hanging="350"/>
        <w:spacing w:after="0"/>
        <w:tabs>
          <w:tab w:leader="none" w:pos="11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demand for our product candidates, if we obtain regulatory approval;</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our ability to receive or set a price that we believe is fair for our products;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our ability to generate revenue and achieve or maintain profitability;</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level of taxes that we are required to pay; and</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availability of capital.</w:t>
      </w:r>
    </w:p>
    <w:p>
      <w:pPr>
        <w:spacing w:after="0" w:line="238" w:lineRule="exact"/>
        <w:rPr>
          <w:sz w:val="20"/>
          <w:szCs w:val="20"/>
          <w:color w:val="auto"/>
        </w:rPr>
      </w:pPr>
    </w:p>
    <w:p>
      <w:pPr>
        <w:ind w:left="180" w:right="180" w:firstLine="465"/>
        <w:spacing w:after="0" w:line="274"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w:t>
      </w:r>
    </w:p>
    <w:p>
      <w:pPr>
        <w:spacing w:after="0" w:line="302" w:lineRule="exact"/>
        <w:rPr>
          <w:sz w:val="20"/>
          <w:szCs w:val="20"/>
          <w:color w:val="auto"/>
        </w:rPr>
      </w:pPr>
    </w:p>
    <w:p>
      <w:pPr>
        <w:ind w:left="180" w:right="320"/>
        <w:spacing w:after="0" w:line="275" w:lineRule="auto"/>
        <w:rPr>
          <w:sz w:val="20"/>
          <w:szCs w:val="20"/>
          <w:color w:val="auto"/>
        </w:rPr>
      </w:pPr>
      <w:r>
        <w:rPr>
          <w:rFonts w:ascii="Arial" w:cs="Arial" w:eastAsia="Arial" w:hAnsi="Arial"/>
          <w:sz w:val="19"/>
          <w:szCs w:val="19"/>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70" w:lineRule="exact"/>
        <w:rPr>
          <w:sz w:val="20"/>
          <w:szCs w:val="20"/>
          <w:color w:val="auto"/>
        </w:rPr>
      </w:pPr>
    </w:p>
    <w:p>
      <w:pPr>
        <w:ind w:left="180" w:right="420" w:firstLine="465"/>
        <w:spacing w:after="0" w:line="304" w:lineRule="auto"/>
        <w:rPr>
          <w:sz w:val="20"/>
          <w:szCs w:val="20"/>
          <w:color w:val="auto"/>
        </w:rPr>
      </w:pPr>
      <w:r>
        <w:rPr>
          <w:rFonts w:ascii="Arial" w:cs="Arial" w:eastAsia="Arial" w:hAnsi="Arial"/>
          <w:sz w:val="18"/>
          <w:szCs w:val="18"/>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w:t>
      </w:r>
    </w:p>
    <w:p>
      <w:pPr>
        <w:spacing w:after="0" w:line="60" w:lineRule="exact"/>
        <w:rPr>
          <w:sz w:val="20"/>
          <w:szCs w:val="20"/>
          <w:color w:val="auto"/>
        </w:rPr>
      </w:pPr>
    </w:p>
    <w:p>
      <w:pPr>
        <w:ind w:left="1100" w:hanging="350"/>
        <w:spacing w:after="0"/>
        <w:tabs>
          <w:tab w:leader="none" w:pos="11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comply with the laws of the FDA, EMA, and other comparable foreign regulatory authorities;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provide true, complete, and accurate information to the FDA, EMA, and other comparable foreign regulatory authorities;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comply with manufacturing standards we have established;</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comply with healthcare fraud and abuse laws in the United States and similar foreign fraudulent misconduct laws; or</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report financial information or data accurately or to disclose unauthorized activities to us.</w:t>
      </w:r>
    </w:p>
    <w:p>
      <w:pPr>
        <w:spacing w:after="0" w:line="167"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31</w:t>
      </w:r>
    </w:p>
    <w:p>
      <w:pPr>
        <w:sectPr>
          <w:pgSz w:w="12240" w:h="15840" w:orient="portrait"/>
          <w:cols w:equalWidth="0" w:num="1">
            <w:col w:w="11780"/>
          </w:cols>
          <w:pgMar w:left="120" w:top="336" w:right="340" w:bottom="1440" w:gutter="0" w:footer="0" w:header="0"/>
        </w:sectPr>
      </w:pPr>
    </w:p>
    <w:bookmarkStart w:id="39" w:name="page40"/>
    <w:bookmarkEnd w:id="3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firstLine="465"/>
        <w:spacing w:after="0" w:line="268" w:lineRule="auto"/>
        <w:rPr>
          <w:sz w:val="20"/>
          <w:szCs w:val="20"/>
          <w:color w:val="auto"/>
        </w:rPr>
      </w:pPr>
      <w:r>
        <w:rPr>
          <w:rFonts w:ascii="Arial" w:cs="Arial" w:eastAsia="Arial" w:hAnsi="Arial"/>
          <w:sz w:val="18"/>
          <w:szCs w:val="18"/>
          <w:color w:val="auto"/>
        </w:rPr>
        <w:t>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We plan to adopt a code of business conduct and ethics in connection with this offering, but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307" w:lineRule="exact"/>
        <w:rPr>
          <w:sz w:val="20"/>
          <w:szCs w:val="20"/>
          <w:color w:val="auto"/>
        </w:rPr>
      </w:pPr>
    </w:p>
    <w:p>
      <w:pPr>
        <w:ind w:left="180" w:right="640"/>
        <w:spacing w:after="0" w:line="275" w:lineRule="auto"/>
        <w:rPr>
          <w:sz w:val="20"/>
          <w:szCs w:val="20"/>
          <w:color w:val="auto"/>
        </w:rPr>
      </w:pPr>
      <w:r>
        <w:rPr>
          <w:rFonts w:ascii="Arial" w:cs="Arial" w:eastAsia="Arial" w:hAnsi="Arial"/>
          <w:sz w:val="19"/>
          <w:szCs w:val="19"/>
          <w:b w:val="1"/>
          <w:bCs w:val="1"/>
          <w:i w:val="1"/>
          <w:iCs w:val="1"/>
          <w:color w:val="auto"/>
        </w:rPr>
        <w:t>If we fail to comply with healthcare laws, we could face substantial penalties and our business, operations, and financial conditions could be adversely affected.</w:t>
      </w:r>
    </w:p>
    <w:p>
      <w:pPr>
        <w:spacing w:after="0" w:line="70" w:lineRule="exact"/>
        <w:rPr>
          <w:sz w:val="20"/>
          <w:szCs w:val="20"/>
          <w:color w:val="auto"/>
        </w:rPr>
      </w:pPr>
    </w:p>
    <w:p>
      <w:pPr>
        <w:ind w:left="180" w:right="220" w:firstLine="465"/>
        <w:spacing w:after="0" w:line="304"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subject to various federal and state fraud and abuse laws. The laws that may impact our operations include the following:</w:t>
      </w:r>
    </w:p>
    <w:p>
      <w:pPr>
        <w:spacing w:after="0" w:line="60" w:lineRule="exact"/>
        <w:rPr>
          <w:sz w:val="20"/>
          <w:szCs w:val="20"/>
          <w:color w:val="auto"/>
        </w:rPr>
      </w:pPr>
    </w:p>
    <w:p>
      <w:pPr>
        <w:ind w:left="1100" w:right="20" w:hanging="350"/>
        <w:spacing w:after="0" w:line="271"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89" w:lineRule="exact"/>
        <w:rPr>
          <w:rFonts w:ascii="Arial" w:cs="Arial" w:eastAsia="Arial" w:hAnsi="Arial"/>
          <w:sz w:val="18"/>
          <w:szCs w:val="18"/>
          <w:color w:val="auto"/>
        </w:rPr>
      </w:pPr>
    </w:p>
    <w:p>
      <w:pPr>
        <w:ind w:left="1100" w:hanging="350"/>
        <w:spacing w:after="0" w:line="255" w:lineRule="auto"/>
        <w:tabs>
          <w:tab w:leader="none" w:pos="11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Federal civil and criminal false claims laws and civil monetary penalty laws, including the False Claims Act, impose criminal and civil penalties, including through civil “qui tam” or “whistleblower” actions,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w:t>
      </w:r>
    </w:p>
    <w:p>
      <w:pPr>
        <w:spacing w:after="0" w:line="104" w:lineRule="exact"/>
        <w:rPr>
          <w:rFonts w:ascii="Arial" w:cs="Arial" w:eastAsia="Arial" w:hAnsi="Arial"/>
          <w:sz w:val="19"/>
          <w:szCs w:val="19"/>
          <w:color w:val="auto"/>
        </w:rPr>
      </w:pPr>
    </w:p>
    <w:p>
      <w:pPr>
        <w:ind w:left="1100" w:right="180" w:hanging="350"/>
        <w:spacing w:after="0" w:line="272"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89" w:lineRule="exact"/>
        <w:rPr>
          <w:rFonts w:ascii="Arial" w:cs="Arial" w:eastAsia="Arial" w:hAnsi="Arial"/>
          <w:sz w:val="18"/>
          <w:szCs w:val="18"/>
          <w:color w:val="auto"/>
        </w:rPr>
      </w:pPr>
    </w:p>
    <w:p>
      <w:pPr>
        <w:ind w:left="1100" w:right="240" w:hanging="350"/>
        <w:spacing w:after="0" w:line="275" w:lineRule="auto"/>
        <w:tabs>
          <w:tab w:leader="none" w:pos="11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HIPAA, as amended by the Health Information Technology for Economic and Clinical Health Act of 2009 (HITECH) and their respective implementing regulations, impose requirements on certain</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32</w:t>
      </w:r>
    </w:p>
    <w:p>
      <w:pPr>
        <w:sectPr>
          <w:pgSz w:w="12240" w:h="15840" w:orient="portrait"/>
          <w:cols w:equalWidth="0" w:num="1">
            <w:col w:w="11820"/>
          </w:cols>
          <w:pgMar w:left="120" w:top="336" w:right="300" w:bottom="1440" w:gutter="0" w:footer="0" w:header="0"/>
        </w:sectPr>
      </w:pPr>
    </w:p>
    <w:bookmarkStart w:id="40" w:name="page41"/>
    <w:bookmarkEnd w:id="4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380"/>
        <w:spacing w:after="0" w:line="263" w:lineRule="auto"/>
        <w:rPr>
          <w:sz w:val="20"/>
          <w:szCs w:val="20"/>
          <w:color w:val="auto"/>
        </w:rPr>
      </w:pPr>
      <w:r>
        <w:rPr>
          <w:rFonts w:ascii="Arial" w:cs="Arial" w:eastAsia="Arial" w:hAnsi="Arial"/>
          <w:sz w:val="19"/>
          <w:szCs w:val="19"/>
          <w:color w:val="auto"/>
        </w:rPr>
        <w:t>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w:t>
      </w:r>
    </w:p>
    <w:p>
      <w:pPr>
        <w:spacing w:after="0" w:line="95" w:lineRule="exact"/>
        <w:rPr>
          <w:sz w:val="20"/>
          <w:szCs w:val="20"/>
          <w:color w:val="auto"/>
        </w:rPr>
      </w:pPr>
    </w:p>
    <w:p>
      <w:pPr>
        <w:ind w:left="1100" w:hanging="350"/>
        <w:spacing w:after="0" w:line="256" w:lineRule="auto"/>
        <w:tabs>
          <w:tab w:leader="none" w:pos="11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federal Physician Payment Sunshine Act, created under the ACA, and its implementing regulations, require manufacturers of drugs, devices, biologicals, and medical supplies for which payment is available under Medicare, Medicaid or the Children’s Health Insurance Program to report annually to the U.S. Department of Health and Human Services under the Open Payments Program, information related to payments or other transfers of value made to physicians and teaching hospitals, as well as ownership and investment interests held by physicians and their immediate family members.</w:t>
      </w:r>
    </w:p>
    <w:p>
      <w:pPr>
        <w:spacing w:after="0" w:line="103" w:lineRule="exact"/>
        <w:rPr>
          <w:rFonts w:ascii="Arial" w:cs="Arial" w:eastAsia="Arial" w:hAnsi="Arial"/>
          <w:sz w:val="19"/>
          <w:szCs w:val="19"/>
          <w:color w:val="auto"/>
        </w:rPr>
      </w:pPr>
    </w:p>
    <w:p>
      <w:pPr>
        <w:ind w:left="1100" w:right="680" w:hanging="350"/>
        <w:spacing w:after="0" w:line="275" w:lineRule="auto"/>
        <w:tabs>
          <w:tab w:leader="none" w:pos="11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Federal consumer protection and unfair competition laws broadly regulate marketplace activities and activities that potentially harm consumers.</w:t>
      </w:r>
    </w:p>
    <w:p>
      <w:pPr>
        <w:spacing w:after="0" w:line="84" w:lineRule="exact"/>
        <w:rPr>
          <w:rFonts w:ascii="Arial" w:cs="Arial" w:eastAsia="Arial" w:hAnsi="Arial"/>
          <w:sz w:val="19"/>
          <w:szCs w:val="19"/>
          <w:color w:val="auto"/>
        </w:rPr>
      </w:pPr>
    </w:p>
    <w:p>
      <w:pPr>
        <w:ind w:left="1100" w:right="260" w:hanging="350"/>
        <w:spacing w:after="0" w:line="259" w:lineRule="auto"/>
        <w:tabs>
          <w:tab w:leader="none" w:pos="11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Analogous state and foreign laws and regulations, such as state and foreign anti-kickback, false claims, consumer protection, and unfair competition laws may apply to pharmaceutical business practices, including but not limited to, research, distribution, sales and marketing arrangements, as well as submitting claims involving healthcare items or services reimbursed by any third-party payer, including commercial insurers.</w:t>
      </w:r>
    </w:p>
    <w:p>
      <w:pPr>
        <w:spacing w:after="0" w:line="97" w:lineRule="exact"/>
        <w:rPr>
          <w:rFonts w:ascii="Arial" w:cs="Arial" w:eastAsia="Arial" w:hAnsi="Arial"/>
          <w:sz w:val="19"/>
          <w:szCs w:val="19"/>
          <w:color w:val="auto"/>
        </w:rPr>
      </w:pPr>
    </w:p>
    <w:p>
      <w:pPr>
        <w:ind w:left="1100" w:right="420" w:hanging="350"/>
        <w:spacing w:after="0" w:line="263" w:lineRule="auto"/>
        <w:tabs>
          <w:tab w:leader="none" w:pos="11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State laws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w:t>
      </w:r>
    </w:p>
    <w:p>
      <w:pPr>
        <w:spacing w:after="0" w:line="94" w:lineRule="exact"/>
        <w:rPr>
          <w:rFonts w:ascii="Arial" w:cs="Arial" w:eastAsia="Arial" w:hAnsi="Arial"/>
          <w:sz w:val="19"/>
          <w:szCs w:val="19"/>
          <w:color w:val="auto"/>
        </w:rPr>
      </w:pPr>
    </w:p>
    <w:p>
      <w:pPr>
        <w:ind w:left="1100" w:right="160" w:hanging="350"/>
        <w:spacing w:after="0" w:line="336" w:lineRule="auto"/>
        <w:tabs>
          <w:tab w:leader="none" w:pos="11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State laws also require drug manufacturers to file reports with states regarding pricing and marketing information, such as the tracking and reporting of gifts, compensations and other remuneration, and items of value provided to healthcare professionals and entities.</w:t>
      </w:r>
    </w:p>
    <w:p>
      <w:pPr>
        <w:spacing w:after="0" w:line="37" w:lineRule="exact"/>
        <w:rPr>
          <w:rFonts w:ascii="Arial" w:cs="Arial" w:eastAsia="Arial" w:hAnsi="Arial"/>
          <w:sz w:val="17"/>
          <w:szCs w:val="17"/>
          <w:color w:val="auto"/>
        </w:rPr>
      </w:pPr>
    </w:p>
    <w:p>
      <w:pPr>
        <w:ind w:left="1100" w:right="160" w:hanging="350"/>
        <w:spacing w:after="0" w:line="275" w:lineRule="auto"/>
        <w:tabs>
          <w:tab w:leader="none" w:pos="11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State and foreign laws also govern the privacy and security of health information in certain circumstances, many of which differ from each other in significant ways and may not have the same effect, thus complicating compliance efforts.</w:t>
      </w:r>
    </w:p>
    <w:p>
      <w:pPr>
        <w:spacing w:after="0" w:line="184" w:lineRule="exact"/>
        <w:rPr>
          <w:sz w:val="20"/>
          <w:szCs w:val="20"/>
          <w:color w:val="auto"/>
        </w:rPr>
      </w:pPr>
    </w:p>
    <w:p>
      <w:pPr>
        <w:ind w:left="180" w:firstLine="465"/>
        <w:spacing w:after="0" w:line="286"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295" w:lineRule="exact"/>
        <w:rPr>
          <w:sz w:val="20"/>
          <w:szCs w:val="20"/>
          <w:color w:val="auto"/>
        </w:rPr>
      </w:pPr>
    </w:p>
    <w:p>
      <w:pPr>
        <w:ind w:left="180" w:right="180"/>
        <w:spacing w:after="0" w:line="304" w:lineRule="auto"/>
        <w:rPr>
          <w:sz w:val="20"/>
          <w:szCs w:val="20"/>
          <w:color w:val="auto"/>
        </w:rPr>
      </w:pPr>
      <w:r>
        <w:rPr>
          <w:rFonts w:ascii="Arial" w:cs="Arial" w:eastAsia="Arial" w:hAnsi="Arial"/>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our business.</w:t>
      </w:r>
    </w:p>
    <w:p>
      <w:pPr>
        <w:spacing w:after="0" w:line="46" w:lineRule="exact"/>
        <w:rPr>
          <w:sz w:val="20"/>
          <w:szCs w:val="20"/>
          <w:color w:val="auto"/>
        </w:rPr>
      </w:pPr>
    </w:p>
    <w:p>
      <w:pPr>
        <w:ind w:left="180" w:right="180" w:firstLine="465"/>
        <w:spacing w:after="0" w:line="263" w:lineRule="auto"/>
        <w:rPr>
          <w:sz w:val="20"/>
          <w:szCs w:val="20"/>
          <w:color w:val="auto"/>
        </w:rPr>
      </w:pPr>
      <w:r>
        <w:rPr>
          <w:rFonts w:ascii="Arial" w:cs="Arial" w:eastAsia="Arial" w:hAnsi="Arial"/>
          <w:sz w:val="19"/>
          <w:szCs w:val="19"/>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33</w:t>
      </w:r>
    </w:p>
    <w:p>
      <w:pPr>
        <w:sectPr>
          <w:pgSz w:w="12240" w:h="15840" w:orient="portrait"/>
          <w:cols w:equalWidth="0" w:num="1">
            <w:col w:w="11800"/>
          </w:cols>
          <w:pgMar w:left="120" w:top="336" w:right="320" w:bottom="1440" w:gutter="0" w:footer="0" w:header="0"/>
        </w:sectPr>
      </w:pPr>
    </w:p>
    <w:bookmarkStart w:id="41" w:name="page42"/>
    <w:bookmarkEnd w:id="4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54" w:lineRule="auto"/>
        <w:rPr>
          <w:sz w:val="20"/>
          <w:szCs w:val="20"/>
          <w:color w:val="auto"/>
        </w:rPr>
      </w:pPr>
      <w:r>
        <w:rPr>
          <w:rFonts w:ascii="Arial" w:cs="Arial" w:eastAsia="Arial" w:hAnsi="Arial"/>
          <w:sz w:val="19"/>
          <w:szCs w:val="19"/>
          <w:color w:val="auto"/>
        </w:rPr>
        <w:t>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207" w:lineRule="exact"/>
        <w:rPr>
          <w:sz w:val="20"/>
          <w:szCs w:val="20"/>
          <w:color w:val="auto"/>
        </w:rPr>
      </w:pPr>
    </w:p>
    <w:p>
      <w:pPr>
        <w:ind w:left="180" w:right="40" w:firstLine="465"/>
        <w:spacing w:after="0" w:line="253" w:lineRule="auto"/>
        <w:rPr>
          <w:sz w:val="20"/>
          <w:szCs w:val="20"/>
          <w:color w:val="auto"/>
        </w:rPr>
      </w:pPr>
      <w:r>
        <w:rPr>
          <w:rFonts w:ascii="Arial" w:cs="Arial" w:eastAsia="Arial" w:hAnsi="Arial"/>
          <w:sz w:val="19"/>
          <w:szCs w:val="19"/>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323" w:lineRule="exact"/>
        <w:rPr>
          <w:sz w:val="20"/>
          <w:szCs w:val="20"/>
          <w:color w:val="auto"/>
        </w:rPr>
      </w:pPr>
    </w:p>
    <w:p>
      <w:pPr>
        <w:ind w:left="180"/>
        <w:spacing w:after="0" w:line="308" w:lineRule="auto"/>
        <w:rPr>
          <w:sz w:val="20"/>
          <w:szCs w:val="20"/>
          <w:color w:val="auto"/>
        </w:rPr>
      </w:pPr>
      <w:r>
        <w:rPr>
          <w:rFonts w:ascii="Arial" w:cs="Arial" w:eastAsia="Arial" w:hAnsi="Arial"/>
          <w:sz w:val="17"/>
          <w:szCs w:val="17"/>
          <w:b w:val="1"/>
          <w:bCs w:val="1"/>
          <w:i w:val="1"/>
          <w:iCs w:val="1"/>
          <w:color w:val="auto"/>
        </w:rPr>
        <w:t>Inadequate funding for the FDA and other government agencies could hinder our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46" w:lineRule="exact"/>
        <w:rPr>
          <w:sz w:val="20"/>
          <w:szCs w:val="20"/>
          <w:color w:val="auto"/>
        </w:rPr>
      </w:pPr>
    </w:p>
    <w:p>
      <w:pPr>
        <w:ind w:left="180" w:right="140" w:firstLine="465"/>
        <w:spacing w:after="0" w:line="298"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70" w:lineRule="exact"/>
        <w:rPr>
          <w:sz w:val="20"/>
          <w:szCs w:val="20"/>
          <w:color w:val="auto"/>
        </w:rPr>
      </w:pPr>
    </w:p>
    <w:p>
      <w:pPr>
        <w:ind w:left="180" w:right="160" w:firstLine="465"/>
        <w:spacing w:after="0" w:line="271"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including in December 2018 and January 2019, the U.S. government has shut down several times and certain regulatory agencies, such as the FDA, have had to furlough critical FDA and other government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 activities may be subject to the Foreign Corrupt Practices Act (FCPA) and similar anti-bribery and anti-corruption laws.</w:t>
      </w:r>
    </w:p>
    <w:p>
      <w:pPr>
        <w:spacing w:after="0" w:line="135" w:lineRule="exact"/>
        <w:rPr>
          <w:sz w:val="20"/>
          <w:szCs w:val="20"/>
          <w:color w:val="auto"/>
        </w:rPr>
      </w:pPr>
    </w:p>
    <w:p>
      <w:pPr>
        <w:ind w:left="180" w:right="160" w:firstLine="465"/>
        <w:spacing w:after="0" w:line="277" w:lineRule="auto"/>
        <w:rPr>
          <w:sz w:val="20"/>
          <w:szCs w:val="20"/>
          <w:color w:val="auto"/>
        </w:rPr>
      </w:pPr>
      <w:r>
        <w:rPr>
          <w:rFonts w:ascii="Arial" w:cs="Arial" w:eastAsia="Arial" w:hAnsi="Arial"/>
          <w:sz w:val="18"/>
          <w:szCs w:val="18"/>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34</w:t>
      </w:r>
    </w:p>
    <w:p>
      <w:pPr>
        <w:sectPr>
          <w:pgSz w:w="12240" w:h="15840" w:orient="portrait"/>
          <w:cols w:equalWidth="0" w:num="1">
            <w:col w:w="11780"/>
          </w:cols>
          <w:pgMar w:left="120" w:top="336" w:right="340" w:bottom="1440" w:gutter="0" w:footer="0" w:header="0"/>
        </w:sectPr>
      </w:pPr>
    </w:p>
    <w:bookmarkStart w:id="42" w:name="page43"/>
    <w:bookmarkEnd w:id="4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85" w:lineRule="auto"/>
        <w:rPr>
          <w:sz w:val="20"/>
          <w:szCs w:val="20"/>
          <w:color w:val="auto"/>
        </w:rPr>
      </w:pPr>
      <w:r>
        <w:rPr>
          <w:rFonts w:ascii="Arial" w:cs="Arial" w:eastAsia="Arial" w:hAnsi="Arial"/>
          <w:sz w:val="17"/>
          <w:szCs w:val="17"/>
          <w:color w:val="auto"/>
        </w:rPr>
        <w:t>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(SEC) and Department of Justice have increased their FCPA enforcement activities with respect to biotechnology and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Risks Related to Our Reliance on Third Parties</w:t>
      </w:r>
    </w:p>
    <w:p>
      <w:pPr>
        <w:spacing w:after="0" w:line="130" w:lineRule="exact"/>
        <w:rPr>
          <w:sz w:val="20"/>
          <w:szCs w:val="20"/>
          <w:color w:val="auto"/>
        </w:rPr>
      </w:pPr>
    </w:p>
    <w:p>
      <w:pPr>
        <w:ind w:left="180" w:right="140"/>
        <w:spacing w:after="0" w:line="372" w:lineRule="auto"/>
        <w:rPr>
          <w:sz w:val="20"/>
          <w:szCs w:val="20"/>
          <w:color w:val="auto"/>
        </w:rPr>
      </w:pPr>
      <w:r>
        <w:rPr>
          <w:rFonts w:ascii="Arial" w:cs="Arial" w:eastAsia="Arial" w:hAnsi="Arial"/>
          <w:sz w:val="16"/>
          <w:szCs w:val="16"/>
          <w:b w:val="1"/>
          <w:bCs w:val="1"/>
          <w:i w:val="1"/>
          <w:iCs w:val="1"/>
          <w:color w:val="auto"/>
        </w:rPr>
        <w:t>We expect to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ind w:left="180" w:right="100" w:firstLine="465"/>
        <w:spacing w:after="0" w:line="285" w:lineRule="auto"/>
        <w:rPr>
          <w:sz w:val="20"/>
          <w:szCs w:val="20"/>
          <w:color w:val="auto"/>
        </w:rPr>
      </w:pPr>
      <w:r>
        <w:rPr>
          <w:rFonts w:ascii="Arial" w:cs="Arial" w:eastAsia="Arial" w:hAnsi="Arial"/>
          <w:sz w:val="17"/>
          <w:szCs w:val="17"/>
          <w:color w:val="auto"/>
        </w:rPr>
        <w:t>We currently use and expect to continue to use third-party collaborators for the research, development, and commercialization of certain of the product candidates we may develop. For example, we have entered into the Co-Development and Option Agreement with AbbVie (the AbbVie Agreement) for the global development and potential commercialization of AL002 and AL003. We also collaborate with Adimab and others to further our development of product candidates and to enhance our research efforts directed to better understanding neurodegenerative diseases. For additional information on our relationships with AbbVie and Adimab, LLC (Adimab), see the sections titled “Business—Strategic Alliance with AbbVie” and “Business—Collaboration Agreement with Adimab.” Our likely collaborators for any other collaboration arrangements include large and mid-size pharmaceutical companies, regional and national pharmaceutical companies, biotechnology companies, and academic institutions. Such arrangements with any third parties, generally provide us with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Collaborations involving our research programs, or any product candidates we may develop, pose the following risks to us:</w:t>
      </w:r>
    </w:p>
    <w:p>
      <w:pPr>
        <w:spacing w:after="0" w:line="138" w:lineRule="exact"/>
        <w:rPr>
          <w:sz w:val="20"/>
          <w:szCs w:val="20"/>
          <w:color w:val="auto"/>
        </w:rPr>
      </w:pPr>
    </w:p>
    <w:p>
      <w:pPr>
        <w:ind w:left="1100" w:hanging="350"/>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generally have significant discretion in determining the efforts and resources that they will apply to these collaborations;</w:t>
      </w:r>
    </w:p>
    <w:p>
      <w:pPr>
        <w:spacing w:after="0" w:line="149" w:lineRule="exact"/>
        <w:rPr>
          <w:rFonts w:ascii="Arial" w:cs="Arial" w:eastAsia="Arial" w:hAnsi="Arial"/>
          <w:sz w:val="18"/>
          <w:szCs w:val="18"/>
          <w:color w:val="auto"/>
        </w:rPr>
      </w:pPr>
    </w:p>
    <w:p>
      <w:pPr>
        <w:jc w:val="both"/>
        <w:ind w:left="1100" w:right="640" w:hanging="350"/>
        <w:spacing w:after="0" w:line="259" w:lineRule="auto"/>
        <w:tabs>
          <w:tab w:leader="none" w:pos="11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collaborators may not properly obtain, maintain, enforce, or defend intellectual property or proprietary rights relating to our product candidates or research programs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97" w:lineRule="exact"/>
        <w:rPr>
          <w:rFonts w:ascii="Arial" w:cs="Arial" w:eastAsia="Arial" w:hAnsi="Arial"/>
          <w:sz w:val="19"/>
          <w:szCs w:val="19"/>
          <w:color w:val="auto"/>
        </w:rPr>
      </w:pPr>
    </w:p>
    <w:p>
      <w:pPr>
        <w:ind w:left="1100" w:right="180" w:hanging="350"/>
        <w:spacing w:after="0" w:line="263" w:lineRule="auto"/>
        <w:tabs>
          <w:tab w:leader="none" w:pos="11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collaborators may own or co-own intellectual property covering our product candidates or research and development programs that results from our collaboration with them, and in such cases, we may not have the exclusive right to commercialize such intellectual property or such product candidates or research programs;</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35</w:t>
      </w:r>
    </w:p>
    <w:p>
      <w:pPr>
        <w:sectPr>
          <w:pgSz w:w="12240" w:h="15840" w:orient="portrait"/>
          <w:cols w:equalWidth="0" w:num="1">
            <w:col w:w="11800"/>
          </w:cols>
          <w:pgMar w:left="120" w:top="336" w:right="320" w:bottom="1440" w:gutter="0" w:footer="0" w:header="0"/>
        </w:sectPr>
      </w:pPr>
    </w:p>
    <w:bookmarkStart w:id="43" w:name="page44"/>
    <w:bookmarkEnd w:id="4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340" w:hanging="350"/>
        <w:spacing w:after="0" w:line="275" w:lineRule="auto"/>
        <w:tabs>
          <w:tab w:leader="none" w:pos="11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we may need the cooperation of our collaborators to enforce or defend any intellectual property we contribute to or that arises out of our collaborations, which may not be provided to us;</w:t>
      </w:r>
    </w:p>
    <w:p>
      <w:pPr>
        <w:spacing w:after="0" w:line="84" w:lineRule="exact"/>
        <w:rPr>
          <w:rFonts w:ascii="Arial" w:cs="Arial" w:eastAsia="Arial" w:hAnsi="Arial"/>
          <w:sz w:val="19"/>
          <w:szCs w:val="19"/>
          <w:color w:val="auto"/>
        </w:rPr>
      </w:pPr>
    </w:p>
    <w:p>
      <w:pPr>
        <w:ind w:left="1100" w:right="280" w:hanging="350"/>
        <w:spacing w:after="0" w:line="275" w:lineRule="auto"/>
        <w:tabs>
          <w:tab w:leader="none" w:pos="11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collaborators may control certain interactions with regulatory authorities, which may impact our ability to obtain and maintain regulatory approval of our product candidates;</w:t>
      </w:r>
    </w:p>
    <w:p>
      <w:pPr>
        <w:spacing w:after="0" w:line="84" w:lineRule="exact"/>
        <w:rPr>
          <w:rFonts w:ascii="Arial" w:cs="Arial" w:eastAsia="Arial" w:hAnsi="Arial"/>
          <w:sz w:val="19"/>
          <w:szCs w:val="19"/>
          <w:color w:val="auto"/>
        </w:rPr>
      </w:pPr>
    </w:p>
    <w:p>
      <w:pPr>
        <w:ind w:left="1100" w:right="260" w:hanging="350"/>
        <w:spacing w:after="0" w:line="263" w:lineRule="auto"/>
        <w:tabs>
          <w:tab w:leader="none" w:pos="11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disputes may arise between the collaborators and us that result in the delay or termination of the research, development, or commercialization of our product candidates or research programs or that result in costly litigation or arbitration that diverts management attention and resources;</w:t>
      </w:r>
    </w:p>
    <w:p>
      <w:pPr>
        <w:spacing w:after="0" w:line="94" w:lineRule="exact"/>
        <w:rPr>
          <w:rFonts w:ascii="Arial" w:cs="Arial" w:eastAsia="Arial" w:hAnsi="Arial"/>
          <w:sz w:val="19"/>
          <w:szCs w:val="19"/>
          <w:color w:val="auto"/>
        </w:rPr>
      </w:pPr>
    </w:p>
    <w:p>
      <w:pPr>
        <w:ind w:left="1100" w:hanging="350"/>
        <w:spacing w:after="0" w:line="259" w:lineRule="auto"/>
        <w:tabs>
          <w:tab w:leader="none" w:pos="11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collaborators may decide to not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 or collaborators may elect to fund or commercialize a competing product;</w:t>
      </w:r>
    </w:p>
    <w:p>
      <w:pPr>
        <w:spacing w:after="0" w:line="97" w:lineRule="exact"/>
        <w:rPr>
          <w:rFonts w:ascii="Arial" w:cs="Arial" w:eastAsia="Arial" w:hAnsi="Arial"/>
          <w:sz w:val="19"/>
          <w:szCs w:val="19"/>
          <w:color w:val="auto"/>
        </w:rPr>
      </w:pPr>
    </w:p>
    <w:p>
      <w:pPr>
        <w:ind w:left="1100" w:right="400" w:hanging="350"/>
        <w:spacing w:after="0" w:line="304"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0" w:lineRule="exact"/>
        <w:rPr>
          <w:rFonts w:ascii="Arial" w:cs="Arial" w:eastAsia="Arial" w:hAnsi="Arial"/>
          <w:sz w:val="18"/>
          <w:szCs w:val="18"/>
          <w:color w:val="auto"/>
        </w:rPr>
      </w:pPr>
    </w:p>
    <w:p>
      <w:pPr>
        <w:ind w:left="1100" w:right="20" w:hanging="350"/>
        <w:spacing w:after="0" w:line="263" w:lineRule="auto"/>
        <w:tabs>
          <w:tab w:leader="none" w:pos="11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collaborators could independently develop, or develop with third parties, products that compete directly or indirectly with our product candidates or research programs if the collaborators believe that competitive products are more likely to be successfully developed or can be commercialized under terms that are more economically attractive than ours;</w:t>
      </w:r>
    </w:p>
    <w:p>
      <w:pPr>
        <w:spacing w:after="0" w:line="94" w:lineRule="exact"/>
        <w:rPr>
          <w:rFonts w:ascii="Arial" w:cs="Arial" w:eastAsia="Arial" w:hAnsi="Arial"/>
          <w:sz w:val="19"/>
          <w:szCs w:val="19"/>
          <w:color w:val="auto"/>
        </w:rPr>
      </w:pPr>
    </w:p>
    <w:p>
      <w:pPr>
        <w:ind w:left="1100" w:hanging="350"/>
        <w:spacing w:after="0"/>
        <w:tabs>
          <w:tab w:leader="none" w:pos="11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collaborators may restrict us from researching, developing, or commercializing certain products or technologies without their involvement;</w:t>
      </w:r>
    </w:p>
    <w:p>
      <w:pPr>
        <w:spacing w:after="0" w:line="161" w:lineRule="exact"/>
        <w:rPr>
          <w:rFonts w:ascii="Arial" w:cs="Arial" w:eastAsia="Arial" w:hAnsi="Arial"/>
          <w:sz w:val="17"/>
          <w:szCs w:val="17"/>
          <w:color w:val="auto"/>
        </w:rPr>
      </w:pPr>
    </w:p>
    <w:p>
      <w:pPr>
        <w:ind w:left="1100" w:right="40" w:hanging="350"/>
        <w:spacing w:after="0" w:line="275" w:lineRule="auto"/>
        <w:tabs>
          <w:tab w:leader="none" w:pos="11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collaborators with marketing and distribution rights to one or more product candidates may not commit sufficient resources to the marketing and distribution of such product candidates;</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149" w:lineRule="exact"/>
        <w:rPr>
          <w:rFonts w:ascii="Arial" w:cs="Arial" w:eastAsia="Arial" w:hAnsi="Arial"/>
          <w:sz w:val="18"/>
          <w:szCs w:val="18"/>
          <w:color w:val="auto"/>
        </w:rPr>
      </w:pPr>
    </w:p>
    <w:p>
      <w:pPr>
        <w:ind w:left="1100" w:right="320" w:hanging="350"/>
        <w:spacing w:after="0" w:line="275" w:lineRule="auto"/>
        <w:tabs>
          <w:tab w:leader="none" w:pos="11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collaborators may grant sublicenses to our technology or product candidates or undergo a change of control, and the sublicensees or new owners may decide to take the collaboration in a direction which is not in our best interest;</w:t>
      </w:r>
    </w:p>
    <w:p>
      <w:pPr>
        <w:spacing w:after="0" w:line="84" w:lineRule="exact"/>
        <w:rPr>
          <w:rFonts w:ascii="Arial" w:cs="Arial" w:eastAsia="Arial" w:hAnsi="Arial"/>
          <w:sz w:val="19"/>
          <w:szCs w:val="19"/>
          <w:color w:val="auto"/>
        </w:rPr>
      </w:pPr>
    </w:p>
    <w:p>
      <w:pPr>
        <w:ind w:left="1100" w:right="20" w:hanging="350"/>
        <w:spacing w:after="0" w:line="263" w:lineRule="auto"/>
        <w:tabs>
          <w:tab w:leader="none" w:pos="11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collaborators may become bankrupt, which may significantly delay our research or development programs, or may cause us to lose access to valuable technology, know-how, or intellectual property of the collaborator relating to our products, product candidates, or research programs;</w:t>
      </w:r>
    </w:p>
    <w:p>
      <w:pPr>
        <w:spacing w:after="0" w:line="94" w:lineRule="exact"/>
        <w:rPr>
          <w:rFonts w:ascii="Arial" w:cs="Arial" w:eastAsia="Arial" w:hAnsi="Arial"/>
          <w:sz w:val="19"/>
          <w:szCs w:val="19"/>
          <w:color w:val="auto"/>
        </w:rPr>
      </w:pPr>
    </w:p>
    <w:p>
      <w:pPr>
        <w:ind w:left="1100" w:hanging="350"/>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149" w:lineRule="exact"/>
        <w:rPr>
          <w:rFonts w:ascii="Arial" w:cs="Arial" w:eastAsia="Arial" w:hAnsi="Arial"/>
          <w:sz w:val="18"/>
          <w:szCs w:val="18"/>
          <w:color w:val="auto"/>
        </w:rPr>
      </w:pPr>
    </w:p>
    <w:p>
      <w:pPr>
        <w:ind w:left="1100" w:right="760" w:hanging="350"/>
        <w:spacing w:after="0" w:line="275" w:lineRule="auto"/>
        <w:tabs>
          <w:tab w:leader="none" w:pos="11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collaborations may require us to incur short and long-term expenditures, issue securities that dilute our stockholders, or disrupt our management and business;</w:t>
      </w:r>
    </w:p>
    <w:p>
      <w:pPr>
        <w:spacing w:after="0" w:line="84" w:lineRule="exact"/>
        <w:rPr>
          <w:rFonts w:ascii="Arial" w:cs="Arial" w:eastAsia="Arial" w:hAnsi="Arial"/>
          <w:sz w:val="19"/>
          <w:szCs w:val="19"/>
          <w:color w:val="auto"/>
        </w:rPr>
      </w:pPr>
    </w:p>
    <w:p>
      <w:pPr>
        <w:ind w:left="1100" w:right="280" w:hanging="350"/>
        <w:spacing w:after="0" w:line="275" w:lineRule="auto"/>
        <w:tabs>
          <w:tab w:leader="none" w:pos="11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if our collaborators do not satisfy their obligations under our agreements with them, or if they terminate our collaborations with them, we may not be able to develop or commercialize product candidates as planned;</w:t>
      </w:r>
    </w:p>
    <w:p>
      <w:pPr>
        <w:spacing w:after="0" w:line="84" w:lineRule="exact"/>
        <w:rPr>
          <w:rFonts w:ascii="Arial" w:cs="Arial" w:eastAsia="Arial" w:hAnsi="Arial"/>
          <w:sz w:val="19"/>
          <w:szCs w:val="19"/>
          <w:color w:val="auto"/>
        </w:rPr>
      </w:pPr>
    </w:p>
    <w:p>
      <w:pPr>
        <w:ind w:left="1100" w:right="40" w:hanging="350"/>
        <w:spacing w:after="0" w:line="263" w:lineRule="auto"/>
        <w:tabs>
          <w:tab w:leader="none" w:pos="11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collaborations may require us to share in development and commercialization costs pursuant to budgets that we do not fully control, and our failure to share in such costs could have a detrimental impact on the collaboration or our ability to share in revenue generated under the collaboration;</w:t>
      </w:r>
    </w:p>
    <w:p>
      <w:pPr>
        <w:spacing w:after="0" w:line="94" w:lineRule="exact"/>
        <w:rPr>
          <w:rFonts w:ascii="Arial" w:cs="Arial" w:eastAsia="Arial" w:hAnsi="Arial"/>
          <w:sz w:val="19"/>
          <w:szCs w:val="19"/>
          <w:color w:val="auto"/>
        </w:rPr>
      </w:pPr>
    </w:p>
    <w:p>
      <w:pPr>
        <w:ind w:left="1100" w:right="280" w:hanging="350"/>
        <w:spacing w:after="0" w:line="263" w:lineRule="auto"/>
        <w:tabs>
          <w:tab w:leader="none" w:pos="11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collaborations may be terminated in their entirety or with respect to certain product candidates or technologies and, if so terminated, may result in a need for additional capital to pursue further development or commercialization of the applicable product candidates or technologies; and</w:t>
      </w:r>
    </w:p>
    <w:p>
      <w:pPr>
        <w:spacing w:after="0" w:line="94" w:lineRule="exact"/>
        <w:rPr>
          <w:rFonts w:ascii="Arial" w:cs="Arial" w:eastAsia="Arial" w:hAnsi="Arial"/>
          <w:sz w:val="19"/>
          <w:szCs w:val="19"/>
          <w:color w:val="auto"/>
        </w:rPr>
      </w:pPr>
    </w:p>
    <w:p>
      <w:pPr>
        <w:ind w:left="1100" w:right="20" w:hanging="350"/>
        <w:spacing w:after="0" w:line="275" w:lineRule="auto"/>
        <w:tabs>
          <w:tab w:leader="none" w:pos="11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collaboration agreements may not lead to development or commercialization of product candidates in the most efficient manner or at all. If a present or future collaborator of ours were to be involved in a</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36</w:t>
      </w:r>
    </w:p>
    <w:p>
      <w:pPr>
        <w:sectPr>
          <w:pgSz w:w="12240" w:h="15840" w:orient="portrait"/>
          <w:cols w:equalWidth="0" w:num="1">
            <w:col w:w="11800"/>
          </w:cols>
          <w:pgMar w:left="120" w:top="336" w:right="320" w:bottom="1440" w:gutter="0" w:footer="0" w:header="0"/>
        </w:sectPr>
      </w:pPr>
    </w:p>
    <w:bookmarkStart w:id="44" w:name="page45"/>
    <w:bookmarkEnd w:id="4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440"/>
        <w:spacing w:after="0" w:line="275" w:lineRule="auto"/>
        <w:rPr>
          <w:sz w:val="20"/>
          <w:szCs w:val="20"/>
          <w:color w:val="auto"/>
        </w:rPr>
      </w:pPr>
      <w:r>
        <w:rPr>
          <w:rFonts w:ascii="Arial" w:cs="Arial" w:eastAsia="Arial" w:hAnsi="Arial"/>
          <w:sz w:val="19"/>
          <w:szCs w:val="19"/>
          <w:color w:val="auto"/>
        </w:rPr>
        <w:t>business combination, the continued pursuit and emphasis on our development or commercialization program under such collaboration could be delayed, diminished, or terminated.</w:t>
      </w:r>
    </w:p>
    <w:p>
      <w:pPr>
        <w:spacing w:after="0" w:line="184" w:lineRule="exact"/>
        <w:rPr>
          <w:sz w:val="20"/>
          <w:szCs w:val="20"/>
          <w:color w:val="auto"/>
        </w:rPr>
      </w:pPr>
    </w:p>
    <w:p>
      <w:pPr>
        <w:ind w:left="180" w:right="20" w:firstLine="465"/>
        <w:spacing w:after="0" w:line="288" w:lineRule="auto"/>
        <w:rPr>
          <w:sz w:val="20"/>
          <w:szCs w:val="20"/>
          <w:color w:val="auto"/>
        </w:rPr>
      </w:pPr>
      <w:r>
        <w:rPr>
          <w:rFonts w:ascii="Arial" w:cs="Arial" w:eastAsia="Arial" w:hAnsi="Arial"/>
          <w:sz w:val="17"/>
          <w:szCs w:val="17"/>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177" w:lineRule="exact"/>
        <w:rPr>
          <w:sz w:val="20"/>
          <w:szCs w:val="20"/>
          <w:color w:val="auto"/>
        </w:rPr>
      </w:pPr>
    </w:p>
    <w:p>
      <w:pPr>
        <w:ind w:left="180" w:right="40" w:firstLine="465"/>
        <w:spacing w:after="0" w:line="288" w:lineRule="auto"/>
        <w:rPr>
          <w:sz w:val="20"/>
          <w:szCs w:val="20"/>
          <w:color w:val="auto"/>
        </w:rPr>
      </w:pPr>
      <w:r>
        <w:rPr>
          <w:rFonts w:ascii="Arial" w:cs="Arial" w:eastAsia="Arial" w:hAnsi="Arial"/>
          <w:sz w:val="17"/>
          <w:szCs w:val="17"/>
          <w:color w:val="auto"/>
        </w:rPr>
        <w:t>We may not realize the benefit of collaborations if we or our collaborator elects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Many of the risks relating to product development, regulatory approval, and commercialization described in this “Risk Factors” section also apply to the activities of our collaborators and any negative impact on our collaborators may adversely affect us.</w:t>
      </w:r>
    </w:p>
    <w:p>
      <w:pPr>
        <w:spacing w:after="0" w:line="291" w:lineRule="exact"/>
        <w:rPr>
          <w:sz w:val="20"/>
          <w:szCs w:val="20"/>
          <w:color w:val="auto"/>
        </w:rPr>
      </w:pPr>
    </w:p>
    <w:p>
      <w:pPr>
        <w:ind w:left="180" w:right="140"/>
        <w:spacing w:after="0" w:line="304" w:lineRule="auto"/>
        <w:rPr>
          <w:sz w:val="20"/>
          <w:szCs w:val="20"/>
          <w:color w:val="auto"/>
        </w:rPr>
      </w:pPr>
      <w:r>
        <w:rPr>
          <w:rFonts w:ascii="Arial" w:cs="Arial" w:eastAsia="Arial" w:hAnsi="Arial"/>
          <w:sz w:val="18"/>
          <w:szCs w:val="18"/>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46" w:lineRule="exact"/>
        <w:rPr>
          <w:sz w:val="20"/>
          <w:szCs w:val="20"/>
          <w:color w:val="auto"/>
        </w:rPr>
      </w:pPr>
    </w:p>
    <w:p>
      <w:pPr>
        <w:ind w:left="180" w:right="120" w:firstLine="465"/>
        <w:spacing w:after="0" w:line="259" w:lineRule="auto"/>
        <w:rPr>
          <w:sz w:val="20"/>
          <w:szCs w:val="20"/>
          <w:color w:val="auto"/>
        </w:rPr>
      </w:pPr>
      <w:r>
        <w:rPr>
          <w:rFonts w:ascii="Arial" w:cs="Arial" w:eastAsia="Arial" w:hAnsi="Arial"/>
          <w:sz w:val="19"/>
          <w:szCs w:val="19"/>
          <w:color w:val="auto"/>
        </w:rPr>
        <w:t>We currently rely and expect to continue to rely on third parties, such as CROs, clinical data management organizations, medical institutions, and clinical investigators, to conduct some aspects of our research and preclinical testing and our clinical trials. Any of these third parties may terminate their engagements with us or be unable to fulfill their contractual obligations. If we need to enter into alternative arrangements, it would delay our product development activities.</w:t>
      </w:r>
    </w:p>
    <w:p>
      <w:pPr>
        <w:spacing w:after="0" w:line="198"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cGCPs for conducting, recording, and reporting the results of clinical trials to assure that data and reported results are credible, reproducible, and accurate and that the rights, integrity, and confidentiality of trial participants are protected. We also are required to register ongoing clinical trials and post the results of completed clinical trials on a government-sponsored database within certain timeframes. Failure to do so can result in fines, adverse publicity, and civil and criminal sanctions.</w:t>
      </w:r>
    </w:p>
    <w:p>
      <w:pPr>
        <w:spacing w:after="0" w:line="175" w:lineRule="exact"/>
        <w:rPr>
          <w:sz w:val="20"/>
          <w:szCs w:val="20"/>
          <w:color w:val="auto"/>
        </w:rPr>
      </w:pPr>
    </w:p>
    <w:p>
      <w:pPr>
        <w:ind w:left="180" w:right="100" w:firstLine="465"/>
        <w:spacing w:after="0" w:line="308"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160" w:lineRule="exact"/>
        <w:rPr>
          <w:sz w:val="20"/>
          <w:szCs w:val="20"/>
          <w:color w:val="auto"/>
        </w:rPr>
      </w:pPr>
    </w:p>
    <w:p>
      <w:pPr>
        <w:ind w:left="180" w:right="140" w:firstLine="465"/>
        <w:spacing w:after="0" w:line="275" w:lineRule="auto"/>
        <w:rPr>
          <w:sz w:val="20"/>
          <w:szCs w:val="20"/>
          <w:color w:val="auto"/>
        </w:rPr>
      </w:pPr>
      <w:r>
        <w:rPr>
          <w:rFonts w:ascii="Arial" w:cs="Arial" w:eastAsia="Arial" w:hAnsi="Arial"/>
          <w:sz w:val="19"/>
          <w:szCs w:val="19"/>
          <w:color w:val="auto"/>
        </w:rPr>
        <w:t>We also expect to rely on other third parties to store and distribute drug supplies for our clinical trials. Any performance failure on the part of our distributors, including with the shipment of any drug supplies, could delay</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37</w:t>
      </w:r>
    </w:p>
    <w:p>
      <w:pPr>
        <w:sectPr>
          <w:pgSz w:w="12240" w:h="15840" w:orient="portrait"/>
          <w:cols w:equalWidth="0" w:num="1">
            <w:col w:w="11820"/>
          </w:cols>
          <w:pgMar w:left="120" w:top="336" w:right="300" w:bottom="1440" w:gutter="0" w:footer="0" w:header="0"/>
        </w:sectPr>
      </w:pPr>
    </w:p>
    <w:bookmarkStart w:id="45" w:name="page46"/>
    <w:bookmarkEnd w:id="4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340"/>
        <w:spacing w:after="0" w:line="275" w:lineRule="auto"/>
        <w:rPr>
          <w:sz w:val="20"/>
          <w:szCs w:val="20"/>
          <w:color w:val="auto"/>
        </w:rPr>
      </w:pPr>
      <w:r>
        <w:rPr>
          <w:rFonts w:ascii="Arial" w:cs="Arial" w:eastAsia="Arial" w:hAnsi="Arial"/>
          <w:sz w:val="19"/>
          <w:szCs w:val="19"/>
          <w:color w:val="auto"/>
        </w:rPr>
        <w:t>clinical development or marketing approval of any product candidates we may develop or commercialization of our medicines, producing additional losses and depriving us of potential product revenue.</w:t>
      </w:r>
    </w:p>
    <w:p>
      <w:pPr>
        <w:spacing w:after="0" w:line="298" w:lineRule="exact"/>
        <w:rPr>
          <w:sz w:val="20"/>
          <w:szCs w:val="20"/>
          <w:color w:val="auto"/>
        </w:rPr>
      </w:pPr>
    </w:p>
    <w:p>
      <w:pPr>
        <w:ind w:left="180" w:right="180"/>
        <w:spacing w:after="0" w:line="322" w:lineRule="auto"/>
        <w:rPr>
          <w:sz w:val="20"/>
          <w:szCs w:val="20"/>
          <w:color w:val="auto"/>
        </w:rPr>
      </w:pPr>
      <w:r>
        <w:rPr>
          <w:rFonts w:ascii="Arial" w:cs="Arial" w:eastAsia="Arial" w:hAnsi="Arial"/>
          <w:sz w:val="16"/>
          <w:szCs w:val="16"/>
          <w:b w:val="1"/>
          <w:bCs w:val="1"/>
          <w:i w:val="1"/>
          <w:iCs w:val="1"/>
          <w:color w:val="auto"/>
        </w:rPr>
        <w:t>We contract with third parties for the manufacture of materials for our research programs, preclinical studies,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39" w:lineRule="exact"/>
        <w:rPr>
          <w:sz w:val="20"/>
          <w:szCs w:val="20"/>
          <w:color w:val="auto"/>
        </w:rPr>
      </w:pPr>
    </w:p>
    <w:p>
      <w:pPr>
        <w:ind w:left="180" w:right="20" w:firstLine="465"/>
        <w:spacing w:after="0" w:line="298" w:lineRule="auto"/>
        <w:rPr>
          <w:sz w:val="20"/>
          <w:szCs w:val="20"/>
          <w:color w:val="auto"/>
        </w:rPr>
      </w:pPr>
      <w:r>
        <w:rPr>
          <w:rFonts w:ascii="Arial" w:cs="Arial" w:eastAsia="Arial" w:hAnsi="Arial"/>
          <w:sz w:val="17"/>
          <w:szCs w:val="17"/>
          <w:color w:val="auto"/>
        </w:rPr>
        <w:t>We do not have any manufacturing facilities. We currently rely on CDMOs for the manufacture of our materials for preclinical studies and clinical trials and expect to continue to do so for preclinical studies, clinical trials, and for commercial supply of any product candidates that we may develop. We currently have established relationships with several CDMOs for the manufacturing of our product candidates, including Lonza Biologics for the manufacturing of AL001 and AL002, Celonic AG for the manufacturing of AL003, and EMD Millipore Corporation for the manufacturing of AL101.</w:t>
      </w:r>
    </w:p>
    <w:p>
      <w:pPr>
        <w:spacing w:after="0" w:line="170" w:lineRule="exact"/>
        <w:rPr>
          <w:sz w:val="20"/>
          <w:szCs w:val="20"/>
          <w:color w:val="auto"/>
        </w:rPr>
      </w:pPr>
    </w:p>
    <w:p>
      <w:pPr>
        <w:ind w:left="180" w:right="180" w:firstLine="465"/>
        <w:spacing w:after="0" w:line="275" w:lineRule="auto"/>
        <w:rPr>
          <w:sz w:val="20"/>
          <w:szCs w:val="20"/>
          <w:color w:val="auto"/>
        </w:rPr>
      </w:pPr>
      <w:r>
        <w:rPr>
          <w:rFonts w:ascii="Arial" w:cs="Arial" w:eastAsia="Arial" w:hAnsi="Arial"/>
          <w:sz w:val="19"/>
          <w:szCs w:val="19"/>
          <w:color w:val="auto"/>
        </w:rPr>
        <w:t>We may be unable to establish any further agreements with CDMOs or to do so on acceptable terms. Even if we are able to establish agreements with third-party manufacturers, reliance on CDMOs entails additional risks, including:</w:t>
      </w:r>
    </w:p>
    <w:p>
      <w:pPr>
        <w:spacing w:after="0" w:line="84" w:lineRule="exact"/>
        <w:rPr>
          <w:sz w:val="20"/>
          <w:szCs w:val="20"/>
          <w:color w:val="auto"/>
        </w:rPr>
      </w:pPr>
    </w:p>
    <w:p>
      <w:pPr>
        <w:ind w:left="1100" w:hanging="350"/>
        <w:spacing w:after="0"/>
        <w:tabs>
          <w:tab w:leader="none" w:pos="11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possible breach of the manufacturing agreement by the third party;</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possible termination or nonrenewal of the agreement by the third party at a time that is costly or inconvenient for us;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safety, and pharmacovigilance and related reporting; and</w:t>
      </w:r>
    </w:p>
    <w:p>
      <w:pPr>
        <w:spacing w:after="0" w:line="149" w:lineRule="exact"/>
        <w:rPr>
          <w:rFonts w:ascii="Arial" w:cs="Arial" w:eastAsia="Arial" w:hAnsi="Arial"/>
          <w:sz w:val="18"/>
          <w:szCs w:val="18"/>
          <w:color w:val="auto"/>
        </w:rPr>
      </w:pPr>
    </w:p>
    <w:p>
      <w:pPr>
        <w:ind w:left="1100" w:hanging="350"/>
        <w:spacing w:after="0"/>
        <w:tabs>
          <w:tab w:leader="none" w:pos="11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inability to produce required volume in a timely manner and to quality standards.</w:t>
      </w:r>
    </w:p>
    <w:p>
      <w:pPr>
        <w:spacing w:after="0" w:line="238"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Third-party manufacturers may not be able to comply with cGMP regulations or similar regulatory requirements outside the United States. Our failure, or the failure of our CDMOs,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204" w:lineRule="exact"/>
        <w:rPr>
          <w:sz w:val="20"/>
          <w:szCs w:val="20"/>
          <w:color w:val="auto"/>
        </w:rPr>
      </w:pPr>
    </w:p>
    <w:p>
      <w:pPr>
        <w:ind w:left="180" w:right="180" w:firstLine="465"/>
        <w:spacing w:after="0" w:line="304" w:lineRule="auto"/>
        <w:rPr>
          <w:sz w:val="20"/>
          <w:szCs w:val="20"/>
          <w:color w:val="auto"/>
        </w:rPr>
      </w:pPr>
      <w:r>
        <w:rPr>
          <w:rFonts w:ascii="Arial" w:cs="Arial" w:eastAsia="Arial" w:hAnsi="Arial"/>
          <w:sz w:val="18"/>
          <w:szCs w:val="18"/>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60"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Any performance failure on the part of our existing or future third party manufacturers could delay clinical development or marketing approval.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198" w:lineRule="exact"/>
        <w:rPr>
          <w:sz w:val="20"/>
          <w:szCs w:val="20"/>
          <w:color w:val="auto"/>
        </w:rPr>
      </w:pPr>
    </w:p>
    <w:p>
      <w:pPr>
        <w:ind w:left="180" w:right="200" w:firstLine="465"/>
        <w:spacing w:after="0" w:line="263" w:lineRule="auto"/>
        <w:rPr>
          <w:sz w:val="20"/>
          <w:szCs w:val="20"/>
          <w:color w:val="auto"/>
        </w:rPr>
      </w:pPr>
      <w:r>
        <w:rPr>
          <w:rFonts w:ascii="Arial" w:cs="Arial" w:eastAsia="Arial" w:hAnsi="Arial"/>
          <w:sz w:val="19"/>
          <w:szCs w:val="19"/>
          <w:color w:val="auto"/>
        </w:rPr>
        <w:t>Our current and anticipated future dependence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309" w:lineRule="exact"/>
        <w:rPr>
          <w:sz w:val="20"/>
          <w:szCs w:val="20"/>
          <w:color w:val="auto"/>
        </w:rPr>
      </w:pPr>
    </w:p>
    <w:p>
      <w:pPr>
        <w:ind w:left="180" w:right="260"/>
        <w:spacing w:after="0" w:line="275" w:lineRule="auto"/>
        <w:rPr>
          <w:sz w:val="20"/>
          <w:szCs w:val="20"/>
          <w:color w:val="auto"/>
        </w:rPr>
      </w:pPr>
      <w:r>
        <w:rPr>
          <w:rFonts w:ascii="Arial" w:cs="Arial" w:eastAsia="Arial" w:hAnsi="Arial"/>
          <w:sz w:val="19"/>
          <w:szCs w:val="19"/>
          <w:b w:val="1"/>
          <w:bCs w:val="1"/>
          <w:i w:val="1"/>
          <w:iCs w:val="1"/>
          <w:color w:val="auto"/>
        </w:rPr>
        <w:t>We depend on third-party suppliers for key raw materials used in our manufacturing processes, and the loss of these third-party suppliers or their inability to supply us with adequate raw materials could harm our business.</w:t>
      </w:r>
    </w:p>
    <w:p>
      <w:pPr>
        <w:spacing w:after="0" w:line="70" w:lineRule="exact"/>
        <w:rPr>
          <w:sz w:val="20"/>
          <w:szCs w:val="20"/>
          <w:color w:val="auto"/>
        </w:rPr>
      </w:pPr>
    </w:p>
    <w:p>
      <w:pPr>
        <w:ind w:left="180" w:right="600" w:firstLine="465"/>
        <w:spacing w:after="0" w:line="275" w:lineRule="auto"/>
        <w:rPr>
          <w:sz w:val="20"/>
          <w:szCs w:val="20"/>
          <w:color w:val="auto"/>
        </w:rPr>
      </w:pPr>
      <w:r>
        <w:rPr>
          <w:rFonts w:ascii="Arial" w:cs="Arial" w:eastAsia="Arial" w:hAnsi="Arial"/>
          <w:sz w:val="19"/>
          <w:szCs w:val="19"/>
          <w:color w:val="auto"/>
        </w:rPr>
        <w:t>We rely on third-party suppliers for the supply of the raw materials required for the production of our product candidates, and we expect to continue to rely on third party manufacturers for the commercial supply of</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38</w:t>
      </w:r>
    </w:p>
    <w:p>
      <w:pPr>
        <w:sectPr>
          <w:pgSz w:w="12240" w:h="15840" w:orient="portrait"/>
          <w:cols w:equalWidth="0" w:num="1">
            <w:col w:w="11800"/>
          </w:cols>
          <w:pgMar w:left="120" w:top="336" w:right="320" w:bottom="1440" w:gutter="0" w:footer="0" w:header="0"/>
        </w:sectPr>
      </w:pPr>
    </w:p>
    <w:bookmarkStart w:id="46" w:name="page47"/>
    <w:bookmarkEnd w:id="4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spacing w:after="0" w:line="269" w:lineRule="auto"/>
        <w:rPr>
          <w:sz w:val="20"/>
          <w:szCs w:val="20"/>
          <w:color w:val="auto"/>
        </w:rPr>
      </w:pPr>
      <w:r>
        <w:rPr>
          <w:rFonts w:ascii="Arial" w:cs="Arial" w:eastAsia="Arial" w:hAnsi="Arial"/>
          <w:sz w:val="18"/>
          <w:szCs w:val="18"/>
          <w:color w:val="auto"/>
        </w:rPr>
        <w:t>any of our product candidates for which we obtain marketing approval.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do not have long-term supply agreements, and we purchase our required drug product on a development manufacturing services agreement or purchase order basis.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Risks Related to Our Intellectual Property</w:t>
      </w:r>
    </w:p>
    <w:p>
      <w:pPr>
        <w:spacing w:after="0" w:line="130" w:lineRule="exact"/>
        <w:rPr>
          <w:sz w:val="20"/>
          <w:szCs w:val="20"/>
          <w:color w:val="auto"/>
        </w:rPr>
      </w:pPr>
    </w:p>
    <w:p>
      <w:pPr>
        <w:ind w:left="180"/>
        <w:spacing w:after="0" w:line="372" w:lineRule="auto"/>
        <w:rPr>
          <w:sz w:val="20"/>
          <w:szCs w:val="20"/>
          <w:color w:val="auto"/>
        </w:rPr>
      </w:pPr>
      <w:r>
        <w:rPr>
          <w:rFonts w:ascii="Arial" w:cs="Arial" w:eastAsia="Arial" w:hAnsi="Arial"/>
          <w:sz w:val="16"/>
          <w:szCs w:val="16"/>
          <w:b w:val="1"/>
          <w:bCs w:val="1"/>
          <w:i w:val="1"/>
          <w:iCs w:val="1"/>
          <w:color w:val="auto"/>
        </w:rPr>
        <w:t>If we are unable to obtain and maintain patent protection for any product candidates we develop, our competitors could develop and commercialize products similar or identical to ours, and our ability to successfully commercialize any product candidates we may develop may be adversely affected.</w:t>
      </w:r>
    </w:p>
    <w:p>
      <w:pPr>
        <w:jc w:val="both"/>
        <w:ind w:left="180" w:right="240" w:firstLine="465"/>
        <w:spacing w:after="0" w:line="285" w:lineRule="auto"/>
        <w:rPr>
          <w:sz w:val="20"/>
          <w:szCs w:val="20"/>
          <w:color w:val="auto"/>
        </w:rPr>
      </w:pPr>
      <w:r>
        <w:rPr>
          <w:rFonts w:ascii="Arial" w:cs="Arial" w:eastAsia="Arial" w:hAnsi="Arial"/>
          <w:sz w:val="17"/>
          <w:szCs w:val="17"/>
          <w:color w:val="auto"/>
        </w:rPr>
        <w:t>Our success depends in large part on our ability to obtain and maintain patent protection in the United States and other countries with respect to our proprietary product candidates and other technologies we may develop. We seek to protect our proprietary position by filing patent applications in the United States and abroad relating to our core programs and product candidates, as well as other technologies that are important to our business.</w:t>
      </w:r>
    </w:p>
    <w:p>
      <w:pPr>
        <w:spacing w:after="0" w:line="1" w:lineRule="exact"/>
        <w:rPr>
          <w:sz w:val="20"/>
          <w:szCs w:val="20"/>
          <w:color w:val="auto"/>
        </w:rPr>
      </w:pPr>
    </w:p>
    <w:p>
      <w:pPr>
        <w:ind w:left="180" w:right="80"/>
        <w:spacing w:after="0" w:line="283" w:lineRule="auto"/>
        <w:rPr>
          <w:sz w:val="20"/>
          <w:szCs w:val="20"/>
          <w:color w:val="auto"/>
        </w:rPr>
      </w:pPr>
      <w:r>
        <w:rPr>
          <w:rFonts w:ascii="Arial" w:cs="Arial" w:eastAsia="Arial" w:hAnsi="Arial"/>
          <w:sz w:val="17"/>
          <w:szCs w:val="17"/>
          <w:color w:val="auto"/>
        </w:rPr>
        <w:t>Given that the development of our product candidates is at an early stage, our intellectual property portfolio with respect to certain aspects of our product candidates is also at an early stage. For example, we have filed or intend to file patent applications on aspects of our technology and core product candidates; however, there can be no assurance that any such patent applications will issue as granted patents. Furthermore, in some cases, we have only filed provisional patent applications on certain aspects of our technology and product candidates and each of these provisional patent applications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core programs and product candidates, as well as other technologies that are important to our business, and instead may need to rely on filing patent applications with claims covering a method of use and/or method of manufacture for protection of such core programs,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core programs and product candidates could have a material adverse effect on our business, financial condition, results of operations, and prospects.</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If any of our patent applications, or those of our collaborators, do not issue as patents in any jurisdiction, we may not be able to compete effectively.</w:t>
      </w:r>
    </w:p>
    <w:p>
      <w:pPr>
        <w:spacing w:after="0" w:line="158" w:lineRule="exact"/>
        <w:rPr>
          <w:sz w:val="20"/>
          <w:szCs w:val="20"/>
          <w:color w:val="auto"/>
        </w:rPr>
      </w:pPr>
    </w:p>
    <w:p>
      <w:pPr>
        <w:ind w:left="180" w:right="60" w:firstLine="465"/>
        <w:spacing w:after="0" w:line="255" w:lineRule="auto"/>
        <w:rPr>
          <w:sz w:val="20"/>
          <w:szCs w:val="20"/>
          <w:color w:val="auto"/>
        </w:rPr>
      </w:pPr>
      <w:r>
        <w:rPr>
          <w:rFonts w:ascii="Arial" w:cs="Arial" w:eastAsia="Arial" w:hAnsi="Arial"/>
          <w:sz w:val="19"/>
          <w:szCs w:val="19"/>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patents or those of our collaborators with respect to our product candidates. With respect to both our intellectual property and that of our collaborators related to our product candidates, we cannot predict whether the patent applications we and our collaborators are currently pursuing will issue as patents in any particular jurisdiction or whether the claims of any issued patents will provide sufficient protection from competitors or other third parties.</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39</w:t>
      </w:r>
    </w:p>
    <w:p>
      <w:pPr>
        <w:sectPr>
          <w:pgSz w:w="12240" w:h="15840" w:orient="portrait"/>
          <w:cols w:equalWidth="0" w:num="1">
            <w:col w:w="11820"/>
          </w:cols>
          <w:pgMar w:left="120" w:top="336" w:right="300" w:bottom="1440" w:gutter="0" w:footer="0" w:header="0"/>
        </w:sectPr>
      </w:pPr>
    </w:p>
    <w:bookmarkStart w:id="47" w:name="page48"/>
    <w:bookmarkEnd w:id="4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00" w:firstLine="465"/>
        <w:spacing w:after="0" w:line="285" w:lineRule="auto"/>
        <w:rPr>
          <w:sz w:val="20"/>
          <w:szCs w:val="20"/>
          <w:color w:val="auto"/>
        </w:rPr>
      </w:pPr>
      <w:r>
        <w:rPr>
          <w:rFonts w:ascii="Arial" w:cs="Arial" w:eastAsia="Arial" w:hAnsi="Arial"/>
          <w:sz w:val="17"/>
          <w:szCs w:val="17"/>
          <w:color w:val="auto"/>
        </w:rPr>
        <w:t>The patent prosecution process is expensive, time-consuming, and complex, and we or our collaborators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CDMOs,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collaborators were the first to make the inventions claimed in any of our or our collaborators’ patents or pending patent applications, or that we or our collaborators were the first to file for patent protection of such inventions.</w:t>
      </w:r>
    </w:p>
    <w:p>
      <w:pPr>
        <w:spacing w:after="0" w:line="299" w:lineRule="exact"/>
        <w:rPr>
          <w:sz w:val="20"/>
          <w:szCs w:val="20"/>
          <w:color w:val="auto"/>
        </w:rPr>
      </w:pPr>
    </w:p>
    <w:p>
      <w:pPr>
        <w:ind w:left="180" w:right="760"/>
        <w:spacing w:after="0" w:line="336" w:lineRule="auto"/>
        <w:rPr>
          <w:sz w:val="20"/>
          <w:szCs w:val="20"/>
          <w:color w:val="auto"/>
        </w:rPr>
      </w:pPr>
      <w:r>
        <w:rPr>
          <w:rFonts w:ascii="Arial" w:cs="Arial" w:eastAsia="Arial" w:hAnsi="Arial"/>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23" w:lineRule="exact"/>
        <w:rPr>
          <w:sz w:val="20"/>
          <w:szCs w:val="20"/>
          <w:color w:val="auto"/>
        </w:rPr>
      </w:pPr>
    </w:p>
    <w:p>
      <w:pPr>
        <w:ind w:left="180" w:right="140" w:firstLine="465"/>
        <w:spacing w:after="0" w:line="298"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or our collaborators’ pending and future patent applications may not result in patents being issued which protect our product candidates or other technologies or which effectively prevent others from commercializing competitive technologies and product candidates.</w:t>
      </w:r>
    </w:p>
    <w:p>
      <w:pPr>
        <w:spacing w:after="0" w:line="170" w:lineRule="exact"/>
        <w:rPr>
          <w:sz w:val="20"/>
          <w:szCs w:val="20"/>
          <w:color w:val="auto"/>
        </w:rPr>
      </w:pPr>
    </w:p>
    <w:p>
      <w:pPr>
        <w:ind w:left="180" w:right="20" w:firstLine="465"/>
        <w:spacing w:after="0" w:line="289" w:lineRule="auto"/>
        <w:rPr>
          <w:sz w:val="20"/>
          <w:szCs w:val="20"/>
          <w:color w:val="auto"/>
        </w:rPr>
      </w:pPr>
      <w:r>
        <w:rPr>
          <w:rFonts w:ascii="Arial" w:cs="Arial" w:eastAsia="Arial" w:hAnsi="Arial"/>
          <w:sz w:val="17"/>
          <w:szCs w:val="17"/>
          <w:color w:val="auto"/>
        </w:rPr>
        <w:t>Moreover, the coverage claimed in a patent application can be significantly reduced before the patent is issued, and its scope can be reinterpreted after issuance. Even if patent applications we or our collaborators license or own currently or in the future issue as patents, they may not issue in a form that will provide us with any meaningful protection, prevent competitors or other third parties from competing with us, or otherwise provide us with any competitive advantage. Any patents to which we or our collaborators have rights may be challenged, narrowed, circumvented, or invalidated by third parties. Consequently, we do not know whether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178" w:lineRule="exact"/>
        <w:rPr>
          <w:sz w:val="20"/>
          <w:szCs w:val="20"/>
          <w:color w:val="auto"/>
        </w:rPr>
      </w:pPr>
    </w:p>
    <w:p>
      <w:pPr>
        <w:ind w:left="180" w:firstLine="465"/>
        <w:spacing w:after="0" w:line="268" w:lineRule="auto"/>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and our patents may be challenged in the courts or patent offices in the United States and abroad. We or our collaborators may be subject to a third party preissuance submission of prior art to the United States Patent and Trademark Office (USPTO) or become involved in opposition, derivation, revocation, reexamination, post-grant and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partes </w:t>
      </w:r>
      <w:r>
        <w:rPr>
          <w:rFonts w:ascii="Arial" w:cs="Arial" w:eastAsia="Arial" w:hAnsi="Arial"/>
          <w:sz w:val="18"/>
          <w:szCs w:val="18"/>
          <w:color w:val="auto"/>
        </w:rPr>
        <w:t>review, or interference proceedings or other similar proceedings challenging our or our collaborators’ patent rights. An adverse determination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any such submission, proceeding, or litigation could reduce the scope of, or invalidate or render unenforceable, such patent rights, allow third parties to commercialize our product candidates or other technologies and compete directly with us, without payment to us, or result in our inability to manufacture or commercialize products without infringing third-party patent rights. Moreover, we, or one of our collaborators, may have to participate in interference proceedings declared by the USPTO to determine priority of invention or in post-grant challenge proceedings, such as oppositions in a foreign patent office, that challenge our or our collaborators’ priority of invention or other features of patentability with respect to our or our collaborators’ patents and patent applications. Such challenges may result in loss of patent rights, loss of exclusivity, or in patent claims being narrowed, invalidated, or held unenforceable, which could limit our ability</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40</w:t>
      </w:r>
    </w:p>
    <w:p>
      <w:pPr>
        <w:sectPr>
          <w:pgSz w:w="12240" w:h="15840" w:orient="portrait"/>
          <w:cols w:equalWidth="0" w:num="1">
            <w:col w:w="11780"/>
          </w:cols>
          <w:pgMar w:left="120" w:top="336" w:right="340" w:bottom="1440" w:gutter="0" w:footer="0" w:header="0"/>
        </w:sectPr>
      </w:pPr>
    </w:p>
    <w:bookmarkStart w:id="48" w:name="page49"/>
    <w:bookmarkEnd w:id="4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70" w:lineRule="auto"/>
        <w:rPr>
          <w:sz w:val="20"/>
          <w:szCs w:val="20"/>
          <w:color w:val="auto"/>
        </w:rPr>
      </w:pPr>
      <w:r>
        <w:rPr>
          <w:rFonts w:ascii="Arial" w:cs="Arial" w:eastAsia="Arial" w:hAnsi="Arial"/>
          <w:sz w:val="18"/>
          <w:szCs w:val="18"/>
          <w:color w:val="auto"/>
        </w:rPr>
        <w:t>to stop others from using or commercializing similar or identical technology and products, or limit the duration of the patent protection of our product candidates and other technologies. Such proceedings also may result in substantial cost and require significant time from our scientists and management, even if the eventual outcome is favorable to us. If we or our collaborators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w:t>
      </w:r>
    </w:p>
    <w:p>
      <w:pPr>
        <w:spacing w:after="0" w:line="191" w:lineRule="exact"/>
        <w:rPr>
          <w:sz w:val="20"/>
          <w:szCs w:val="20"/>
          <w:color w:val="auto"/>
        </w:rPr>
      </w:pPr>
    </w:p>
    <w:p>
      <w:pPr>
        <w:jc w:val="both"/>
        <w:ind w:left="180" w:right="160" w:firstLine="465"/>
        <w:spacing w:after="0" w:line="284" w:lineRule="auto"/>
        <w:rPr>
          <w:sz w:val="20"/>
          <w:szCs w:val="20"/>
          <w:color w:val="auto"/>
        </w:rPr>
      </w:pPr>
      <w:r>
        <w:rPr>
          <w:rFonts w:ascii="Arial" w:cs="Arial" w:eastAsia="Arial" w:hAnsi="Arial"/>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78" w:lineRule="exact"/>
        <w:rPr>
          <w:sz w:val="20"/>
          <w:szCs w:val="20"/>
          <w:color w:val="auto"/>
        </w:rPr>
      </w:pPr>
    </w:p>
    <w:p>
      <w:pPr>
        <w:ind w:left="180" w:right="100" w:firstLine="465"/>
        <w:spacing w:after="0" w:line="269" w:lineRule="auto"/>
        <w:rPr>
          <w:sz w:val="20"/>
          <w:szCs w:val="20"/>
          <w:color w:val="auto"/>
        </w:rPr>
      </w:pPr>
      <w:r>
        <w:rPr>
          <w:rFonts w:ascii="Arial" w:cs="Arial" w:eastAsia="Arial" w:hAnsi="Arial"/>
          <w:sz w:val="18"/>
          <w:szCs w:val="18"/>
          <w:color w:val="auto"/>
        </w:rPr>
        <w:t>Some of our patents and patent applications may in the future be co-owned with third parties. In addition, collaborators or future licensors may co-own their patents and patent applications with other third parties with whom we do not have a direct relationship. Our rights to certain of these patents and patent applications may be dependent, in part, on inter-institutional or other operating agreements between the joint owners of such patents and patent applications, who are not parties to our license agreements. If our collaborators or future licensors do not have exclusive control of the grant of licenses under any such third-party co-owners’ interest in such patents or patent applications or we are otherwise unable to secure such exclusive rights, such co-owners may be able to license their rights to other third parties, including our competitors, and our competitors could market competing products and technology to the extent such products and technology are not also covered by our intellectual property.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rights to develop and commercialize our product candidates are subject, in part, to the terms and conditions of agreements with others.</w:t>
      </w:r>
    </w:p>
    <w:p>
      <w:pPr>
        <w:spacing w:after="0" w:line="147" w:lineRule="exact"/>
        <w:rPr>
          <w:sz w:val="20"/>
          <w:szCs w:val="20"/>
          <w:color w:val="auto"/>
        </w:rPr>
      </w:pPr>
    </w:p>
    <w:p>
      <w:pPr>
        <w:ind w:left="180" w:right="60" w:firstLine="465"/>
        <w:spacing w:after="0" w:line="289" w:lineRule="auto"/>
        <w:rPr>
          <w:sz w:val="20"/>
          <w:szCs w:val="20"/>
          <w:color w:val="auto"/>
        </w:rPr>
      </w:pPr>
      <w:r>
        <w:rPr>
          <w:rFonts w:ascii="Arial" w:cs="Arial" w:eastAsia="Arial" w:hAnsi="Arial"/>
          <w:sz w:val="17"/>
          <w:szCs w:val="17"/>
          <w:color w:val="auto"/>
        </w:rPr>
        <w:t>We are heavily reliant upon option rights to certain patent rights and proprietary technology from third parties that are important or necessary to the development of our product candidates and are subject to the terms and conditions of certain collaboration agreements with third parties. For example, in 2013 we entered into the Adimab Collaboration Agreement with Adimab. Under the Adimab Collaboration Agreement, we are developing antibodies discovered by Adimab in our AL001 and AL101 product candidates, and we are developing antibodies optimized by Adimab in our AL002 and AL003 product candidates. Additionally, in October 2017, we entered into the AbbVie Agreement to co-develop and commercialize medicines with AbbVie to treat Alzheimer’s disease and other neurodegenerative diseases. For additional information on the Adimab Collaboration Agreement and the AbbVie Agreement, see the sections titled “Business—Adimab Collaboration Agreement” and “Business—Strategic Alliance with AbbVie.”</w:t>
      </w:r>
    </w:p>
    <w:p>
      <w:pPr>
        <w:spacing w:after="0" w:line="178"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Our agreements with Adimab and AbbVie and other agreements we enter into in the future may not provide exclusive rights to use certain intellectual property and technology retained by the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utilizes technology retained by such collaborators to the extent such products are not also covered by our intellectual property.</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41</w:t>
      </w:r>
    </w:p>
    <w:p>
      <w:pPr>
        <w:sectPr>
          <w:pgSz w:w="12240" w:h="15840" w:orient="portrait"/>
          <w:cols w:equalWidth="0" w:num="1">
            <w:col w:w="11800"/>
          </w:cols>
          <w:pgMar w:left="120" w:top="336" w:right="320" w:bottom="1440" w:gutter="0" w:footer="0" w:header="0"/>
        </w:sectPr>
      </w:pPr>
    </w:p>
    <w:bookmarkStart w:id="49" w:name="page50"/>
    <w:bookmarkEnd w:id="4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firstLine="465"/>
        <w:spacing w:after="0" w:line="284" w:lineRule="auto"/>
        <w:rPr>
          <w:sz w:val="20"/>
          <w:szCs w:val="20"/>
          <w:color w:val="auto"/>
        </w:rPr>
      </w:pPr>
      <w:r>
        <w:rPr>
          <w:rFonts w:ascii="Arial" w:cs="Arial" w:eastAsia="Arial" w:hAnsi="Arial"/>
          <w:sz w:val="17"/>
          <w:szCs w:val="17"/>
          <w:color w:val="auto"/>
        </w:rPr>
        <w:t>In addition, subject to the terms of any such agreements, we do not have the right to control the preparation, filing, prosecution, and maintenance, and we may not have the right to control the enforcement and defense of certain patents and patent applications retained by the collaborator and provided to us under a limited license. For example, under the Adimab Collaboration Agreement, patent rights relating to improvements to Adimab’s background platform technology that are invented in the course of the research under the Adimab Collaboration Agreement are assigned to Adimab. We also have an exclusive option under the Adimab Collaboration Agreement to obtain with respect to a specified number of antibodies directed against such target and discovered or optimized by Adimab, ownership of certain patent rights relating to such antibodies, including certain patent rights. Until we exercise such option, we and Adimab each grant each other a non-exclusive license to the relevant intellectual property. We cannot be certain that patents and patent applications that are controlled by our collaborators will be prepared, filed, prosecuted, maintained, enforced, and defended in a manner consistent with the best interests of our business. If our collaborators fail to prosecute, maintain, enforce, and defend such patents, or lose rights to those patents or patent applications, the limited rights we have licensed may be reduced or eliminated, our right to develop and commercialize any of our product candidates that are subject of such licensed rights could be adversely affected, and we may have a reduced ability to prevent competitors from making, using, and selling competing products. In addition, even where we have the right to control patent prosecution of patents and patent applications we have licensed to and from collaborators, we may still be adversely affected or prejudiced by actions or inactions of our collaborators that took place prior to the date upon which we assumed control over patent prosecution.</w:t>
      </w:r>
    </w:p>
    <w:p>
      <w:pPr>
        <w:spacing w:after="0" w:line="184" w:lineRule="exact"/>
        <w:rPr>
          <w:sz w:val="20"/>
          <w:szCs w:val="20"/>
          <w:color w:val="auto"/>
        </w:rPr>
      </w:pPr>
    </w:p>
    <w:p>
      <w:pPr>
        <w:ind w:left="180" w:firstLine="465"/>
        <w:spacing w:after="0" w:line="285" w:lineRule="auto"/>
        <w:rPr>
          <w:sz w:val="20"/>
          <w:szCs w:val="20"/>
          <w:color w:val="auto"/>
        </w:rPr>
      </w:pPr>
      <w:r>
        <w:rPr>
          <w:rFonts w:ascii="Arial" w:cs="Arial" w:eastAsia="Arial" w:hAnsi="Arial"/>
          <w:sz w:val="17"/>
          <w:szCs w:val="17"/>
          <w:color w:val="auto"/>
        </w:rPr>
        <w:t>Furthermore, our or our collaborators’ patents may be subject to a reservation of rights by one or more third parties. For example, we received an award from the National Institute of Health in support of our research into the production and characterization of novel therapeutic antibodies against the neurotrophic factor PGRN degrading receptor Sortilin (SORT1). As a result,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 party of its reserved rights could have a material adverse effect on our competitive position, business, financial condition, results of operations, and prospects.</w:t>
      </w:r>
    </w:p>
    <w:p>
      <w:pPr>
        <w:spacing w:after="0" w:line="295" w:lineRule="exact"/>
        <w:rPr>
          <w:sz w:val="20"/>
          <w:szCs w:val="20"/>
          <w:color w:val="auto"/>
        </w:rPr>
      </w:pPr>
    </w:p>
    <w:p>
      <w:pPr>
        <w:ind w:left="180" w:right="260"/>
        <w:spacing w:after="0" w:line="263" w:lineRule="auto"/>
        <w:rPr>
          <w:sz w:val="20"/>
          <w:szCs w:val="20"/>
          <w:color w:val="auto"/>
        </w:rPr>
      </w:pPr>
      <w:r>
        <w:rPr>
          <w:rFonts w:ascii="Arial" w:cs="Arial" w:eastAsia="Arial" w:hAnsi="Arial"/>
          <w:sz w:val="19"/>
          <w:szCs w:val="19"/>
          <w:b w:val="1"/>
          <w:bCs w:val="1"/>
          <w:i w:val="1"/>
          <w:iCs w:val="1"/>
          <w:color w:val="auto"/>
        </w:rPr>
        <w:t>If we fail to comply with our obligations in the agreements under which we option or license intellectual property rights from our collaborators or future licensors or otherwise experience disruptions to our business relationships with our collaborators or future licensors, we could lose intellectual property rights that are important to our business.</w:t>
      </w:r>
    </w:p>
    <w:p>
      <w:pPr>
        <w:spacing w:after="0" w:line="80" w:lineRule="exact"/>
        <w:rPr>
          <w:sz w:val="20"/>
          <w:szCs w:val="20"/>
          <w:color w:val="auto"/>
        </w:rPr>
      </w:pPr>
    </w:p>
    <w:p>
      <w:pPr>
        <w:ind w:left="180" w:right="20" w:firstLine="465"/>
        <w:spacing w:after="0" w:line="254" w:lineRule="auto"/>
        <w:rPr>
          <w:sz w:val="20"/>
          <w:szCs w:val="20"/>
          <w:color w:val="auto"/>
        </w:rPr>
      </w:pPr>
      <w:r>
        <w:rPr>
          <w:rFonts w:ascii="Arial" w:cs="Arial" w:eastAsia="Arial" w:hAnsi="Arial"/>
          <w:sz w:val="19"/>
          <w:szCs w:val="19"/>
          <w:color w:val="auto"/>
        </w:rPr>
        <w:t>We have entered into agreements with our collaborators to option or license certain intellectual property and may need to obtain additional intellectual property rights from others to advance our research or allow commercialization of product candidates we may develop. It is possible that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42</w:t>
      </w:r>
    </w:p>
    <w:p>
      <w:pPr>
        <w:sectPr>
          <w:pgSz w:w="12240" w:h="15840" w:orient="portrait"/>
          <w:cols w:equalWidth="0" w:num="1">
            <w:col w:w="11820"/>
          </w:cols>
          <w:pgMar w:left="120" w:top="336" w:right="300" w:bottom="1440" w:gutter="0" w:footer="0" w:header="0"/>
        </w:sectPr>
      </w:pPr>
    </w:p>
    <w:bookmarkStart w:id="50" w:name="page51"/>
    <w:bookmarkEnd w:id="5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spacing w:after="0" w:line="275" w:lineRule="auto"/>
        <w:rPr>
          <w:sz w:val="20"/>
          <w:szCs w:val="20"/>
          <w:color w:val="auto"/>
        </w:rPr>
      </w:pPr>
      <w:r>
        <w:rPr>
          <w:rFonts w:ascii="Arial" w:cs="Arial" w:eastAsia="Arial" w:hAnsi="Arial"/>
          <w:sz w:val="19"/>
          <w:szCs w:val="19"/>
          <w:color w:val="auto"/>
        </w:rPr>
        <w:t>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84" w:lineRule="exact"/>
        <w:rPr>
          <w:sz w:val="20"/>
          <w:szCs w:val="20"/>
          <w:color w:val="auto"/>
        </w:rPr>
      </w:pPr>
    </w:p>
    <w:p>
      <w:pPr>
        <w:ind w:left="180" w:right="40" w:firstLine="465"/>
        <w:spacing w:after="0" w:line="287" w:lineRule="auto"/>
        <w:rPr>
          <w:sz w:val="20"/>
          <w:szCs w:val="20"/>
          <w:color w:val="auto"/>
        </w:rPr>
      </w:pPr>
      <w:r>
        <w:rPr>
          <w:rFonts w:ascii="Arial" w:cs="Arial" w:eastAsia="Arial" w:hAnsi="Arial"/>
          <w:sz w:val="17"/>
          <w:szCs w:val="17"/>
          <w:color w:val="auto"/>
        </w:rPr>
        <w:t>In addition, each of our agreements with collaborators do, and we expect our future agreements will, impose various economic, development, diligence, commercialization, and other obligations on us. Certain of our collaboration agreements also require us to meet development timelines, or to exercise commercially reasonable efforts to develop and commercialize licensed products. In spite of our efforts, our collaborators might conclude that we have materially breached our obligations under such agreements and might therefore terminate or seek damages under the agreements, thereby removing or limiting our ability to develop and commercialize products and technology covered by these agreements. If termination of these agreements causes us to lose the rights to certain patents or other intellectual property, or if the underlying patents fail to provide the intended exclusivity,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Moreover, disputes may arise regarding intellectual property subject to a collaboration agreement, including:</w:t>
      </w:r>
    </w:p>
    <w:p>
      <w:pPr>
        <w:spacing w:after="0" w:line="138" w:lineRule="exact"/>
        <w:rPr>
          <w:sz w:val="20"/>
          <w:szCs w:val="20"/>
          <w:color w:val="auto"/>
        </w:rPr>
      </w:pPr>
    </w:p>
    <w:p>
      <w:pPr>
        <w:ind w:left="1100" w:hanging="350"/>
        <w:spacing w:after="0"/>
        <w:tabs>
          <w:tab w:leader="none" w:pos="11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scope of the option or license rights granted under the agreement and other interpretation-related issues;</w:t>
      </w:r>
    </w:p>
    <w:p>
      <w:pPr>
        <w:spacing w:after="0" w:line="138" w:lineRule="exact"/>
        <w:rPr>
          <w:rFonts w:ascii="Arial" w:cs="Arial" w:eastAsia="Arial" w:hAnsi="Arial"/>
          <w:sz w:val="19"/>
          <w:szCs w:val="19"/>
          <w:color w:val="auto"/>
        </w:rPr>
      </w:pPr>
    </w:p>
    <w:p>
      <w:pPr>
        <w:ind w:left="1100" w:right="460" w:hanging="350"/>
        <w:spacing w:after="0" w:line="275" w:lineRule="auto"/>
        <w:tabs>
          <w:tab w:leader="none" w:pos="11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extent to which our technology and processes infringe on intellectual property of the collaborator that is not subject to the option or license rights granted under the agreement;</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sublicensing of patent and other rights under our collaborative development relationships;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our diligence obligations under the agreement and what activities satisfy those diligence obligations;</w:t>
      </w:r>
    </w:p>
    <w:p>
      <w:pPr>
        <w:spacing w:after="0" w:line="138" w:lineRule="exact"/>
        <w:rPr>
          <w:rFonts w:ascii="Arial" w:cs="Arial" w:eastAsia="Arial" w:hAnsi="Arial"/>
          <w:sz w:val="19"/>
          <w:szCs w:val="19"/>
          <w:color w:val="auto"/>
        </w:rPr>
      </w:pPr>
    </w:p>
    <w:p>
      <w:pPr>
        <w:ind w:left="1100" w:right="800" w:hanging="350"/>
        <w:spacing w:after="0" w:line="275" w:lineRule="auto"/>
        <w:tabs>
          <w:tab w:leader="none" w:pos="11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inventorship and ownership of inventions and know-how resulting from the joint creation or use of intellectual property by our collaborators and us and our other partners; and</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priority of invention of patented technology.</w:t>
      </w:r>
    </w:p>
    <w:p>
      <w:pPr>
        <w:spacing w:after="0" w:line="238"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In addition, the agreements under which we currently have rights to option or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our current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may not be able to protect our intellectual property and proprietary rights throughout the world.</w:t>
      </w:r>
    </w:p>
    <w:p>
      <w:pPr>
        <w:spacing w:after="0" w:line="124" w:lineRule="exact"/>
        <w:rPr>
          <w:sz w:val="20"/>
          <w:szCs w:val="20"/>
          <w:color w:val="auto"/>
        </w:rPr>
      </w:pPr>
    </w:p>
    <w:p>
      <w:pPr>
        <w:ind w:left="180" w:right="620" w:firstLine="465"/>
        <w:spacing w:after="0" w:line="336" w:lineRule="auto"/>
        <w:rPr>
          <w:sz w:val="20"/>
          <w:szCs w:val="20"/>
          <w:color w:val="auto"/>
        </w:rPr>
      </w:pPr>
      <w:r>
        <w:rPr>
          <w:rFonts w:ascii="Arial" w:cs="Arial" w:eastAsia="Arial" w:hAnsi="Arial"/>
          <w:sz w:val="17"/>
          <w:szCs w:val="17"/>
          <w:color w:val="auto"/>
        </w:rPr>
        <w:t>Filing, prosecuting, and defending patents on our product candidates and other technologies in all countries throughout the world would be prohibitively expensive, and the laws of foreign countries may not protect our rights to the same extent as the laws of the United States.</w:t>
      </w:r>
    </w:p>
    <w:p>
      <w:pPr>
        <w:spacing w:after="0" w:line="137" w:lineRule="exact"/>
        <w:rPr>
          <w:sz w:val="20"/>
          <w:szCs w:val="20"/>
          <w:color w:val="auto"/>
        </w:rPr>
      </w:pPr>
    </w:p>
    <w:p>
      <w:pPr>
        <w:ind w:left="180" w:right="80" w:firstLine="465"/>
        <w:spacing w:after="0" w:line="263" w:lineRule="auto"/>
        <w:rPr>
          <w:sz w:val="20"/>
          <w:szCs w:val="20"/>
          <w:color w:val="auto"/>
        </w:rPr>
      </w:pPr>
      <w:r>
        <w:rPr>
          <w:rFonts w:ascii="Arial" w:cs="Arial" w:eastAsia="Arial" w:hAnsi="Arial"/>
          <w:sz w:val="19"/>
          <w:szCs w:val="19"/>
          <w:color w:val="auto"/>
        </w:rPr>
        <w:t>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43</w:t>
      </w:r>
    </w:p>
    <w:p>
      <w:pPr>
        <w:sectPr>
          <w:pgSz w:w="12240" w:h="15840" w:orient="portrait"/>
          <w:cols w:equalWidth="0" w:num="1">
            <w:col w:w="11820"/>
          </w:cols>
          <w:pgMar w:left="120" w:top="336" w:right="300" w:bottom="1440" w:gutter="0" w:footer="0" w:header="0"/>
        </w:sectPr>
      </w:pPr>
    </w:p>
    <w:bookmarkStart w:id="51" w:name="page52"/>
    <w:bookmarkEnd w:id="5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63" w:lineRule="auto"/>
        <w:rPr>
          <w:sz w:val="20"/>
          <w:szCs w:val="20"/>
          <w:color w:val="auto"/>
        </w:rPr>
      </w:pPr>
      <w:r>
        <w:rPr>
          <w:rFonts w:ascii="Arial" w:cs="Arial" w:eastAsia="Arial" w:hAnsi="Arial"/>
          <w:sz w:val="19"/>
          <w:szCs w:val="19"/>
          <w:color w:val="auto"/>
        </w:rPr>
        <w:t>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94" w:lineRule="exact"/>
        <w:rPr>
          <w:sz w:val="20"/>
          <w:szCs w:val="20"/>
          <w:color w:val="auto"/>
        </w:rPr>
      </w:pPr>
    </w:p>
    <w:p>
      <w:pPr>
        <w:ind w:left="180" w:right="60" w:firstLine="465"/>
        <w:spacing w:after="0" w:line="26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94"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our collaborators or any of our future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318" w:lineRule="exact"/>
        <w:rPr>
          <w:sz w:val="20"/>
          <w:szCs w:val="20"/>
          <w:color w:val="auto"/>
        </w:rPr>
      </w:pPr>
    </w:p>
    <w:p>
      <w:pPr>
        <w:ind w:left="180" w:right="300"/>
        <w:spacing w:after="0" w:line="263" w:lineRule="auto"/>
        <w:rPr>
          <w:sz w:val="20"/>
          <w:szCs w:val="20"/>
          <w:color w:val="auto"/>
        </w:rPr>
      </w:pPr>
      <w:r>
        <w:rPr>
          <w:rFonts w:ascii="Arial" w:cs="Arial" w:eastAsia="Arial" w:hAnsi="Arial"/>
          <w:sz w:val="19"/>
          <w:szCs w:val="19"/>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80" w:lineRule="exact"/>
        <w:rPr>
          <w:sz w:val="20"/>
          <w:szCs w:val="20"/>
          <w:color w:val="auto"/>
        </w:rPr>
      </w:pPr>
    </w:p>
    <w:p>
      <w:pPr>
        <w:ind w:left="180" w:right="40" w:firstLine="465"/>
        <w:spacing w:after="0" w:line="269" w:lineRule="auto"/>
        <w:rPr>
          <w:sz w:val="20"/>
          <w:szCs w:val="20"/>
          <w:color w:val="auto"/>
        </w:rPr>
      </w:pPr>
      <w:r>
        <w:rPr>
          <w:rFonts w:ascii="Arial" w:cs="Arial" w:eastAsia="Arial" w:hAnsi="Arial"/>
          <w:sz w:val="18"/>
          <w:szCs w:val="18"/>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In certain circumstances, we rely on our collaborators or licensing partners to pay these fees due to U.S. and non-U.S. patent agencies. The USPTO and various non-U.S. government agencies require compliance with several procedural, documentary, fee payment, and other similar provisions during the patent application process. We also are dependent on our collaborators or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growth prospects.</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Changes in U.S. patent law could diminish the value of patents in general, thereby impairing our ability to protect our products.</w:t>
      </w:r>
    </w:p>
    <w:p>
      <w:pPr>
        <w:spacing w:after="0" w:line="124"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44</w:t>
      </w:r>
    </w:p>
    <w:p>
      <w:pPr>
        <w:sectPr>
          <w:pgSz w:w="12240" w:h="15840" w:orient="portrait"/>
          <w:cols w:equalWidth="0" w:num="1">
            <w:col w:w="11800"/>
          </w:cols>
          <w:pgMar w:left="120" w:top="336" w:right="320" w:bottom="1440" w:gutter="0" w:footer="0" w:header="0"/>
        </w:sectPr>
      </w:pPr>
    </w:p>
    <w:bookmarkStart w:id="52" w:name="page53"/>
    <w:bookmarkEnd w:id="5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54" w:lineRule="auto"/>
        <w:rPr>
          <w:sz w:val="20"/>
          <w:szCs w:val="20"/>
          <w:color w:val="auto"/>
        </w:rPr>
      </w:pPr>
      <w:r>
        <w:rPr>
          <w:rFonts w:ascii="Arial" w:cs="Arial" w:eastAsia="Arial" w:hAnsi="Arial"/>
          <w:sz w:val="19"/>
          <w:szCs w:val="19"/>
          <w:color w:val="auto"/>
        </w:rPr>
        <w:t>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(i) file any patent application related to our product candidates or other technologies or (ii) invent any of the inventions claimed in our patents or patent applications.</w:t>
      </w:r>
    </w:p>
    <w:p>
      <w:pPr>
        <w:spacing w:after="0" w:line="207"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 xml:space="preserve">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90" w:lineRule="exact"/>
        <w:rPr>
          <w:sz w:val="20"/>
          <w:szCs w:val="20"/>
          <w:color w:val="auto"/>
        </w:rPr>
      </w:pPr>
    </w:p>
    <w:p>
      <w:pPr>
        <w:ind w:left="180" w:right="20" w:firstLine="465"/>
        <w:spacing w:after="0" w:line="255" w:lineRule="auto"/>
        <w:rPr>
          <w:sz w:val="20"/>
          <w:szCs w:val="20"/>
          <w:color w:val="auto"/>
        </w:rPr>
      </w:pPr>
      <w:r>
        <w:rPr>
          <w:rFonts w:ascii="Arial" w:cs="Arial" w:eastAsia="Arial" w:hAnsi="Arial"/>
          <w:sz w:val="19"/>
          <w:szCs w:val="19"/>
          <w:color w:val="auto"/>
        </w:rPr>
        <w:t>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318" w:lineRule="exact"/>
        <w:rPr>
          <w:sz w:val="20"/>
          <w:szCs w:val="20"/>
          <w:color w:val="auto"/>
        </w:rPr>
      </w:pPr>
    </w:p>
    <w:p>
      <w:pPr>
        <w:ind w:left="180" w:right="400"/>
        <w:spacing w:after="0" w:line="275" w:lineRule="auto"/>
        <w:rPr>
          <w:sz w:val="20"/>
          <w:szCs w:val="20"/>
          <w:color w:val="auto"/>
        </w:rPr>
      </w:pPr>
      <w:r>
        <w:rPr>
          <w:rFonts w:ascii="Arial" w:cs="Arial" w:eastAsia="Arial" w:hAnsi="Arial"/>
          <w:sz w:val="19"/>
          <w:szCs w:val="19"/>
          <w:b w:val="1"/>
          <w:bCs w:val="1"/>
          <w:i w:val="1"/>
          <w:iCs w:val="1"/>
          <w:color w:val="auto"/>
        </w:rPr>
        <w:t>Issued patents covering our product candidates and other technologies could be found invalid or unenforceable if challenged in court or before administrative bodies in the United States or abroad.</w:t>
      </w:r>
    </w:p>
    <w:p>
      <w:pPr>
        <w:spacing w:after="0" w:line="70" w:lineRule="exact"/>
        <w:rPr>
          <w:sz w:val="20"/>
          <w:szCs w:val="20"/>
          <w:color w:val="auto"/>
        </w:rPr>
      </w:pPr>
    </w:p>
    <w:p>
      <w:pPr>
        <w:ind w:left="180" w:right="80" w:firstLine="465"/>
        <w:spacing w:after="0" w:line="267" w:lineRule="auto"/>
        <w:rPr>
          <w:sz w:val="20"/>
          <w:szCs w:val="20"/>
          <w:color w:val="auto"/>
        </w:rPr>
      </w:pPr>
      <w:r>
        <w:rPr>
          <w:rFonts w:ascii="Arial" w:cs="Arial" w:eastAsia="Arial" w:hAnsi="Arial"/>
          <w:sz w:val="18"/>
          <w:szCs w:val="18"/>
          <w:color w:val="auto"/>
        </w:rPr>
        <w:t xml:space="preserve">If we initiated legal proceedings against a third party to enforce a patent covering our product candidates or other technologies,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our patents before administrative bodies in the United States or abroad, even outside the context of litigation. Such mechanisms include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interference proceedings, derivation proceedings, and equivalent proceedings in foreign jurisdictions (e.g., opposition proceedings). Such proceedings could result in the revocation of, cancellation of, or amendment to our patents in such a way that they no longer cover our product candidates or other technologies.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product candidates or other technologies. Such a loss of patent protection would have a material adverse impact on our business, financial condition, results of operations, and growth prospects.</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45</w:t>
      </w:r>
    </w:p>
    <w:p>
      <w:pPr>
        <w:sectPr>
          <w:pgSz w:w="12240" w:h="15840" w:orient="portrait"/>
          <w:cols w:equalWidth="0" w:num="1">
            <w:col w:w="11800"/>
          </w:cols>
          <w:pgMar w:left="120" w:top="336" w:right="320" w:bottom="1440" w:gutter="0" w:footer="0" w:header="0"/>
        </w:sectPr>
      </w:pPr>
    </w:p>
    <w:bookmarkStart w:id="53" w:name="page54"/>
    <w:bookmarkEnd w:id="5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any product candidates we may develop, our business may be materially harmed.</w:t>
      </w:r>
    </w:p>
    <w:p>
      <w:pPr>
        <w:spacing w:after="0" w:line="158" w:lineRule="exact"/>
        <w:rPr>
          <w:sz w:val="20"/>
          <w:szCs w:val="20"/>
          <w:color w:val="auto"/>
        </w:rPr>
      </w:pPr>
    </w:p>
    <w:p>
      <w:pPr>
        <w:ind w:left="180" w:right="40" w:firstLine="465"/>
        <w:spacing w:after="0" w:line="285"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However, we may not be granted an extension in the United States and/or foreign countries and territories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may obtain approval of competing products following our patent expiration, and our business, financial condition, results of operations, and growth prospects could be materially harmed.</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may be subject to claims challenging the inventorship of our patents and other intellectual property.</w:t>
      </w:r>
    </w:p>
    <w:p>
      <w:pPr>
        <w:spacing w:after="0" w:line="124" w:lineRule="exact"/>
        <w:rPr>
          <w:sz w:val="20"/>
          <w:szCs w:val="20"/>
          <w:color w:val="auto"/>
        </w:rPr>
      </w:pPr>
    </w:p>
    <w:p>
      <w:pPr>
        <w:ind w:left="180" w:right="100" w:firstLine="465"/>
        <w:spacing w:after="0" w:line="270"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product candidates or other technologies. Litigation may be necessary to defend against these and other claims challenging inventorship or ownership of our patents, trade secrets, or other intellectual property. If the defense of any such claims fails, in addition to paying monetary damages, we may lose valuable intellectual property rights, such as exclusive ownership of, or right to use, intellectual property that is important to our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growth prospects.</w:t>
      </w:r>
    </w:p>
    <w:p>
      <w:pPr>
        <w:spacing w:after="0" w:line="30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If we are unable to protect the confidentiality of our trade secrets, our business and competitive position would be harmed.</w:t>
      </w:r>
    </w:p>
    <w:p>
      <w:pPr>
        <w:spacing w:after="0" w:line="124" w:lineRule="exact"/>
        <w:rPr>
          <w:sz w:val="20"/>
          <w:szCs w:val="20"/>
          <w:color w:val="auto"/>
        </w:rPr>
      </w:pPr>
    </w:p>
    <w:p>
      <w:pPr>
        <w:ind w:left="180" w:firstLine="465"/>
        <w:spacing w:after="0" w:line="274" w:lineRule="auto"/>
        <w:rPr>
          <w:sz w:val="20"/>
          <w:szCs w:val="20"/>
          <w:color w:val="auto"/>
        </w:rPr>
      </w:pPr>
      <w:r>
        <w:rPr>
          <w:rFonts w:ascii="Arial" w:cs="Arial" w:eastAsia="Arial" w:hAnsi="Arial"/>
          <w:sz w:val="18"/>
          <w:szCs w:val="18"/>
          <w:color w:val="auto"/>
        </w:rPr>
        <w:t>In addition to seeking patents for our product candidates and other technologies, we also rely on trade secrets and confidentiality agreements to protect our unpatented know-how, technology, and other proprietary information and to maintain our competitive position. We consider trade secrets and know-how to be one of our primary sources of intellectual property. Trade secrets and know-how can be difficult to protect. We expect our trade secrets and know-how to over time be disseminated within the industry through independent development, the publication of journal articles describing the methodology, and the movement of personnel from academic to industry scientific positions.</w:t>
      </w:r>
    </w:p>
    <w:p>
      <w:pPr>
        <w:spacing w:after="0" w:line="188"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CDMOs, consultants, advisors, and other third parties. We also enter into confidentiality and invention or patent assignment agreements with our employees and consultants as well as train our employees not to bring or use proprietary information or technology from former employers to us or in their work, and remind former employees when they leave their employment of their confidentiality obligations. We cannot guarantee that we have entered into such agreements with each party that may have or have had access to our trade secrets or proprietary technology and processes. Despite our efforts,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46</w:t>
      </w:r>
    </w:p>
    <w:p>
      <w:pPr>
        <w:sectPr>
          <w:pgSz w:w="12240" w:h="15840" w:orient="portrait"/>
          <w:cols w:equalWidth="0" w:num="1">
            <w:col w:w="11800"/>
          </w:cols>
          <w:pgMar w:left="120" w:top="336" w:right="320" w:bottom="1440" w:gutter="0" w:footer="0" w:header="0"/>
        </w:sectPr>
      </w:pPr>
    </w:p>
    <w:bookmarkStart w:id="54" w:name="page55"/>
    <w:bookmarkEnd w:id="5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spacing w:after="0" w:line="291" w:lineRule="auto"/>
        <w:rPr>
          <w:sz w:val="20"/>
          <w:szCs w:val="20"/>
          <w:color w:val="auto"/>
        </w:rPr>
      </w:pPr>
      <w:r>
        <w:rPr>
          <w:rFonts w:ascii="Arial" w:cs="Arial" w:eastAsia="Arial" w:hAnsi="Arial"/>
          <w:sz w:val="17"/>
          <w:szCs w:val="17"/>
          <w:color w:val="auto"/>
        </w:rPr>
        <w:t>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We may not be successful in obtaining, through acquisitions or otherwise, necessary rights to our product candidates or other technologies.</w:t>
      </w:r>
    </w:p>
    <w:p>
      <w:pPr>
        <w:spacing w:after="0" w:line="147" w:lineRule="exact"/>
        <w:rPr>
          <w:sz w:val="20"/>
          <w:szCs w:val="20"/>
          <w:color w:val="auto"/>
        </w:rPr>
      </w:pPr>
    </w:p>
    <w:p>
      <w:pPr>
        <w:ind w:left="180" w:right="20" w:firstLine="465"/>
        <w:spacing w:after="0" w:line="284" w:lineRule="auto"/>
        <w:rPr>
          <w:sz w:val="20"/>
          <w:szCs w:val="20"/>
          <w:color w:val="auto"/>
        </w:rPr>
      </w:pPr>
      <w:r>
        <w:rPr>
          <w:rFonts w:ascii="Arial" w:cs="Arial" w:eastAsia="Arial" w:hAnsi="Arial"/>
          <w:sz w:val="17"/>
          <w:szCs w:val="17"/>
          <w:color w:val="auto"/>
        </w:rPr>
        <w:t>Many pharmaceutical companies, biotechnology companies, and academic institutions are competing with us in the field of neurodegeneration therapy may have patents and have filed and are likely filing patent applications potentially relevant to our business. In order to avoid infringing these third-party patents, we may find it necessary or prudent to obtain licenses to such patents from such third-party intellectual property holders. We may also require licenses from third parties for certain technologies for use with future product candidates. In addition, with respect to any patents we co-own with third parties, we may wish to obtain licenses to such co-owners’ interest to such patents. However, we may be unable to secure such licenses or otherwise acquire any compositions, methods of use, processes, or other intellectual property rights from third parties that we identify as necessary for our future product candidates. The licensing or acquisition of third 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growth prospects.</w:t>
      </w:r>
    </w:p>
    <w:p>
      <w:pPr>
        <w:spacing w:after="0" w:line="298" w:lineRule="exact"/>
        <w:rPr>
          <w:sz w:val="20"/>
          <w:szCs w:val="20"/>
          <w:color w:val="auto"/>
        </w:rPr>
      </w:pPr>
    </w:p>
    <w:p>
      <w:pPr>
        <w:ind w:left="180" w:right="180"/>
        <w:spacing w:after="0" w:line="275" w:lineRule="auto"/>
        <w:rPr>
          <w:sz w:val="20"/>
          <w:szCs w:val="20"/>
          <w:color w:val="auto"/>
        </w:rPr>
      </w:pPr>
      <w:r>
        <w:rPr>
          <w:rFonts w:ascii="Arial" w:cs="Arial" w:eastAsia="Arial" w:hAnsi="Arial"/>
          <w:sz w:val="19"/>
          <w:szCs w:val="19"/>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70"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207" w:lineRule="exact"/>
        <w:rPr>
          <w:sz w:val="20"/>
          <w:szCs w:val="20"/>
          <w:color w:val="auto"/>
        </w:rPr>
      </w:pPr>
    </w:p>
    <w:p>
      <w:pPr>
        <w:jc w:val="both"/>
        <w:ind w:left="180" w:right="60" w:firstLine="465"/>
        <w:spacing w:after="0" w:line="256" w:lineRule="auto"/>
        <w:rPr>
          <w:sz w:val="20"/>
          <w:szCs w:val="20"/>
          <w:color w:val="auto"/>
        </w:rPr>
      </w:pPr>
      <w:r>
        <w:rPr>
          <w:rFonts w:ascii="Arial" w:cs="Arial" w:eastAsia="Arial" w:hAnsi="Arial"/>
          <w:sz w:val="19"/>
          <w:szCs w:val="19"/>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47</w:t>
      </w:r>
    </w:p>
    <w:p>
      <w:pPr>
        <w:sectPr>
          <w:pgSz w:w="12240" w:h="15840" w:orient="portrait"/>
          <w:cols w:equalWidth="0" w:num="1">
            <w:col w:w="11820"/>
          </w:cols>
          <w:pgMar w:left="120" w:top="336" w:right="300" w:bottom="1440" w:gutter="0" w:footer="0" w:header="0"/>
        </w:sectPr>
      </w:pPr>
    </w:p>
    <w:bookmarkStart w:id="55" w:name="page56"/>
    <w:bookmarkEnd w:id="5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intellectual property. Such claims could have a material adverse effect on our business, financial condition, results of operations, and growth prospects.</w:t>
      </w:r>
    </w:p>
    <w:p>
      <w:pPr>
        <w:spacing w:after="0" w:line="375" w:lineRule="exact"/>
        <w:rPr>
          <w:sz w:val="20"/>
          <w:szCs w:val="20"/>
          <w:color w:val="auto"/>
        </w:rPr>
      </w:pPr>
    </w:p>
    <w:p>
      <w:pPr>
        <w:ind w:left="180" w:right="200"/>
        <w:spacing w:after="0" w:line="275" w:lineRule="auto"/>
        <w:rPr>
          <w:sz w:val="20"/>
          <w:szCs w:val="20"/>
          <w:color w:val="auto"/>
        </w:rPr>
      </w:pPr>
      <w:r>
        <w:rPr>
          <w:rFonts w:ascii="Arial" w:cs="Arial" w:eastAsia="Arial" w:hAnsi="Arial"/>
          <w:sz w:val="19"/>
          <w:szCs w:val="19"/>
          <w:b w:val="1"/>
          <w:bCs w:val="1"/>
          <w:i w:val="1"/>
          <w:iCs w:val="1"/>
          <w:color w:val="auto"/>
        </w:rPr>
        <w:t>Third-party claims of intellectual property infringement, misappropriation, or other violation against us or our collaborators may prevent or delay the development and commercialization of our product candidates and other technologies.</w:t>
      </w:r>
    </w:p>
    <w:p>
      <w:pPr>
        <w:spacing w:after="0" w:line="70" w:lineRule="exact"/>
        <w:rPr>
          <w:sz w:val="20"/>
          <w:szCs w:val="20"/>
          <w:color w:val="auto"/>
        </w:rPr>
      </w:pPr>
    </w:p>
    <w:p>
      <w:pPr>
        <w:ind w:left="180" w:right="120" w:firstLine="465"/>
        <w:spacing w:after="0" w:line="256" w:lineRule="auto"/>
        <w:rPr>
          <w:sz w:val="20"/>
          <w:szCs w:val="20"/>
          <w:color w:val="auto"/>
        </w:rPr>
      </w:pPr>
      <w:r>
        <w:rPr>
          <w:rFonts w:ascii="Arial" w:cs="Arial" w:eastAsia="Arial" w:hAnsi="Arial"/>
          <w:sz w:val="19"/>
          <w:szCs w:val="19"/>
          <w:color w:val="auto"/>
        </w:rPr>
        <w:t>The field of discovering treatments for neurodegenerative diseases is highly competitive and dynamic. Due to the focused research and development that is taking place by several companies, including us and our competitors, in this field, the intellectual property landscape is in flux, and it may remain uncertain in the future. Additionally, the technology used in our product candidates is still in its infancy and no products utilizing similar technology have yet reached the market. As such, there may be significant intellectual property related litigation and proceedings relating to our, and other third party, intellectual property and proprietary rights in the future.</w:t>
      </w:r>
    </w:p>
    <w:p>
      <w:pPr>
        <w:spacing w:after="0" w:line="204" w:lineRule="exact"/>
        <w:rPr>
          <w:sz w:val="20"/>
          <w:szCs w:val="20"/>
          <w:color w:val="auto"/>
        </w:rPr>
      </w:pPr>
    </w:p>
    <w:p>
      <w:pPr>
        <w:ind w:left="180" w:right="20" w:firstLine="465"/>
        <w:spacing w:after="0" w:line="270" w:lineRule="auto"/>
        <w:rPr>
          <w:sz w:val="20"/>
          <w:szCs w:val="20"/>
          <w:color w:val="auto"/>
        </w:rPr>
      </w:pPr>
      <w:r>
        <w:rPr>
          <w:rFonts w:ascii="Arial" w:cs="Arial" w:eastAsia="Arial" w:hAnsi="Arial"/>
          <w:sz w:val="18"/>
          <w:szCs w:val="18"/>
          <w:color w:val="auto"/>
        </w:rPr>
        <w:t>Our commercial success depends in part on our and our collaborators’ ability to develop, manufacture, market, and sell any product candidates that we develop and to use our proprietary technologies without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We may become party to, or threatened with, such actions in the future, regardless of their merit. As discussed above, recently, due to changes in U.S. law referred to as patent reform, new procedures including inter partes review and post-grant review have been implemented. As stated above, this reform adds uncertainty to the possibility of challenge to our patents in the future.</w:t>
      </w:r>
    </w:p>
    <w:p>
      <w:pPr>
        <w:spacing w:after="0" w:line="191" w:lineRule="exact"/>
        <w:rPr>
          <w:sz w:val="20"/>
          <w:szCs w:val="20"/>
          <w:color w:val="auto"/>
        </w:rPr>
      </w:pPr>
    </w:p>
    <w:p>
      <w:pPr>
        <w:ind w:left="180" w:firstLine="465"/>
        <w:spacing w:after="0" w:line="285" w:lineRule="auto"/>
        <w:rPr>
          <w:sz w:val="20"/>
          <w:szCs w:val="20"/>
          <w:color w:val="auto"/>
        </w:rPr>
      </w:pPr>
      <w:r>
        <w:rPr>
          <w:rFonts w:ascii="Arial" w:cs="Arial" w:eastAsia="Arial" w:hAnsi="Arial"/>
          <w:sz w:val="17"/>
          <w:szCs w:val="17"/>
          <w:color w:val="auto"/>
        </w:rPr>
        <w:t>Numerous U.S. and foreign issued patents and pending patent applications owned by third parties exist in the fields in which we are developing our product candidates. As the biotechnology and pharmaceutical industries expand and more patents are issued, the risk increases that our product candidates and other technologies may give rise to claims of infringement of the patent rights of others. Although we believe that we do not infringe a valid claim of any third party’s patents or other intellectual property, we cannot assure you that our product candidates and other technologies that we have developed, are developing or may develop in the future will not infringe existing or future patents owned by third parties. We may not be aware of patents that have already been issued and that a third party, for example, a competitor in the fields in which we are developing product candidates, and other technologies might assert are infringed by our current or future product candidates or other technologies, including claims to compositions, formulations, methods of manufacture or methods of use or treatment that cover our product candidates or other technologies. It is also possible that patents owned by third parties of which we are aware, but which we do not believe are relevant to our product candidates or other technologies, could be found to be infringed by our product candidates or other technologies. In addition, because patent applications can take many years to issue, there may be currently pending patent applications that may later result in issued patents that our product candidates or other technologies may infringe.</w:t>
      </w:r>
    </w:p>
    <w:p>
      <w:pPr>
        <w:spacing w:after="0" w:line="185" w:lineRule="exact"/>
        <w:rPr>
          <w:sz w:val="20"/>
          <w:szCs w:val="20"/>
          <w:color w:val="auto"/>
        </w:rPr>
      </w:pPr>
    </w:p>
    <w:p>
      <w:pPr>
        <w:ind w:left="180" w:firstLine="465"/>
        <w:spacing w:after="0" w:line="253" w:lineRule="auto"/>
        <w:rPr>
          <w:sz w:val="20"/>
          <w:szCs w:val="20"/>
          <w:color w:val="auto"/>
        </w:rPr>
      </w:pPr>
      <w:r>
        <w:rPr>
          <w:rFonts w:ascii="Arial" w:cs="Arial" w:eastAsia="Arial" w:hAnsi="Arial"/>
          <w:sz w:val="19"/>
          <w:szCs w:val="19"/>
          <w:color w:val="auto"/>
        </w:rPr>
        <w:t>Third parties may have patents or obtain patents in the future and claim that the manufacture, use or sale of our product candidates or other technologies infringes upon these patents. In the event that any third 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our product candidates or other technologies. In this case, the holders of such patents may be able to block our ability to commercialize the applicable product candidate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48</w:t>
      </w:r>
    </w:p>
    <w:p>
      <w:pPr>
        <w:sectPr>
          <w:pgSz w:w="12240" w:h="15840" w:orient="portrait"/>
          <w:cols w:equalWidth="0" w:num="1">
            <w:col w:w="11800"/>
          </w:cols>
          <w:pgMar w:left="120" w:top="336" w:right="320" w:bottom="1440" w:gutter="0" w:footer="0" w:header="0"/>
        </w:sectPr>
      </w:pPr>
    </w:p>
    <w:bookmarkStart w:id="56" w:name="page57"/>
    <w:bookmarkEnd w:id="5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540"/>
        <w:spacing w:after="0" w:line="304" w:lineRule="auto"/>
        <w:rPr>
          <w:sz w:val="20"/>
          <w:szCs w:val="20"/>
          <w:color w:val="auto"/>
        </w:rPr>
      </w:pPr>
      <w:r>
        <w:rPr>
          <w:rFonts w:ascii="Arial" w:cs="Arial" w:eastAsia="Arial" w:hAnsi="Arial"/>
          <w:sz w:val="18"/>
          <w:szCs w:val="18"/>
          <w:color w:val="auto"/>
        </w:rPr>
        <w:t>a necessary license to a third-party patent on commercially reasonable terms, we may be unable to commercialize our product candidates or other technologies, or such commercialization efforts may be significantly delayed, which could in turn significantly harm our business.</w:t>
      </w:r>
    </w:p>
    <w:p>
      <w:pPr>
        <w:spacing w:after="0" w:line="160" w:lineRule="exact"/>
        <w:rPr>
          <w:sz w:val="20"/>
          <w:szCs w:val="20"/>
          <w:color w:val="auto"/>
        </w:rPr>
      </w:pPr>
    </w:p>
    <w:p>
      <w:pPr>
        <w:ind w:left="180" w:right="40" w:firstLine="465"/>
        <w:spacing w:after="0" w:line="254" w:lineRule="auto"/>
        <w:rPr>
          <w:sz w:val="20"/>
          <w:szCs w:val="20"/>
          <w:color w:val="auto"/>
        </w:rPr>
      </w:pPr>
      <w:r>
        <w:rPr>
          <w:rFonts w:ascii="Arial" w:cs="Arial" w:eastAsia="Arial" w:hAnsi="Arial"/>
          <w:sz w:val="19"/>
          <w:szCs w:val="19"/>
          <w:color w:val="auto"/>
        </w:rPr>
        <w:t>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our infringing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In that event, we would be unable to further develop and commercialize our product candidates or other technologies, which could harm our business significantly.</w:t>
      </w:r>
    </w:p>
    <w:p>
      <w:pPr>
        <w:spacing w:after="0" w:line="207" w:lineRule="exact"/>
        <w:rPr>
          <w:sz w:val="20"/>
          <w:szCs w:val="20"/>
          <w:color w:val="auto"/>
        </w:rPr>
      </w:pPr>
    </w:p>
    <w:p>
      <w:pPr>
        <w:ind w:left="180" w:right="40" w:firstLine="465"/>
        <w:spacing w:after="0" w:line="272" w:lineRule="auto"/>
        <w:rPr>
          <w:sz w:val="20"/>
          <w:szCs w:val="20"/>
          <w:color w:val="auto"/>
        </w:rPr>
      </w:pPr>
      <w:r>
        <w:rPr>
          <w:rFonts w:ascii="Arial" w:cs="Arial" w:eastAsia="Arial" w:hAnsi="Arial"/>
          <w:sz w:val="18"/>
          <w:szCs w:val="18"/>
          <w:color w:val="auto"/>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results of operations, and growth prospects.</w:t>
      </w:r>
    </w:p>
    <w:p>
      <w:pPr>
        <w:spacing w:after="0" w:line="304" w:lineRule="exact"/>
        <w:rPr>
          <w:sz w:val="20"/>
          <w:szCs w:val="20"/>
          <w:color w:val="auto"/>
        </w:rPr>
      </w:pPr>
    </w:p>
    <w:p>
      <w:pPr>
        <w:ind w:left="180" w:right="740"/>
        <w:spacing w:after="0" w:line="275" w:lineRule="auto"/>
        <w:rPr>
          <w:sz w:val="20"/>
          <w:szCs w:val="20"/>
          <w:color w:val="auto"/>
        </w:rPr>
      </w:pPr>
      <w:r>
        <w:rPr>
          <w:rFonts w:ascii="Arial" w:cs="Arial" w:eastAsia="Arial" w:hAnsi="Arial"/>
          <w:sz w:val="19"/>
          <w:szCs w:val="19"/>
          <w:b w:val="1"/>
          <w:bCs w:val="1"/>
          <w:i w:val="1"/>
          <w:iCs w:val="1"/>
          <w:color w:val="auto"/>
        </w:rPr>
        <w:t>We may become involved in lawsuits to protect or enforce our patents and other intellectual property rights, which could be expensive, time consuming, and unsuccessful.</w:t>
      </w:r>
    </w:p>
    <w:p>
      <w:pPr>
        <w:spacing w:after="0" w:line="70" w:lineRule="exact"/>
        <w:rPr>
          <w:sz w:val="20"/>
          <w:szCs w:val="20"/>
          <w:color w:val="auto"/>
        </w:rPr>
      </w:pPr>
    </w:p>
    <w:p>
      <w:pPr>
        <w:ind w:left="180" w:right="100" w:firstLine="465"/>
        <w:spacing w:after="0" w:line="288" w:lineRule="auto"/>
        <w:rPr>
          <w:sz w:val="20"/>
          <w:szCs w:val="20"/>
          <w:color w:val="auto"/>
        </w:rPr>
      </w:pPr>
      <w:r>
        <w:rPr>
          <w:rFonts w:ascii="Arial" w:cs="Arial" w:eastAsia="Arial" w:hAnsi="Arial"/>
          <w:sz w:val="17"/>
          <w:szCs w:val="17"/>
          <w:color w:val="auto"/>
        </w:rPr>
        <w:t>Competitors may infringe our patents or the patents of our licensing partners, or we may be required to defend against claims of infringement. In addition, our patents or the patents of our licensing partners also may become involved in inventorship, priority, or validity disputes. To counter or defend against such claims can be expensive and time consuming. In an infringement proceeding, a court may decide that a patent in which we have an interest is invalid or unenforceable, the other party’s use of our patented technology falls under the safe harbor to patent infringement under 35 U.S.C. §271(e)(1), or may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7" w:lineRule="exact"/>
        <w:rPr>
          <w:sz w:val="20"/>
          <w:szCs w:val="20"/>
          <w:color w:val="auto"/>
        </w:rPr>
      </w:pPr>
    </w:p>
    <w:p>
      <w:pPr>
        <w:ind w:left="180" w:firstLine="465"/>
        <w:spacing w:after="0" w:line="253" w:lineRule="auto"/>
        <w:rPr>
          <w:sz w:val="20"/>
          <w:szCs w:val="20"/>
          <w:color w:val="auto"/>
        </w:rPr>
      </w:pPr>
      <w:r>
        <w:rPr>
          <w:rFonts w:ascii="Arial" w:cs="Arial" w:eastAsia="Arial" w:hAnsi="Arial"/>
          <w:sz w:val="19"/>
          <w:szCs w:val="19"/>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49</w:t>
      </w:r>
    </w:p>
    <w:p>
      <w:pPr>
        <w:sectPr>
          <w:pgSz w:w="12240" w:h="15840" w:orient="portrait"/>
          <w:cols w:equalWidth="0" w:num="1">
            <w:col w:w="11780"/>
          </w:cols>
          <w:pgMar w:left="120" w:top="336" w:right="340" w:bottom="1440" w:gutter="0" w:footer="0" w:header="0"/>
        </w:sectPr>
      </w:pPr>
    </w:p>
    <w:bookmarkStart w:id="57" w:name="page58"/>
    <w:bookmarkEnd w:id="5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80"/>
        <w:spacing w:after="0" w:line="275" w:lineRule="auto"/>
        <w:rPr>
          <w:sz w:val="20"/>
          <w:szCs w:val="20"/>
          <w:color w:val="auto"/>
        </w:rPr>
      </w:pPr>
      <w:r>
        <w:rPr>
          <w:rFonts w:ascii="Arial" w:cs="Arial" w:eastAsia="Arial" w:hAnsi="Arial"/>
          <w:sz w:val="19"/>
          <w:szCs w:val="19"/>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70" w:lineRule="exact"/>
        <w:rPr>
          <w:sz w:val="20"/>
          <w:szCs w:val="20"/>
          <w:color w:val="auto"/>
        </w:rPr>
      </w:pPr>
    </w:p>
    <w:p>
      <w:pPr>
        <w:ind w:left="180" w:right="80" w:firstLine="465"/>
        <w:spacing w:after="0" w:line="287"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Intellectual property rights do not necessarily address all potential threats.</w:t>
      </w:r>
    </w:p>
    <w:p>
      <w:pPr>
        <w:spacing w:after="0" w:line="124" w:lineRule="exact"/>
        <w:rPr>
          <w:sz w:val="20"/>
          <w:szCs w:val="20"/>
          <w:color w:val="auto"/>
        </w:rPr>
      </w:pPr>
    </w:p>
    <w:p>
      <w:pPr>
        <w:ind w:left="180" w:right="240" w:firstLine="465"/>
        <w:spacing w:after="0" w:line="275" w:lineRule="auto"/>
        <w:rPr>
          <w:sz w:val="20"/>
          <w:szCs w:val="20"/>
          <w:color w:val="auto"/>
        </w:rPr>
      </w:pPr>
      <w:r>
        <w:rPr>
          <w:rFonts w:ascii="Arial" w:cs="Arial" w:eastAsia="Arial" w:hAnsi="Arial"/>
          <w:sz w:val="19"/>
          <w:szCs w:val="19"/>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4" w:lineRule="exact"/>
        <w:rPr>
          <w:sz w:val="20"/>
          <w:szCs w:val="20"/>
          <w:color w:val="auto"/>
        </w:rPr>
      </w:pPr>
    </w:p>
    <w:p>
      <w:pPr>
        <w:ind w:left="1100" w:right="180" w:hanging="350"/>
        <w:spacing w:after="0" w:line="275" w:lineRule="auto"/>
        <w:tabs>
          <w:tab w:leader="none" w:pos="11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others may be able to make products that are similar to our product candidates or utilize similar technology but that are not covered by the claims of the patents that we license or may own;</w:t>
      </w:r>
    </w:p>
    <w:p>
      <w:pPr>
        <w:spacing w:after="0" w:line="84" w:lineRule="exact"/>
        <w:rPr>
          <w:rFonts w:ascii="Arial" w:cs="Arial" w:eastAsia="Arial" w:hAnsi="Arial"/>
          <w:sz w:val="19"/>
          <w:szCs w:val="19"/>
          <w:color w:val="auto"/>
        </w:rPr>
      </w:pPr>
    </w:p>
    <w:p>
      <w:pPr>
        <w:ind w:left="1100" w:right="200" w:hanging="350"/>
        <w:spacing w:after="0" w:line="275" w:lineRule="auto"/>
        <w:tabs>
          <w:tab w:leader="none" w:pos="11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we, or our current or future licensors or collaborators, might not have been the first to make the inventions covered by the issued patent or pending patent application that we license or own now or in the future;</w:t>
      </w:r>
    </w:p>
    <w:p>
      <w:pPr>
        <w:spacing w:after="0" w:line="84" w:lineRule="exact"/>
        <w:rPr>
          <w:rFonts w:ascii="Arial" w:cs="Arial" w:eastAsia="Arial" w:hAnsi="Arial"/>
          <w:sz w:val="19"/>
          <w:szCs w:val="19"/>
          <w:color w:val="auto"/>
        </w:rPr>
      </w:pPr>
    </w:p>
    <w:p>
      <w:pPr>
        <w:ind w:left="1100" w:right="20" w:hanging="350"/>
        <w:spacing w:after="0" w:line="275" w:lineRule="auto"/>
        <w:tabs>
          <w:tab w:leader="none" w:pos="11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we, or our current or future licensors or collaborators, might not have been the first to file patent applications covering certain of our or their inventions;</w:t>
      </w:r>
    </w:p>
    <w:p>
      <w:pPr>
        <w:spacing w:after="0" w:line="84" w:lineRule="exact"/>
        <w:rPr>
          <w:rFonts w:ascii="Arial" w:cs="Arial" w:eastAsia="Arial" w:hAnsi="Arial"/>
          <w:sz w:val="19"/>
          <w:szCs w:val="19"/>
          <w:color w:val="auto"/>
        </w:rPr>
      </w:pPr>
    </w:p>
    <w:p>
      <w:pPr>
        <w:ind w:left="1100" w:right="160" w:hanging="350"/>
        <w:spacing w:after="0" w:line="275" w:lineRule="auto"/>
        <w:tabs>
          <w:tab w:leader="none" w:pos="11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others may independently develop similar or alternative technologies or duplicate any of our technologies without infringing our owned or licensed intellectual property rights;</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it is possible that our current or future pending owned or licensed patent applications will not lead to issued patents;</w:t>
      </w:r>
    </w:p>
    <w:p>
      <w:pPr>
        <w:spacing w:after="0" w:line="138" w:lineRule="exact"/>
        <w:rPr>
          <w:rFonts w:ascii="Arial" w:cs="Arial" w:eastAsia="Arial" w:hAnsi="Arial"/>
          <w:sz w:val="19"/>
          <w:szCs w:val="19"/>
          <w:color w:val="auto"/>
        </w:rPr>
      </w:pPr>
    </w:p>
    <w:p>
      <w:pPr>
        <w:ind w:left="1100" w:right="300" w:hanging="350"/>
        <w:spacing w:after="0" w:line="275" w:lineRule="auto"/>
        <w:tabs>
          <w:tab w:leader="none" w:pos="11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issued patents that we hold rights to may be held invalid or unenforceable, including as a result of legal challenges by our competitors or other third parties;</w:t>
      </w:r>
    </w:p>
    <w:p>
      <w:pPr>
        <w:spacing w:after="0" w:line="84" w:lineRule="exact"/>
        <w:rPr>
          <w:rFonts w:ascii="Arial" w:cs="Arial" w:eastAsia="Arial" w:hAnsi="Arial"/>
          <w:sz w:val="19"/>
          <w:szCs w:val="19"/>
          <w:color w:val="auto"/>
        </w:rPr>
      </w:pPr>
    </w:p>
    <w:p>
      <w:pPr>
        <w:ind w:left="1100" w:hanging="350"/>
        <w:spacing w:after="0" w:line="336" w:lineRule="auto"/>
        <w:tabs>
          <w:tab w:leader="none" w:pos="11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37" w:lineRule="exact"/>
        <w:rPr>
          <w:rFonts w:ascii="Arial" w:cs="Arial" w:eastAsia="Arial" w:hAnsi="Arial"/>
          <w:sz w:val="17"/>
          <w:szCs w:val="17"/>
          <w:color w:val="auto"/>
        </w:rPr>
      </w:pPr>
    </w:p>
    <w:p>
      <w:pPr>
        <w:ind w:left="1100" w:hanging="350"/>
        <w:spacing w:after="0"/>
        <w:tabs>
          <w:tab w:leader="none" w:pos="11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we may not develop additional proprietary technologies that are patentable;</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patents of others may harm our business; and</w:t>
      </w:r>
    </w:p>
    <w:p>
      <w:pPr>
        <w:spacing w:after="0" w:line="138" w:lineRule="exact"/>
        <w:rPr>
          <w:rFonts w:ascii="Arial" w:cs="Arial" w:eastAsia="Arial" w:hAnsi="Arial"/>
          <w:sz w:val="19"/>
          <w:szCs w:val="19"/>
          <w:color w:val="auto"/>
        </w:rPr>
      </w:pPr>
    </w:p>
    <w:p>
      <w:pPr>
        <w:ind w:left="1100" w:right="220" w:hanging="350"/>
        <w:spacing w:after="0" w:line="275" w:lineRule="auto"/>
        <w:tabs>
          <w:tab w:leader="none" w:pos="11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we may choose not to file a patent in order to maintain certain trade secrets or know-how, and a third party may subsequently file a patent covering such intellectual property.</w:t>
      </w:r>
    </w:p>
    <w:p>
      <w:pPr>
        <w:spacing w:after="0" w:line="184" w:lineRule="exact"/>
        <w:rPr>
          <w:sz w:val="20"/>
          <w:szCs w:val="20"/>
          <w:color w:val="auto"/>
        </w:rPr>
      </w:pPr>
    </w:p>
    <w:p>
      <w:pPr>
        <w:ind w:left="180" w:right="80" w:firstLine="465"/>
        <w:spacing w:after="0" w:line="275" w:lineRule="auto"/>
        <w:rPr>
          <w:sz w:val="20"/>
          <w:szCs w:val="20"/>
          <w:color w:val="auto"/>
        </w:rPr>
      </w:pPr>
      <w:r>
        <w:rPr>
          <w:rFonts w:ascii="Arial" w:cs="Arial" w:eastAsia="Arial" w:hAnsi="Arial"/>
          <w:sz w:val="19"/>
          <w:szCs w:val="19"/>
          <w:color w:val="auto"/>
        </w:rPr>
        <w:t>Should any of these events occur, they could have a material adverse effect on our business, financial condition, results of operations, and growth prospects.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50</w:t>
      </w:r>
    </w:p>
    <w:p>
      <w:pPr>
        <w:sectPr>
          <w:pgSz w:w="12240" w:h="15840" w:orient="portrait"/>
          <w:cols w:equalWidth="0" w:num="1">
            <w:col w:w="11780"/>
          </w:cols>
          <w:pgMar w:left="120" w:top="336" w:right="340" w:bottom="1440" w:gutter="0" w:footer="0" w:header="0"/>
        </w:sectPr>
      </w:pPr>
    </w:p>
    <w:bookmarkStart w:id="58" w:name="page59"/>
    <w:bookmarkEnd w:id="5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Risks Related to Our Operations</w:t>
      </w:r>
    </w:p>
    <w:p>
      <w:pPr>
        <w:spacing w:after="0" w:line="130" w:lineRule="exact"/>
        <w:rPr>
          <w:sz w:val="20"/>
          <w:szCs w:val="20"/>
          <w:color w:val="auto"/>
        </w:rPr>
      </w:pPr>
    </w:p>
    <w:p>
      <w:pPr>
        <w:ind w:left="180" w:right="200"/>
        <w:spacing w:after="0" w:line="275" w:lineRule="auto"/>
        <w:rPr>
          <w:sz w:val="20"/>
          <w:szCs w:val="20"/>
          <w:color w:val="auto"/>
        </w:rPr>
      </w:pPr>
      <w:r>
        <w:rPr>
          <w:rFonts w:ascii="Arial" w:cs="Arial" w:eastAsia="Arial" w:hAnsi="Arial"/>
          <w:sz w:val="19"/>
          <w:szCs w:val="19"/>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70" w:lineRule="exact"/>
        <w:rPr>
          <w:sz w:val="20"/>
          <w:szCs w:val="20"/>
          <w:color w:val="auto"/>
        </w:rPr>
      </w:pPr>
    </w:p>
    <w:p>
      <w:pPr>
        <w:ind w:left="180" w:right="260" w:firstLine="465"/>
        <w:spacing w:after="0" w:line="256" w:lineRule="auto"/>
        <w:rPr>
          <w:sz w:val="20"/>
          <w:szCs w:val="20"/>
          <w:color w:val="auto"/>
        </w:rPr>
      </w:pPr>
      <w:r>
        <w:rPr>
          <w:rFonts w:ascii="Arial" w:cs="Arial" w:eastAsia="Arial" w:hAnsi="Arial"/>
          <w:sz w:val="19"/>
          <w:szCs w:val="19"/>
          <w:color w:val="auto"/>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Arnon Rosenthal,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204" w:lineRule="exact"/>
        <w:rPr>
          <w:sz w:val="20"/>
          <w:szCs w:val="20"/>
          <w:color w:val="auto"/>
        </w:rPr>
      </w:pPr>
    </w:p>
    <w:p>
      <w:pPr>
        <w:ind w:left="180" w:right="60" w:firstLine="465"/>
        <w:spacing w:after="0" w:line="259" w:lineRule="auto"/>
        <w:rPr>
          <w:sz w:val="20"/>
          <w:szCs w:val="20"/>
          <w:color w:val="auto"/>
        </w:rPr>
      </w:pPr>
      <w:r>
        <w:rPr>
          <w:rFonts w:ascii="Arial" w:cs="Arial" w:eastAsia="Arial" w:hAnsi="Arial"/>
          <w:sz w:val="19"/>
          <w:szCs w:val="19"/>
          <w:color w:val="auto"/>
        </w:rPr>
        <w:t>We conduct our operations at our facility in South San Francisco,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198" w:lineRule="exact"/>
        <w:rPr>
          <w:sz w:val="20"/>
          <w:szCs w:val="20"/>
          <w:color w:val="auto"/>
        </w:rPr>
      </w:pPr>
    </w:p>
    <w:p>
      <w:pPr>
        <w:ind w:left="180" w:right="40" w:firstLine="465"/>
        <w:spacing w:after="0" w:line="255" w:lineRule="auto"/>
        <w:rPr>
          <w:sz w:val="20"/>
          <w:szCs w:val="20"/>
          <w:color w:val="auto"/>
        </w:rPr>
      </w:pPr>
      <w:r>
        <w:rPr>
          <w:rFonts w:ascii="Arial" w:cs="Arial" w:eastAsia="Arial" w:hAnsi="Arial"/>
          <w:sz w:val="19"/>
          <w:szCs w:val="19"/>
          <w:color w:val="auto"/>
        </w:rPr>
        <w:t>To induce valuable employees to remain at our company, in addition to salary and cash incentives, we have provided restricted stock and stock option grants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will need to grow the size and capabilities of our organization, and we may experience difficulties in managing this growth.</w:t>
      </w:r>
    </w:p>
    <w:p>
      <w:pPr>
        <w:spacing w:after="0" w:line="124" w:lineRule="exact"/>
        <w:rPr>
          <w:sz w:val="20"/>
          <w:szCs w:val="20"/>
          <w:color w:val="auto"/>
        </w:rPr>
      </w:pPr>
    </w:p>
    <w:p>
      <w:pPr>
        <w:ind w:left="180" w:firstLine="465"/>
        <w:spacing w:after="0" w:line="263" w:lineRule="auto"/>
        <w:rPr>
          <w:sz w:val="20"/>
          <w:szCs w:val="20"/>
          <w:color w:val="auto"/>
        </w:rPr>
      </w:pPr>
      <w:r>
        <w:rPr>
          <w:rFonts w:ascii="Arial" w:cs="Arial" w:eastAsia="Arial" w:hAnsi="Arial"/>
          <w:sz w:val="19"/>
          <w:szCs w:val="19"/>
          <w:color w:val="auto"/>
        </w:rPr>
        <w:t>As of December 31, 2018, we had 78 full-time employees. As our development plans and strategies develop, and as we transition into operating as a public company, we must add a significant number of additional managerial, operational, financial, and other personnel. Future growth will impose significant added responsibilities on members of management, including:</w:t>
      </w:r>
    </w:p>
    <w:p>
      <w:pPr>
        <w:spacing w:after="0" w:line="95" w:lineRule="exact"/>
        <w:rPr>
          <w:sz w:val="20"/>
          <w:szCs w:val="20"/>
          <w:color w:val="auto"/>
        </w:rPr>
      </w:pPr>
    </w:p>
    <w:p>
      <w:pPr>
        <w:ind w:left="1100" w:hanging="350"/>
        <w:spacing w:after="0"/>
        <w:tabs>
          <w:tab w:leader="none" w:pos="11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identifying, recruiting, integrating, retaining, and motivating additional employees;</w:t>
      </w:r>
    </w:p>
    <w:p>
      <w:pPr>
        <w:spacing w:after="0" w:line="138" w:lineRule="exact"/>
        <w:rPr>
          <w:rFonts w:ascii="Arial" w:cs="Arial" w:eastAsia="Arial" w:hAnsi="Arial"/>
          <w:sz w:val="19"/>
          <w:szCs w:val="19"/>
          <w:color w:val="auto"/>
        </w:rPr>
      </w:pPr>
    </w:p>
    <w:p>
      <w:pPr>
        <w:ind w:left="1100" w:right="380" w:hanging="350"/>
        <w:spacing w:after="0" w:line="275" w:lineRule="auto"/>
        <w:tabs>
          <w:tab w:leader="none" w:pos="11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expanding our operational, financial and management controls, reporting systems, and procedures; and</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managing increasing operational and managerial complexity.</w:t>
      </w:r>
    </w:p>
    <w:p>
      <w:pPr>
        <w:spacing w:after="0" w:line="238" w:lineRule="exact"/>
        <w:rPr>
          <w:sz w:val="20"/>
          <w:szCs w:val="20"/>
          <w:color w:val="auto"/>
        </w:rPr>
      </w:pPr>
    </w:p>
    <w:p>
      <w:pPr>
        <w:jc w:val="both"/>
        <w:ind w:left="180" w:right="240" w:firstLine="465"/>
        <w:spacing w:after="0" w:line="263" w:lineRule="auto"/>
        <w:rPr>
          <w:sz w:val="20"/>
          <w:szCs w:val="20"/>
          <w:color w:val="auto"/>
        </w:rPr>
      </w:pPr>
      <w:r>
        <w:rPr>
          <w:rFonts w:ascii="Arial" w:cs="Arial" w:eastAsia="Arial" w:hAnsi="Arial"/>
          <w:sz w:val="19"/>
          <w:szCs w:val="19"/>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194" w:lineRule="exact"/>
        <w:rPr>
          <w:sz w:val="20"/>
          <w:szCs w:val="20"/>
          <w:color w:val="auto"/>
        </w:rPr>
      </w:pPr>
    </w:p>
    <w:p>
      <w:pPr>
        <w:ind w:left="180" w:right="320" w:firstLine="465"/>
        <w:spacing w:after="0" w:line="277"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51</w:t>
      </w:r>
    </w:p>
    <w:p>
      <w:pPr>
        <w:sectPr>
          <w:pgSz w:w="12240" w:h="15840" w:orient="portrait"/>
          <w:cols w:equalWidth="0" w:num="1">
            <w:col w:w="11800"/>
          </w:cols>
          <w:pgMar w:left="120" w:top="336" w:right="320" w:bottom="1440" w:gutter="0" w:footer="0" w:header="0"/>
        </w:sectPr>
      </w:pPr>
    </w:p>
    <w:bookmarkStart w:id="59" w:name="page60"/>
    <w:bookmarkEnd w:id="5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right="200"/>
        <w:spacing w:after="0" w:line="263" w:lineRule="auto"/>
        <w:rPr>
          <w:sz w:val="20"/>
          <w:szCs w:val="20"/>
          <w:color w:val="auto"/>
        </w:rPr>
      </w:pPr>
      <w:r>
        <w:rPr>
          <w:rFonts w:ascii="Arial" w:cs="Arial" w:eastAsia="Arial" w:hAnsi="Arial"/>
          <w:sz w:val="19"/>
          <w:szCs w:val="19"/>
          <w:color w:val="auto"/>
        </w:rPr>
        <w:t>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94" w:lineRule="exact"/>
        <w:rPr>
          <w:sz w:val="20"/>
          <w:szCs w:val="20"/>
          <w:color w:val="auto"/>
        </w:rPr>
      </w:pPr>
    </w:p>
    <w:p>
      <w:pPr>
        <w:ind w:left="180" w:firstLine="465"/>
        <w:spacing w:after="0" w:line="263" w:lineRule="auto"/>
        <w:rPr>
          <w:sz w:val="20"/>
          <w:szCs w:val="20"/>
          <w:color w:val="auto"/>
        </w:rPr>
      </w:pPr>
      <w:r>
        <w:rPr>
          <w:rFonts w:ascii="Arial" w:cs="Arial" w:eastAsia="Arial" w:hAnsi="Arial"/>
          <w:sz w:val="19"/>
          <w:szCs w:val="19"/>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309" w:lineRule="exact"/>
        <w:rPr>
          <w:sz w:val="20"/>
          <w:szCs w:val="20"/>
          <w:color w:val="auto"/>
        </w:rPr>
      </w:pPr>
    </w:p>
    <w:p>
      <w:pPr>
        <w:jc w:val="both"/>
        <w:ind w:left="180" w:right="440"/>
        <w:spacing w:after="0" w:line="372" w:lineRule="auto"/>
        <w:rPr>
          <w:sz w:val="20"/>
          <w:szCs w:val="20"/>
          <w:color w:val="auto"/>
        </w:rPr>
      </w:pPr>
      <w:r>
        <w:rPr>
          <w:rFonts w:ascii="Arial" w:cs="Arial" w:eastAsia="Arial" w:hAnsi="Arial"/>
          <w:sz w:val="16"/>
          <w:szCs w:val="16"/>
          <w:b w:val="1"/>
          <w:bCs w:val="1"/>
          <w:i w:val="1"/>
          <w:iCs w:val="1"/>
          <w:color w:val="auto"/>
        </w:rPr>
        <w:t>We have engaged in strategic collaborations and may in the future engage in acquisitions, collaborations, or strategic partnerships, which may increase our capital requirements, dilute our stockholders, cause us to incur debt or assume contingent liabilities, and subject us to other risks.</w:t>
      </w:r>
    </w:p>
    <w:p>
      <w:pPr>
        <w:ind w:left="180" w:right="420" w:firstLine="465"/>
        <w:spacing w:after="0" w:line="308" w:lineRule="auto"/>
        <w:rPr>
          <w:sz w:val="20"/>
          <w:szCs w:val="20"/>
          <w:color w:val="auto"/>
        </w:rPr>
      </w:pPr>
      <w:r>
        <w:rPr>
          <w:rFonts w:ascii="Arial" w:cs="Arial" w:eastAsia="Arial" w:hAnsi="Arial"/>
          <w:sz w:val="17"/>
          <w:szCs w:val="17"/>
          <w:color w:val="auto"/>
        </w:rPr>
        <w:t>We have engaged in strategic collaborations in the past, such as our strategic collaboration with AbbVie, and we may engage in various acquisitions, collaborations, and strategic partnerships in the future, including licensing or acquiring complementary products, intellectual property rights, technologies, or businesses. Any acquisition, collaboration, or strategic partnership may entail numerous risks, including:</w:t>
      </w:r>
    </w:p>
    <w:p>
      <w:pPr>
        <w:spacing w:after="0" w:line="60" w:lineRule="exact"/>
        <w:rPr>
          <w:sz w:val="20"/>
          <w:szCs w:val="20"/>
          <w:color w:val="auto"/>
        </w:rPr>
      </w:pPr>
    </w:p>
    <w:p>
      <w:pPr>
        <w:ind w:left="1100" w:hanging="350"/>
        <w:spacing w:after="0"/>
        <w:tabs>
          <w:tab w:leader="none" w:pos="11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increased operating expenses and cash requirements;</w:t>
      </w:r>
    </w:p>
    <w:p>
      <w:pPr>
        <w:spacing w:after="0" w:line="138" w:lineRule="exact"/>
        <w:rPr>
          <w:rFonts w:ascii="Arial" w:cs="Arial" w:eastAsia="Arial" w:hAnsi="Arial"/>
          <w:sz w:val="19"/>
          <w:szCs w:val="19"/>
          <w:color w:val="auto"/>
        </w:rPr>
      </w:pPr>
    </w:p>
    <w:p>
      <w:pPr>
        <w:ind w:left="1100" w:right="120" w:hanging="350"/>
        <w:spacing w:after="0" w:line="336" w:lineRule="auto"/>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volatility with respect to the financial reporting related to such arrangements, such as our expected variability in the recognition of revenue each quarter from the AbbVie Agreement based on the percentage-of-completion basis under the applicable accounting rules;</w:t>
      </w:r>
    </w:p>
    <w:p>
      <w:pPr>
        <w:spacing w:after="0" w:line="37" w:lineRule="exact"/>
        <w:rPr>
          <w:rFonts w:ascii="Arial" w:cs="Arial" w:eastAsia="Arial" w:hAnsi="Arial"/>
          <w:sz w:val="17"/>
          <w:szCs w:val="17"/>
          <w:color w:val="auto"/>
        </w:rPr>
      </w:pPr>
    </w:p>
    <w:p>
      <w:pPr>
        <w:ind w:left="1100" w:hanging="350"/>
        <w:spacing w:after="0"/>
        <w:tabs>
          <w:tab w:leader="none" w:pos="11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assumption of indebtedness or contingent liabilities;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issuance of our equity securities which would result in dilution to our stockholders;</w:t>
      </w:r>
    </w:p>
    <w:p>
      <w:pPr>
        <w:spacing w:after="0" w:line="138" w:lineRule="exact"/>
        <w:rPr>
          <w:rFonts w:ascii="Arial" w:cs="Arial" w:eastAsia="Arial" w:hAnsi="Arial"/>
          <w:sz w:val="19"/>
          <w:szCs w:val="19"/>
          <w:color w:val="auto"/>
        </w:rPr>
      </w:pPr>
    </w:p>
    <w:p>
      <w:pPr>
        <w:ind w:left="1100" w:right="140" w:hanging="350"/>
        <w:spacing w:after="0" w:line="275" w:lineRule="auto"/>
        <w:tabs>
          <w:tab w:leader="none" w:pos="11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assimilation of operations, intellectual property, products, and product candidates of an acquired company, including difficulties associated with integrating new personnel;</w:t>
      </w:r>
    </w:p>
    <w:p>
      <w:pPr>
        <w:spacing w:after="0" w:line="84" w:lineRule="exact"/>
        <w:rPr>
          <w:rFonts w:ascii="Arial" w:cs="Arial" w:eastAsia="Arial" w:hAnsi="Arial"/>
          <w:sz w:val="19"/>
          <w:szCs w:val="19"/>
          <w:color w:val="auto"/>
        </w:rPr>
      </w:pPr>
    </w:p>
    <w:p>
      <w:pPr>
        <w:ind w:left="1100" w:right="420" w:hanging="350"/>
        <w:spacing w:after="0" w:line="275" w:lineRule="auto"/>
        <w:tabs>
          <w:tab w:leader="none" w:pos="11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diversion of our management’s attention from our existing product programs and initiatives in pursuing such an acquisition or strategic partnership;</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retention of key employees, the loss of key personnel, and uncertainties in our ability to maintain key business relationships;</w:t>
      </w:r>
    </w:p>
    <w:p>
      <w:pPr>
        <w:spacing w:after="0" w:line="138" w:lineRule="exact"/>
        <w:rPr>
          <w:rFonts w:ascii="Arial" w:cs="Arial" w:eastAsia="Arial" w:hAnsi="Arial"/>
          <w:sz w:val="19"/>
          <w:szCs w:val="19"/>
          <w:color w:val="auto"/>
        </w:rPr>
      </w:pPr>
    </w:p>
    <w:p>
      <w:pPr>
        <w:ind w:left="1100" w:right="100" w:hanging="350"/>
        <w:spacing w:after="0" w:line="275" w:lineRule="auto"/>
        <w:tabs>
          <w:tab w:leader="none" w:pos="11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risks and uncertainties associated with the other party to such a transaction, including the prospects of that party and their existing products or product candidates and regulatory approvals; and</w:t>
      </w:r>
    </w:p>
    <w:p>
      <w:pPr>
        <w:spacing w:after="0" w:line="84" w:lineRule="exact"/>
        <w:rPr>
          <w:rFonts w:ascii="Arial" w:cs="Arial" w:eastAsia="Arial" w:hAnsi="Arial"/>
          <w:sz w:val="19"/>
          <w:szCs w:val="19"/>
          <w:color w:val="auto"/>
        </w:rPr>
      </w:pPr>
    </w:p>
    <w:p>
      <w:pPr>
        <w:ind w:left="1100" w:right="20" w:hanging="350"/>
        <w:spacing w:after="0" w:line="275" w:lineRule="auto"/>
        <w:tabs>
          <w:tab w:leader="none" w:pos="11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our inability to generate revenue from acquired intellectual property, technology, and/or products sufficient to meet our objectives or even to offset the associated transaction and maintenance costs.</w:t>
      </w:r>
    </w:p>
    <w:p>
      <w:pPr>
        <w:spacing w:after="0" w:line="184" w:lineRule="exact"/>
        <w:rPr>
          <w:sz w:val="20"/>
          <w:szCs w:val="20"/>
          <w:color w:val="auto"/>
        </w:rPr>
      </w:pPr>
    </w:p>
    <w:p>
      <w:pPr>
        <w:ind w:left="180" w:right="120" w:firstLine="465"/>
        <w:spacing w:after="0" w:line="275" w:lineRule="auto"/>
        <w:rPr>
          <w:sz w:val="20"/>
          <w:szCs w:val="20"/>
          <w:color w:val="auto"/>
        </w:rPr>
      </w:pPr>
      <w:r>
        <w:rPr>
          <w:rFonts w:ascii="Arial" w:cs="Arial" w:eastAsia="Arial" w:hAnsi="Arial"/>
          <w:sz w:val="19"/>
          <w:szCs w:val="19"/>
          <w:color w:val="auto"/>
        </w:rPr>
        <w:t>In addition, if we undertake such a transaction, we may issue dilutive securities, assume or incur debt obligations, incur large one-time expenses, and acquire intangible assets that could result in significant future amortization expense.</w:t>
      </w:r>
    </w:p>
    <w:p>
      <w:pPr>
        <w:spacing w:after="0" w:line="298" w:lineRule="exact"/>
        <w:rPr>
          <w:sz w:val="20"/>
          <w:szCs w:val="20"/>
          <w:color w:val="auto"/>
        </w:rPr>
      </w:pPr>
    </w:p>
    <w:p>
      <w:pPr>
        <w:ind w:left="180" w:right="100"/>
        <w:spacing w:after="0" w:line="259" w:lineRule="auto"/>
        <w:rPr>
          <w:sz w:val="20"/>
          <w:szCs w:val="20"/>
          <w:color w:val="auto"/>
        </w:rPr>
      </w:pPr>
      <w:r>
        <w:rPr>
          <w:rFonts w:ascii="Arial" w:cs="Arial" w:eastAsia="Arial" w:hAnsi="Arial"/>
          <w:sz w:val="19"/>
          <w:szCs w:val="19"/>
          <w:b w:val="1"/>
          <w:bCs w:val="1"/>
          <w:i w:val="1"/>
          <w:iCs w:val="1"/>
          <w:color w:val="auto"/>
        </w:rPr>
        <w:t>Our internal computer systems, or those used by our third-party research institution collaborators, CROs or other contractors or consultants, may fail or suffer other breakdowns, cyberattacks, or information security breaches that could compromise the confidentiality, integrity, and availability of such systems and data, result in material disruptions of our development programs and business operations, risk disclosure of confidential, financial, or proprietary information, and affect our reputation.</w:t>
      </w:r>
    </w:p>
    <w:p>
      <w:pPr>
        <w:spacing w:after="0" w:line="84" w:lineRule="exact"/>
        <w:rPr>
          <w:sz w:val="20"/>
          <w:szCs w:val="20"/>
          <w:color w:val="auto"/>
        </w:rPr>
      </w:pPr>
    </w:p>
    <w:p>
      <w:pPr>
        <w:ind w:left="180" w:right="760" w:firstLine="465"/>
        <w:spacing w:after="0" w:line="275" w:lineRule="auto"/>
        <w:rPr>
          <w:sz w:val="20"/>
          <w:szCs w:val="20"/>
          <w:color w:val="auto"/>
        </w:rPr>
      </w:pPr>
      <w:r>
        <w:rPr>
          <w:rFonts w:ascii="Arial" w:cs="Arial" w:eastAsia="Arial" w:hAnsi="Arial"/>
          <w:sz w:val="19"/>
          <w:szCs w:val="19"/>
          <w:color w:val="auto"/>
        </w:rPr>
        <w:t>Despite the implementation of security measures, our internal computer systems and those of our future CROs and other contractors and consultants may be vulnerable to damage from computer viruses and</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52</w:t>
      </w:r>
    </w:p>
    <w:p>
      <w:pPr>
        <w:sectPr>
          <w:pgSz w:w="12240" w:h="15840" w:orient="portrait"/>
          <w:cols w:equalWidth="0" w:num="1">
            <w:col w:w="11780"/>
          </w:cols>
          <w:pgMar w:left="120" w:top="336" w:right="340" w:bottom="1440" w:gutter="0" w:footer="0" w:header="0"/>
        </w:sectPr>
      </w:pPr>
    </w:p>
    <w:bookmarkStart w:id="60" w:name="page61"/>
    <w:bookmarkEnd w:id="6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00"/>
        <w:spacing w:after="0" w:line="284" w:lineRule="auto"/>
        <w:rPr>
          <w:sz w:val="20"/>
          <w:szCs w:val="20"/>
          <w:color w:val="auto"/>
        </w:rPr>
      </w:pPr>
      <w:r>
        <w:rPr>
          <w:rFonts w:ascii="Arial" w:cs="Arial" w:eastAsia="Arial" w:hAnsi="Arial"/>
          <w:sz w:val="17"/>
          <w:szCs w:val="17"/>
          <w:color w:val="auto"/>
        </w:rPr>
        <w:t>unauthorized access. As the cyber-threat landscape evolves, these attacks are growing in frequency, sophistication, and intensity, and are becoming increasingly difficult to detect. Such attacks could include the use of key loggers or other harmful and virulent malware, including ransomware or other denials of service, and can be deployed through malicious websites, the use of social engineering, and/or other means. If a breakdown, cyberattack, or other information security breach were to occur and cause interruptions in our operations, it could result in a misappropriation of confidential information, including our intellectual property or financial information, and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systems, or inappropriate disclosure of confidential, financial, or proprietary information, including data related to our personnel, we could incur liability or risk disclosure of confidential, financial, or proprietary information, and the further development and commercialization of our product candidates could be delayed. There can be no assurance that we and our business counterparties will be successful in efforts to detect, prevent, or fully recover systems or data from all breakdowns, service interruptions, attacks, or breaches of systems that could adversely affect our business and operations and/or result in the loss of critical or sensitive data, which could result in financial, legal, business, or reputational harm to us.</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Business disruptions could seriously harm our future revenue and financial condition and increase our costs and expenses.</w:t>
      </w:r>
    </w:p>
    <w:p>
      <w:pPr>
        <w:spacing w:after="0" w:line="124"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color w:val="auto"/>
        </w:rPr>
        <w:t>Our operations, and those of our third-party research institution collaborators, CROs, CDMOs,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 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191" w:lineRule="exact"/>
        <w:rPr>
          <w:sz w:val="20"/>
          <w:szCs w:val="20"/>
          <w:color w:val="auto"/>
        </w:rPr>
      </w:pPr>
    </w:p>
    <w:p>
      <w:pPr>
        <w:ind w:left="180" w:right="60" w:firstLine="465"/>
        <w:spacing w:after="0" w:line="256" w:lineRule="auto"/>
        <w:rPr>
          <w:sz w:val="20"/>
          <w:szCs w:val="20"/>
          <w:color w:val="auto"/>
        </w:rPr>
      </w:pPr>
      <w:r>
        <w:rPr>
          <w:rFonts w:ascii="Arial" w:cs="Arial" w:eastAsia="Arial" w:hAnsi="Arial"/>
          <w:sz w:val="19"/>
          <w:szCs w:val="19"/>
          <w:color w:val="auto"/>
        </w:rPr>
        <w:t>The majority of our operations including our corporate headquarters are located in a facility in South San Francisco,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business is subject to economic, political, regulatory, and other risks associated with international operations.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business is subject to risks associated with conducting business internationally. Some of our CDMOs are located outside the United States.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Accordingly, our future results could be harmed by a variety of factors, including:</w:t>
      </w:r>
    </w:p>
    <w:p>
      <w:pPr>
        <w:spacing w:after="0" w:line="125" w:lineRule="exact"/>
        <w:rPr>
          <w:sz w:val="20"/>
          <w:szCs w:val="20"/>
          <w:color w:val="auto"/>
        </w:rPr>
      </w:pPr>
    </w:p>
    <w:p>
      <w:pPr>
        <w:ind w:left="1100" w:hanging="350"/>
        <w:spacing w:after="0"/>
        <w:tabs>
          <w:tab w:leader="none" w:pos="1100" w:val="left"/>
        </w:tabs>
        <w:numPr>
          <w:ilvl w:val="0"/>
          <w:numId w:val="38"/>
        </w:numPr>
        <w:rPr>
          <w:rFonts w:ascii="Arial" w:cs="Arial" w:eastAsia="Arial" w:hAnsi="Arial"/>
          <w:sz w:val="19"/>
          <w:szCs w:val="19"/>
          <w:color w:val="auto"/>
        </w:rPr>
      </w:pPr>
      <w:r>
        <w:rPr>
          <w:rFonts w:ascii="Arial" w:cs="Arial" w:eastAsia="Arial" w:hAnsi="Arial"/>
          <w:sz w:val="19"/>
          <w:szCs w:val="19"/>
          <w:color w:val="auto"/>
        </w:rPr>
        <w:t>economic weakness, including inflation, or political instability in particular non-U.S. economies and markets;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38"/>
        </w:numPr>
        <w:rPr>
          <w:rFonts w:ascii="Arial" w:cs="Arial" w:eastAsia="Arial" w:hAnsi="Arial"/>
          <w:sz w:val="19"/>
          <w:szCs w:val="19"/>
          <w:color w:val="auto"/>
        </w:rPr>
      </w:pPr>
      <w:r>
        <w:rPr>
          <w:rFonts w:ascii="Arial" w:cs="Arial" w:eastAsia="Arial" w:hAnsi="Arial"/>
          <w:sz w:val="19"/>
          <w:szCs w:val="19"/>
          <w:color w:val="auto"/>
        </w:rPr>
        <w:t>differing and changing regulatory requirements in non-U.S. countries;</w:t>
      </w:r>
    </w:p>
    <w:p>
      <w:pPr>
        <w:spacing w:after="0" w:line="167"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53</w:t>
      </w:r>
    </w:p>
    <w:p>
      <w:pPr>
        <w:sectPr>
          <w:pgSz w:w="12240" w:h="15840" w:orient="portrait"/>
          <w:cols w:equalWidth="0" w:num="1">
            <w:col w:w="11800"/>
          </w:cols>
          <w:pgMar w:left="120" w:top="336" w:right="320" w:bottom="1440" w:gutter="0" w:footer="0" w:header="0"/>
        </w:sectPr>
      </w:pPr>
    </w:p>
    <w:bookmarkStart w:id="61" w:name="page62"/>
    <w:bookmarkEnd w:id="6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340" w:hanging="350"/>
        <w:spacing w:after="0" w:line="275" w:lineRule="auto"/>
        <w:tabs>
          <w:tab w:leader="none" w:pos="11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challenges enforcing our contractual and intellectual property rights, especially in those foreign countries that do not respect and protect intellectual property rights to the same extent as the United States;</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difficulties in compliance with non-U.S. laws and regulations;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changes in non-U.S. regulations and customs, tariffs, and trade barriers;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changes in non-U.S. currency exchange rates and currency controls;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changes in a specific country’s or region’s political or economic environment;</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shipping of biologics/drugs;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49" w:lineRule="exact"/>
        <w:rPr>
          <w:rFonts w:ascii="Arial" w:cs="Arial" w:eastAsia="Arial" w:hAnsi="Arial"/>
          <w:sz w:val="18"/>
          <w:szCs w:val="18"/>
          <w:color w:val="auto"/>
        </w:rPr>
      </w:pPr>
    </w:p>
    <w:p>
      <w:pPr>
        <w:ind w:left="1100" w:hanging="350"/>
        <w:spacing w:after="0"/>
        <w:tabs>
          <w:tab w:leader="none" w:pos="11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negative consequences from changes in tax laws;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compliance with tax, employment, immigration, and labor laws for employees living or traveling abroad;</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workforce uncertainty in countries where labor unrest is more common than in the United States;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difficulties associated with staffing and managing international operations, including differing labor relations;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potential liability under the FCPA, UK Bribery Act, or comparable foreign laws; and</w:t>
      </w:r>
    </w:p>
    <w:p>
      <w:pPr>
        <w:spacing w:after="0" w:line="138" w:lineRule="exact"/>
        <w:rPr>
          <w:rFonts w:ascii="Arial" w:cs="Arial" w:eastAsia="Arial" w:hAnsi="Arial"/>
          <w:sz w:val="19"/>
          <w:szCs w:val="19"/>
          <w:color w:val="auto"/>
        </w:rPr>
      </w:pPr>
    </w:p>
    <w:p>
      <w:pPr>
        <w:ind w:left="1100" w:hanging="350"/>
        <w:spacing w:after="0" w:line="275" w:lineRule="auto"/>
        <w:tabs>
          <w:tab w:leader="none" w:pos="11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business interruptions resulting from geo-political actions, including war and terrorism, or natural disasters including earthquakes, typhoons, floods, and fires.</w:t>
      </w:r>
    </w:p>
    <w:p>
      <w:pPr>
        <w:spacing w:after="0" w:line="184" w:lineRule="exact"/>
        <w:rPr>
          <w:sz w:val="20"/>
          <w:szCs w:val="20"/>
          <w:color w:val="auto"/>
        </w:rPr>
      </w:pPr>
    </w:p>
    <w:p>
      <w:pPr>
        <w:ind w:left="180" w:right="780" w:firstLine="465"/>
        <w:spacing w:after="0" w:line="275" w:lineRule="auto"/>
        <w:rPr>
          <w:sz w:val="20"/>
          <w:szCs w:val="20"/>
          <w:color w:val="auto"/>
        </w:rPr>
      </w:pPr>
      <w:r>
        <w:rPr>
          <w:rFonts w:ascii="Arial" w:cs="Arial" w:eastAsia="Arial" w:hAnsi="Arial"/>
          <w:sz w:val="19"/>
          <w:szCs w:val="19"/>
          <w:color w:val="auto"/>
        </w:rPr>
        <w:t>These and other risks associated with our planned international operations may materially adversely affect our ability to attain profitable operations.</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ability to use our net operating loss carryforwards and certain other tax attributes may be limited.</w:t>
      </w:r>
    </w:p>
    <w:p>
      <w:pPr>
        <w:spacing w:after="0" w:line="124" w:lineRule="exact"/>
        <w:rPr>
          <w:sz w:val="20"/>
          <w:szCs w:val="20"/>
          <w:color w:val="auto"/>
        </w:rPr>
      </w:pPr>
    </w:p>
    <w:p>
      <w:pPr>
        <w:ind w:left="180" w:right="160" w:firstLine="465"/>
        <w:spacing w:after="0" w:line="287" w:lineRule="auto"/>
        <w:rPr>
          <w:sz w:val="20"/>
          <w:szCs w:val="20"/>
          <w:color w:val="auto"/>
        </w:rPr>
      </w:pPr>
      <w:r>
        <w:rPr>
          <w:rFonts w:ascii="Arial" w:cs="Arial" w:eastAsia="Arial" w:hAnsi="Arial"/>
          <w:sz w:val="17"/>
          <w:szCs w:val="17"/>
          <w:color w:val="auto"/>
        </w:rPr>
        <w:t>As of December 31, 2017, we had federal and California net operating loss carryforwards of approximately $17.5 million and $17.6 million, respectively, which will begin to expire in 2037, if not utilized.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and other pre-change tax attributes to offset its post-change taxable income or taxes may be limited. As a result of our most recent private placements and other transactions that have occurred since our incorporation, we may have experienced, and in connection with this offering, may experience, such an ownership change.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Risks Related to This Offering and Ownership of Our Common Stock</w:t>
      </w:r>
    </w:p>
    <w:p>
      <w:pPr>
        <w:spacing w:after="0" w:line="130" w:lineRule="exact"/>
        <w:rPr>
          <w:sz w:val="20"/>
          <w:szCs w:val="20"/>
          <w:color w:val="auto"/>
        </w:rPr>
      </w:pPr>
    </w:p>
    <w:p>
      <w:pPr>
        <w:ind w:left="180" w:right="100"/>
        <w:spacing w:after="0" w:line="275" w:lineRule="auto"/>
        <w:rPr>
          <w:sz w:val="20"/>
          <w:szCs w:val="20"/>
          <w:color w:val="auto"/>
        </w:rPr>
      </w:pPr>
      <w:r>
        <w:rPr>
          <w:rFonts w:ascii="Arial" w:cs="Arial" w:eastAsia="Arial" w:hAnsi="Arial"/>
          <w:sz w:val="19"/>
          <w:szCs w:val="19"/>
          <w:b w:val="1"/>
          <w:bCs w:val="1"/>
          <w:i w:val="1"/>
          <w:iCs w:val="1"/>
          <w:color w:val="auto"/>
        </w:rPr>
        <w:t>We do not know whether a market will develop for our common stock or what the market price of our common stock will be, and, as a result, it may be difficult for you to sell your shares of our common stock.</w:t>
      </w:r>
    </w:p>
    <w:p>
      <w:pPr>
        <w:spacing w:after="0" w:line="70" w:lineRule="exact"/>
        <w:rPr>
          <w:sz w:val="20"/>
          <w:szCs w:val="20"/>
          <w:color w:val="auto"/>
        </w:rPr>
      </w:pPr>
    </w:p>
    <w:p>
      <w:pPr>
        <w:jc w:val="both"/>
        <w:ind w:left="180" w:right="500" w:firstLine="465"/>
        <w:spacing w:after="0" w:line="263" w:lineRule="auto"/>
        <w:rPr>
          <w:sz w:val="20"/>
          <w:szCs w:val="20"/>
          <w:color w:val="auto"/>
        </w:rPr>
      </w:pPr>
      <w:r>
        <w:rPr>
          <w:rFonts w:ascii="Arial" w:cs="Arial" w:eastAsia="Arial" w:hAnsi="Arial"/>
          <w:sz w:val="19"/>
          <w:szCs w:val="19"/>
          <w:color w:val="auto"/>
        </w:rPr>
        <w:t>Before this offering, there was no public trading market for our common stock. If a market for our common stock does not develop or is not sustained, it may be difficult for you to sell your shares of common stock at an attractive price or at all. We cannot predict the prices at which our common stock will trade. It is possible that in</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54</w:t>
      </w:r>
    </w:p>
    <w:p>
      <w:pPr>
        <w:sectPr>
          <w:pgSz w:w="12240" w:h="15840" w:orient="portrait"/>
          <w:cols w:equalWidth="0" w:num="1">
            <w:col w:w="11780"/>
          </w:cols>
          <w:pgMar w:left="120" w:top="336" w:right="340" w:bottom="1440" w:gutter="0" w:footer="0" w:header="0"/>
        </w:sectPr>
      </w:pPr>
    </w:p>
    <w:bookmarkStart w:id="62" w:name="page63"/>
    <w:bookmarkEnd w:id="6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75" w:lineRule="auto"/>
        <w:rPr>
          <w:sz w:val="20"/>
          <w:szCs w:val="20"/>
          <w:color w:val="auto"/>
        </w:rPr>
      </w:pPr>
      <w:r>
        <w:rPr>
          <w:rFonts w:ascii="Arial" w:cs="Arial" w:eastAsia="Arial" w:hAnsi="Arial"/>
          <w:sz w:val="19"/>
          <w:szCs w:val="19"/>
          <w:color w:val="auto"/>
        </w:rPr>
        <w:t>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The market price of our common stock may be volatile, which could result in substantial losses for investors purchasing shares in this offering.</w:t>
      </w:r>
    </w:p>
    <w:p>
      <w:pPr>
        <w:spacing w:after="0" w:line="158" w:lineRule="exact"/>
        <w:rPr>
          <w:sz w:val="20"/>
          <w:szCs w:val="20"/>
          <w:color w:val="auto"/>
        </w:rPr>
      </w:pPr>
    </w:p>
    <w:p>
      <w:pPr>
        <w:ind w:left="180" w:right="200" w:firstLine="465"/>
        <w:spacing w:after="0" w:line="284" w:lineRule="auto"/>
        <w:rPr>
          <w:sz w:val="20"/>
          <w:szCs w:val="20"/>
          <w:color w:val="auto"/>
        </w:rPr>
      </w:pPr>
      <w:r>
        <w:rPr>
          <w:rFonts w:ascii="Arial" w:cs="Arial" w:eastAsia="Arial" w:hAnsi="Arial"/>
          <w:sz w:val="18"/>
          <w:szCs w:val="18"/>
          <w:color w:val="auto"/>
        </w:rPr>
        <w:t>The initial public offering price for our common stock was determined through negotiations with the underwriters. This initial public offering price may differ from the market price of our common stock after the offering. As a result, you may not be able to sell your common stock at or above the initial public offering price. Some of the factors that may cause the market price of our common stock to fluctuate include:</w:t>
      </w:r>
    </w:p>
    <w:p>
      <w:pPr>
        <w:spacing w:after="0" w:line="78" w:lineRule="exact"/>
        <w:rPr>
          <w:sz w:val="20"/>
          <w:szCs w:val="20"/>
          <w:color w:val="auto"/>
        </w:rPr>
      </w:pPr>
    </w:p>
    <w:p>
      <w:pPr>
        <w:ind w:left="1100" w:hanging="350"/>
        <w:spacing w:after="0"/>
        <w:tabs>
          <w:tab w:leader="none" w:pos="11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success of existing or new competitive products or technologies;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149" w:lineRule="exact"/>
        <w:rPr>
          <w:rFonts w:ascii="Arial" w:cs="Arial" w:eastAsia="Arial" w:hAnsi="Arial"/>
          <w:sz w:val="18"/>
          <w:szCs w:val="18"/>
          <w:color w:val="auto"/>
        </w:rPr>
      </w:pPr>
    </w:p>
    <w:p>
      <w:pPr>
        <w:ind w:left="1100" w:hanging="350"/>
        <w:spacing w:after="0"/>
        <w:tabs>
          <w:tab w:leader="none" w:pos="11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commencement or termination of collaborations for our product development and research programs;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failure to achieve development, regulatory, or commercialization milestones under our collaborations;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failure or discontinuation of any of our product development and research programs;</w:t>
      </w:r>
    </w:p>
    <w:p>
      <w:pPr>
        <w:spacing w:after="0" w:line="138" w:lineRule="exact"/>
        <w:rPr>
          <w:rFonts w:ascii="Arial" w:cs="Arial" w:eastAsia="Arial" w:hAnsi="Arial"/>
          <w:sz w:val="19"/>
          <w:szCs w:val="19"/>
          <w:color w:val="auto"/>
        </w:rPr>
      </w:pPr>
    </w:p>
    <w:p>
      <w:pPr>
        <w:ind w:left="1100" w:right="180" w:hanging="350"/>
        <w:spacing w:after="0" w:line="275" w:lineRule="auto"/>
        <w:tabs>
          <w:tab w:leader="none" w:pos="11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results of preclinical studies, clinical trials, or regulatory approvals of product candidates of our competitors, or announcements about new research programs or product candidates of our competitors;</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regulatory or legal developments in the United States and other countries;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developments or disputes concerning patent applications, issued patents, or other proprietary rights;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recruitment or departure of key personnel;</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level of expenses related to any of our research programs, clinical development programs, or product candidates that we may develop;</w:t>
      </w:r>
    </w:p>
    <w:p>
      <w:pPr>
        <w:spacing w:after="0" w:line="161" w:lineRule="exact"/>
        <w:rPr>
          <w:rFonts w:ascii="Arial" w:cs="Arial" w:eastAsia="Arial" w:hAnsi="Arial"/>
          <w:sz w:val="17"/>
          <w:szCs w:val="17"/>
          <w:color w:val="auto"/>
        </w:rPr>
      </w:pPr>
    </w:p>
    <w:p>
      <w:pPr>
        <w:ind w:left="1100" w:hanging="350"/>
        <w:spacing w:after="0"/>
        <w:tabs>
          <w:tab w:leader="none" w:pos="11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results of our efforts to develop additional product candidates or products;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49" w:lineRule="exact"/>
        <w:rPr>
          <w:rFonts w:ascii="Arial" w:cs="Arial" w:eastAsia="Arial" w:hAnsi="Arial"/>
          <w:sz w:val="18"/>
          <w:szCs w:val="18"/>
          <w:color w:val="auto"/>
        </w:rPr>
      </w:pPr>
    </w:p>
    <w:p>
      <w:pPr>
        <w:ind w:left="1100" w:hanging="350"/>
        <w:spacing w:after="0"/>
        <w:tabs>
          <w:tab w:leader="none" w:pos="11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announcement or expectation of additional financing efforts;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sales of our common stock by us, our insiders, or other stockholders;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expiration of market standoff or lock-up agreements;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variations in our financial results or those of companies that are perceived to be similar to us;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changes in estimates or recommendations by securities analysts, if any, that cover our stock;</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changes in the structure of healthcare payment systems;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market conditions in the pharmaceutical and biotechnology sectors;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general economic, industry, and market conditions; and</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other factors described in this “Risk Factors” section.</w:t>
      </w:r>
    </w:p>
    <w:p>
      <w:pPr>
        <w:spacing w:after="0" w:line="238" w:lineRule="exact"/>
        <w:rPr>
          <w:sz w:val="20"/>
          <w:szCs w:val="20"/>
          <w:color w:val="auto"/>
        </w:rPr>
      </w:pPr>
    </w:p>
    <w:p>
      <w:pPr>
        <w:ind w:left="180" w:right="220" w:firstLine="465"/>
        <w:spacing w:after="0" w:line="308" w:lineRule="auto"/>
        <w:rPr>
          <w:sz w:val="20"/>
          <w:szCs w:val="20"/>
          <w:color w:val="auto"/>
        </w:rPr>
      </w:pPr>
      <w:r>
        <w:rPr>
          <w:rFonts w:ascii="Arial" w:cs="Arial" w:eastAsia="Arial" w:hAnsi="Arial"/>
          <w:sz w:val="17"/>
          <w:szCs w:val="17"/>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w:t>
      </w:r>
    </w:p>
    <w:p>
      <w:pPr>
        <w:spacing w:after="0" w:line="8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55</w:t>
      </w:r>
    </w:p>
    <w:p>
      <w:pPr>
        <w:sectPr>
          <w:pgSz w:w="12240" w:h="15840" w:orient="portrait"/>
          <w:cols w:equalWidth="0" w:num="1">
            <w:col w:w="11800"/>
          </w:cols>
          <w:pgMar w:left="120" w:top="336" w:right="320" w:bottom="1440" w:gutter="0" w:footer="0" w:header="0"/>
        </w:sectPr>
      </w:pPr>
    </w:p>
    <w:bookmarkStart w:id="63" w:name="page64"/>
    <w:bookmarkEnd w:id="6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right="220"/>
        <w:spacing w:after="0" w:line="298" w:lineRule="auto"/>
        <w:rPr>
          <w:sz w:val="20"/>
          <w:szCs w:val="20"/>
          <w:color w:val="auto"/>
        </w:rPr>
      </w:pPr>
      <w:r>
        <w:rPr>
          <w:rFonts w:ascii="Arial" w:cs="Arial" w:eastAsia="Arial" w:hAnsi="Arial"/>
          <w:sz w:val="17"/>
          <w:szCs w:val="17"/>
          <w:color w:val="auto"/>
        </w:rPr>
        <w:t>common stock, regardless of our actual operating performance. These fluctuations may be even more pronounced in the trading market for our stock shortly following this offering.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84" w:lineRule="exact"/>
        <w:rPr>
          <w:sz w:val="20"/>
          <w:szCs w:val="20"/>
          <w:color w:val="auto"/>
        </w:rPr>
      </w:pPr>
    </w:p>
    <w:p>
      <w:pPr>
        <w:ind w:left="180" w:right="20"/>
        <w:spacing w:after="0" w:line="275" w:lineRule="auto"/>
        <w:rPr>
          <w:sz w:val="20"/>
          <w:szCs w:val="20"/>
          <w:color w:val="auto"/>
        </w:rPr>
      </w:pPr>
      <w:r>
        <w:rPr>
          <w:rFonts w:ascii="Arial" w:cs="Arial" w:eastAsia="Arial" w:hAnsi="Arial"/>
          <w:sz w:val="19"/>
          <w:szCs w:val="19"/>
          <w:b w:val="1"/>
          <w:bCs w:val="1"/>
          <w:i w:val="1"/>
          <w:iCs w:val="1"/>
          <w:color w:val="auto"/>
        </w:rPr>
        <w:t>If securities analysts do not publish research or reports about our business or if they publish negative evaluations of our stock, the price of our stock could decline.</w:t>
      </w:r>
    </w:p>
    <w:p>
      <w:pPr>
        <w:spacing w:after="0" w:line="70" w:lineRule="exact"/>
        <w:rPr>
          <w:sz w:val="20"/>
          <w:szCs w:val="20"/>
          <w:color w:val="auto"/>
        </w:rPr>
      </w:pPr>
    </w:p>
    <w:p>
      <w:pPr>
        <w:ind w:left="180" w:right="60" w:firstLine="465"/>
        <w:spacing w:after="0" w:line="294"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could decrease. Even if we do obtain analyst coverage, if one or more of the analysts covering our business downgrade their evaluations of our stock or if we fail to meet their operating results estimates for us, the price of our stock could decline. If one or more of these analysts cease to cover our stock, we could lose visibility in the market for our stock, which in turn could cause our stock price to decline.</w:t>
      </w:r>
    </w:p>
    <w:p>
      <w:pPr>
        <w:spacing w:after="0" w:line="286" w:lineRule="exact"/>
        <w:rPr>
          <w:sz w:val="20"/>
          <w:szCs w:val="20"/>
          <w:color w:val="auto"/>
        </w:rPr>
      </w:pPr>
    </w:p>
    <w:p>
      <w:pPr>
        <w:ind w:left="180" w:right="280"/>
        <w:spacing w:after="0" w:line="304" w:lineRule="auto"/>
        <w:rPr>
          <w:sz w:val="20"/>
          <w:szCs w:val="20"/>
          <w:color w:val="auto"/>
        </w:rPr>
      </w:pPr>
      <w:r>
        <w:rPr>
          <w:rFonts w:ascii="Arial" w:cs="Arial" w:eastAsia="Arial" w:hAnsi="Arial"/>
          <w:sz w:val="18"/>
          <w:szCs w:val="18"/>
          <w:b w:val="1"/>
          <w:bCs w:val="1"/>
          <w:i w:val="1"/>
          <w:iCs w:val="1"/>
          <w:color w:val="auto"/>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spacing w:after="0" w:line="46" w:lineRule="exact"/>
        <w:rPr>
          <w:sz w:val="20"/>
          <w:szCs w:val="20"/>
          <w:color w:val="auto"/>
        </w:rPr>
      </w:pPr>
    </w:p>
    <w:p>
      <w:pPr>
        <w:ind w:left="180" w:firstLine="465"/>
        <w:spacing w:after="0" w:line="283"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common stock intend to sell shares, could reduce the market price of our common stock. After this offering and after giving effect to the conversion of all outstanding shares of our convertible preferred stock into 45,350,215 shares of our common stock immediately prior to the closing of this offering, we will have 68,365,044 shares of common stock outstanding based on 13,764,829 shares of our common stock outstanding as of September 30, 2018. Of these shares, the 9,250,000 shares we are selling in this offering may be resold in the public market immediately, unless purchased by our affiliates. The remaining 59,115,044 shares, or 86.5% of our outstanding shares after this offering, are currently prohibited or otherwise restricted under securities laws, market standoff agreements entered into by our stockholders with us or lock-up agreements entered into by our stockholders with the underwriters; however, subject to applicable securities law restrictions and excluding shares of restricted stock that will remain unvested, these shares will be able to be sold in the public market beginning after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prospectus. Morgan Stanley &amp; Co. LLC, Merrill Lynch, Pierce, Fenner &amp; Smith Incorporated, and Cowen and Company, LLC may, in their sole discretion, release all or some portion of the shares subject to lock-up agreements at any time and for any reason. In addition, 2,161,047 shares of unvested restricted stock were issued and outstanding as of September 30, 2018 will become available for sale immediately upon the vesting of such shares, as applicable, and the expiration of any applicable market standoff or lock-up agreements.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(the Securities Act). See the section titled “Shares Eligible for Future Sale” for additional information.</w:t>
      </w:r>
    </w:p>
    <w:p>
      <w:pPr>
        <w:spacing w:after="0" w:line="189"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Moreover, after this offering, holders of an aggregate of 59,809,220 shares of our common stock will have rights, subject to conditions, to require us to file registration statements covering their shares or to include their shares in registration statements that we may file for ourselves or other stockholders. We also plan to register all shares of common stock that we may issue under our equity compensation plans. Once we register these shares, they can be freely sold in the public market upon issuance and once vested, subject to volume limitations applicable to affiliates and the lock-up agreements described in the section titled “Underwriting.” If any of these</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56</w:t>
      </w:r>
    </w:p>
    <w:p>
      <w:pPr>
        <w:sectPr>
          <w:pgSz w:w="12240" w:h="15840" w:orient="portrait"/>
          <w:cols w:equalWidth="0" w:num="1">
            <w:col w:w="11800"/>
          </w:cols>
          <w:pgMar w:left="120" w:top="336" w:right="320" w:bottom="1440" w:gutter="0" w:footer="0" w:header="0"/>
        </w:sectPr>
      </w:pPr>
    </w:p>
    <w:bookmarkStart w:id="64" w:name="page65"/>
    <w:bookmarkEnd w:id="6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additional shares are sold, or if it is perceived that they will be sold, in the public market, the market price of our common stock could decline.</w:t>
      </w:r>
    </w:p>
    <w:p>
      <w:pPr>
        <w:spacing w:after="0" w:line="363"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You will incur immediate and substantial dilution as a result of this offering.</w:t>
      </w:r>
    </w:p>
    <w:p>
      <w:pPr>
        <w:spacing w:after="0" w:line="124"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If you purchase common stock in this offering, you will incur immediate and substantial dilution of $14.80 per share, representing the difference between the initial public offering price of $19.00 per share, which is the midpoint of the estimated offering price range set forth on the cover page of this prospectus, after deducting the underwriting discounts and commissions and estimated offering expenses payable by us, and our pro forma net tangible book value per share after giving effect to this offering and the automatic conversion of all outstanding shares of our convertible preferred stock immediately prior to the closing of this offering. As of September 30, 2018, there were 3,048,500 shares subject to outstanding options with a weighted-average exercise price of $8.14 per share. To the extent that these outstanding options are ultimately exercised or the underwriters exercise their option to purchase additional shares, you will incur further dilution. See the section titled “Dilution” for a further description of the dilution you will experience immediately after this offering.</w:t>
      </w:r>
    </w:p>
    <w:p>
      <w:pPr>
        <w:spacing w:after="0" w:line="318" w:lineRule="exact"/>
        <w:rPr>
          <w:sz w:val="20"/>
          <w:szCs w:val="20"/>
          <w:color w:val="auto"/>
        </w:rPr>
      </w:pPr>
    </w:p>
    <w:p>
      <w:pPr>
        <w:ind w:left="180" w:right="900"/>
        <w:spacing w:after="0" w:line="275" w:lineRule="auto"/>
        <w:rPr>
          <w:sz w:val="20"/>
          <w:szCs w:val="20"/>
          <w:color w:val="auto"/>
        </w:rPr>
      </w:pPr>
      <w:r>
        <w:rPr>
          <w:rFonts w:ascii="Arial" w:cs="Arial" w:eastAsia="Arial" w:hAnsi="Arial"/>
          <w:sz w:val="19"/>
          <w:szCs w:val="19"/>
          <w:b w:val="1"/>
          <w:bCs w:val="1"/>
          <w:i w:val="1"/>
          <w:iCs w:val="1"/>
          <w:color w:val="auto"/>
        </w:rPr>
        <w:t>Raising additional capital may cause dilution to our existing stockholders, restrict our operations or require us to relinquish rights to our technologies or product candidates.</w:t>
      </w:r>
    </w:p>
    <w:p>
      <w:pPr>
        <w:spacing w:after="0" w:line="70" w:lineRule="exact"/>
        <w:rPr>
          <w:sz w:val="20"/>
          <w:szCs w:val="20"/>
          <w:color w:val="auto"/>
        </w:rPr>
      </w:pPr>
    </w:p>
    <w:p>
      <w:pPr>
        <w:ind w:left="180" w:firstLine="465"/>
        <w:spacing w:after="0" w:line="268" w:lineRule="auto"/>
        <w:rPr>
          <w:sz w:val="20"/>
          <w:szCs w:val="20"/>
          <w:color w:val="auto"/>
        </w:rPr>
      </w:pPr>
      <w:r>
        <w:rPr>
          <w:rFonts w:ascii="Arial" w:cs="Arial" w:eastAsia="Arial" w:hAnsi="Arial"/>
          <w:sz w:val="18"/>
          <w:szCs w:val="18"/>
          <w:color w:val="auto"/>
        </w:rPr>
        <w:t>We may seek additional capital through a combination of public and private equity offerings, debt financings, strategic partnerships and alliances, and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or debt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310" w:lineRule="exact"/>
        <w:rPr>
          <w:sz w:val="20"/>
          <w:szCs w:val="20"/>
          <w:color w:val="auto"/>
        </w:rPr>
      </w:pPr>
    </w:p>
    <w:p>
      <w:pPr>
        <w:ind w:left="180" w:right="980"/>
        <w:spacing w:after="0" w:line="275" w:lineRule="auto"/>
        <w:rPr>
          <w:sz w:val="20"/>
          <w:szCs w:val="20"/>
          <w:color w:val="auto"/>
        </w:rPr>
      </w:pPr>
      <w:r>
        <w:rPr>
          <w:rFonts w:ascii="Arial" w:cs="Arial" w:eastAsia="Arial" w:hAnsi="Arial"/>
          <w:sz w:val="19"/>
          <w:szCs w:val="19"/>
          <w:b w:val="1"/>
          <w:bCs w:val="1"/>
          <w:i w:val="1"/>
          <w:iCs w:val="1"/>
          <w:color w:val="auto"/>
        </w:rPr>
        <w:t>Insiders will continue to have substantial influence over us after this offering, which could limit your ability to affect the outcome of key transactions, including a change of control.</w:t>
      </w:r>
    </w:p>
    <w:p>
      <w:pPr>
        <w:spacing w:after="0" w:line="70" w:lineRule="exact"/>
        <w:rPr>
          <w:sz w:val="20"/>
          <w:szCs w:val="20"/>
          <w:color w:val="auto"/>
        </w:rPr>
      </w:pPr>
    </w:p>
    <w:p>
      <w:pPr>
        <w:ind w:left="180" w:right="160" w:firstLine="465"/>
        <w:spacing w:after="0" w:line="256" w:lineRule="auto"/>
        <w:rPr>
          <w:sz w:val="20"/>
          <w:szCs w:val="20"/>
          <w:color w:val="auto"/>
        </w:rPr>
      </w:pPr>
      <w:r>
        <w:rPr>
          <w:rFonts w:ascii="Arial" w:cs="Arial" w:eastAsia="Arial" w:hAnsi="Arial"/>
          <w:sz w:val="19"/>
          <w:szCs w:val="19"/>
          <w:color w:val="auto"/>
        </w:rPr>
        <w:t>After this offering, our directors, executive officers, holders of more than 5% of our outstanding stock and their respective affiliates will beneficially own shares representing approximately % of our outstanding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04"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Certain of our existing stockholders, including entities that are affiliated with certain of our directors and beneficially own more than 5% of our outstanding common stock, have indicated an interest in purchasing an aggregate of $85.0 million or more in shares of our common stock in this offering at the initial public offering price. The previously discussed ownership percentage upon completion of this offering does not reflect the potential purchase of any shares in this offering by such stockholders.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57</w:t>
      </w:r>
    </w:p>
    <w:p>
      <w:pPr>
        <w:sectPr>
          <w:pgSz w:w="12240" w:h="15840" w:orient="portrait"/>
          <w:cols w:equalWidth="0" w:num="1">
            <w:col w:w="11800"/>
          </w:cols>
          <w:pgMar w:left="120" w:top="336" w:right="320" w:bottom="1440" w:gutter="0" w:footer="0" w:header="0"/>
        </w:sectPr>
      </w:pPr>
    </w:p>
    <w:bookmarkStart w:id="65" w:name="page66"/>
    <w:bookmarkEnd w:id="6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spacing w:after="0" w:line="275" w:lineRule="auto"/>
        <w:rPr>
          <w:sz w:val="20"/>
          <w:szCs w:val="20"/>
          <w:color w:val="auto"/>
        </w:rPr>
      </w:pPr>
      <w:r>
        <w:rPr>
          <w:rFonts w:ascii="Arial" w:cs="Arial" w:eastAsia="Arial" w:hAnsi="Arial"/>
          <w:sz w:val="19"/>
          <w:szCs w:val="19"/>
          <w:b w:val="1"/>
          <w:bCs w:val="1"/>
          <w:i w:val="1"/>
          <w:iCs w:val="1"/>
          <w:color w:val="auto"/>
        </w:rPr>
        <w:t>We are an “emerging growth company,” and the reduced disclosure requirements applicable to emerging growth companies may make our common stock less attractive to investors.</w:t>
      </w:r>
    </w:p>
    <w:p>
      <w:pPr>
        <w:spacing w:after="0" w:line="70" w:lineRule="exact"/>
        <w:rPr>
          <w:sz w:val="20"/>
          <w:szCs w:val="20"/>
          <w:color w:val="auto"/>
        </w:rPr>
      </w:pPr>
    </w:p>
    <w:p>
      <w:pPr>
        <w:ind w:left="180" w:right="20" w:firstLine="465"/>
        <w:spacing w:after="0" w:line="285" w:lineRule="auto"/>
        <w:rPr>
          <w:sz w:val="20"/>
          <w:szCs w:val="20"/>
          <w:color w:val="auto"/>
        </w:rPr>
      </w:pPr>
      <w:r>
        <w:rPr>
          <w:rFonts w:ascii="Arial" w:cs="Arial" w:eastAsia="Arial" w:hAnsi="Arial"/>
          <w:sz w:val="17"/>
          <w:szCs w:val="17"/>
          <w:color w:val="auto"/>
        </w:rPr>
        <w:t>We are an “emerging growth company,” as defined in the Jumpstart Our Business Startups Act of 2012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5"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318" w:lineRule="exact"/>
        <w:rPr>
          <w:sz w:val="20"/>
          <w:szCs w:val="20"/>
          <w:color w:val="auto"/>
        </w:rPr>
      </w:pPr>
    </w:p>
    <w:p>
      <w:pPr>
        <w:ind w:left="180" w:right="220"/>
        <w:spacing w:after="0" w:line="275" w:lineRule="auto"/>
        <w:rPr>
          <w:sz w:val="20"/>
          <w:szCs w:val="20"/>
          <w:color w:val="auto"/>
        </w:rPr>
      </w:pPr>
      <w:r>
        <w:rPr>
          <w:rFonts w:ascii="Arial" w:cs="Arial" w:eastAsia="Arial" w:hAnsi="Arial"/>
          <w:sz w:val="19"/>
          <w:szCs w:val="19"/>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70" w:lineRule="exact"/>
        <w:rPr>
          <w:sz w:val="20"/>
          <w:szCs w:val="20"/>
          <w:color w:val="auto"/>
        </w:rPr>
      </w:pPr>
    </w:p>
    <w:p>
      <w:pPr>
        <w:ind w:left="180" w:right="40" w:firstLine="465"/>
        <w:spacing w:after="0" w:line="284"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The SOX,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7" w:lineRule="exact"/>
        <w:rPr>
          <w:sz w:val="20"/>
          <w:szCs w:val="20"/>
          <w:color w:val="auto"/>
        </w:rPr>
      </w:pPr>
    </w:p>
    <w:p>
      <w:pPr>
        <w:ind w:left="180" w:right="40" w:firstLine="465"/>
        <w:spacing w:after="0" w:line="308" w:lineRule="auto"/>
        <w:rPr>
          <w:sz w:val="20"/>
          <w:szCs w:val="20"/>
          <w:color w:val="auto"/>
        </w:rPr>
      </w:pPr>
      <w:r>
        <w:rPr>
          <w:rFonts w:ascii="Arial" w:cs="Arial" w:eastAsia="Arial" w:hAnsi="Arial"/>
          <w:sz w:val="17"/>
          <w:szCs w:val="17"/>
          <w:color w:val="auto"/>
        </w:rPr>
        <w:t>Pursuant to SOX Section 404, we will be required to furnish a report by our management on our internal control over financial reporting beginning with our second filing of an Annual Report on Form 10-K with the SEC after we become a public company. However, while we remain an emerging growth company, we will not be required to include an attestation report on internal control over financial reporting issued by our independent</w:t>
      </w:r>
    </w:p>
    <w:p>
      <w:pPr>
        <w:spacing w:after="0" w:line="8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58</w:t>
      </w:r>
    </w:p>
    <w:p>
      <w:pPr>
        <w:sectPr>
          <w:pgSz w:w="12240" w:h="15840" w:orient="portrait"/>
          <w:cols w:equalWidth="0" w:num="1">
            <w:col w:w="11800"/>
          </w:cols>
          <w:pgMar w:left="120" w:top="336" w:right="320" w:bottom="1440" w:gutter="0" w:footer="0" w:header="0"/>
        </w:sectPr>
      </w:pPr>
    </w:p>
    <w:bookmarkStart w:id="66" w:name="page67"/>
    <w:bookmarkEnd w:id="6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70" w:lineRule="auto"/>
        <w:rPr>
          <w:sz w:val="20"/>
          <w:szCs w:val="20"/>
          <w:color w:val="auto"/>
        </w:rPr>
      </w:pPr>
      <w:r>
        <w:rPr>
          <w:rFonts w:ascii="Arial" w:cs="Arial" w:eastAsia="Arial" w:hAnsi="Arial"/>
          <w:sz w:val="18"/>
          <w:szCs w:val="18"/>
          <w:color w:val="auto"/>
        </w:rPr>
        <w:t>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pacing w:after="0" w:line="305"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If we are unable to maintain effective internal controls, our business, financial position, and results of operations could be adversely affected.</w:t>
      </w:r>
    </w:p>
    <w:p>
      <w:pPr>
        <w:spacing w:after="0" w:line="147" w:lineRule="exact"/>
        <w:rPr>
          <w:sz w:val="20"/>
          <w:szCs w:val="20"/>
          <w:color w:val="auto"/>
        </w:rPr>
      </w:pPr>
    </w:p>
    <w:p>
      <w:pPr>
        <w:ind w:left="180" w:right="260" w:firstLine="465"/>
        <w:spacing w:after="0" w:line="256" w:lineRule="auto"/>
        <w:rPr>
          <w:sz w:val="20"/>
          <w:szCs w:val="20"/>
          <w:color w:val="auto"/>
        </w:rPr>
      </w:pPr>
      <w:r>
        <w:rPr>
          <w:rFonts w:ascii="Arial" w:cs="Arial" w:eastAsia="Arial" w:hAnsi="Arial"/>
          <w:sz w:val="19"/>
          <w:szCs w:val="19"/>
          <w:color w:val="auto"/>
        </w:rPr>
        <w:t>As a public company, we will be subject to reporting and other obligations under the Securities Exchange Act of 1934, as amended (Exchange Act), including the requirements of SOX Section 404, which require annual management assessments of the effectiveness of our internal control over financial reporting. However, our auditors will not be required to formally attest to the effectiveness of our internal control over financial reporting pursuant to SOX Section 404 until we are no longer an emerging growth company if we continue to take advantage of the exemptions available to us through the JOBS Act.</w:t>
      </w:r>
    </w:p>
    <w:p>
      <w:pPr>
        <w:spacing w:after="0" w:line="204"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p>
    <w:p>
      <w:pPr>
        <w:spacing w:after="0" w:line="204" w:lineRule="exact"/>
        <w:rPr>
          <w:sz w:val="20"/>
          <w:szCs w:val="20"/>
          <w:color w:val="auto"/>
        </w:rPr>
      </w:pPr>
    </w:p>
    <w:p>
      <w:pPr>
        <w:ind w:left="180" w:right="160" w:firstLine="465"/>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will have broad discretion in the use of the net proceeds from this offering and may not use them effectively.</w:t>
      </w:r>
    </w:p>
    <w:p>
      <w:pPr>
        <w:spacing w:after="0" w:line="124" w:lineRule="exact"/>
        <w:rPr>
          <w:sz w:val="20"/>
          <w:szCs w:val="20"/>
          <w:color w:val="auto"/>
        </w:rPr>
      </w:pPr>
    </w:p>
    <w:p>
      <w:pPr>
        <w:ind w:left="180" w:right="220" w:firstLine="465"/>
        <w:spacing w:after="0" w:line="294" w:lineRule="auto"/>
        <w:rPr>
          <w:sz w:val="20"/>
          <w:szCs w:val="20"/>
          <w:color w:val="auto"/>
        </w:rPr>
      </w:pPr>
      <w:r>
        <w:rPr>
          <w:rFonts w:ascii="Arial" w:cs="Arial" w:eastAsia="Arial" w:hAnsi="Arial"/>
          <w:sz w:val="17"/>
          <w:szCs w:val="17"/>
          <w:color w:val="auto"/>
        </w:rPr>
        <w:t>We cannot specify with certainty the particular uses of the net proceeds we will receive from this offering. Our management will have broad discretion in the application of the net proceeds, including for any of the purposes described in the section titled “Use of Proceeds.” Our management may spend a portion or all of the net proceeds from this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this offering in a manner that does not produce income or that loses value.</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We do not expect to pay any dividends for the foreseeable future. Investors in this offering may never obtain a return on their investment.</w:t>
      </w:r>
    </w:p>
    <w:p>
      <w:pPr>
        <w:spacing w:after="0" w:line="147" w:lineRule="exact"/>
        <w:rPr>
          <w:sz w:val="20"/>
          <w:szCs w:val="20"/>
          <w:color w:val="auto"/>
        </w:rPr>
      </w:pPr>
    </w:p>
    <w:p>
      <w:pPr>
        <w:ind w:left="180" w:right="280" w:firstLine="465"/>
        <w:spacing w:after="0" w:line="308"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w:t>
      </w:r>
    </w:p>
    <w:p>
      <w:pPr>
        <w:spacing w:after="0" w:line="8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59</w:t>
      </w:r>
    </w:p>
    <w:p>
      <w:pPr>
        <w:sectPr>
          <w:pgSz w:w="12240" w:h="15840" w:orient="portrait"/>
          <w:cols w:equalWidth="0" w:num="1">
            <w:col w:w="11800"/>
          </w:cols>
          <w:pgMar w:left="120" w:top="336" w:right="320" w:bottom="1440" w:gutter="0" w:footer="0" w:header="0"/>
        </w:sectPr>
      </w:pPr>
    </w:p>
    <w:bookmarkStart w:id="67" w:name="page68"/>
    <w:bookmarkEnd w:id="6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60"/>
        <w:spacing w:after="0" w:line="275" w:lineRule="auto"/>
        <w:rPr>
          <w:sz w:val="20"/>
          <w:szCs w:val="20"/>
          <w:color w:val="auto"/>
        </w:rPr>
      </w:pPr>
      <w:r>
        <w:rPr>
          <w:rFonts w:ascii="Arial" w:cs="Arial" w:eastAsia="Arial" w:hAnsi="Arial"/>
          <w:sz w:val="19"/>
          <w:szCs w:val="19"/>
          <w:color w:val="auto"/>
        </w:rPr>
        <w:t>stock.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298" w:lineRule="exact"/>
        <w:rPr>
          <w:sz w:val="20"/>
          <w:szCs w:val="20"/>
          <w:color w:val="auto"/>
        </w:rPr>
      </w:pPr>
    </w:p>
    <w:p>
      <w:pPr>
        <w:jc w:val="both"/>
        <w:ind w:left="180" w:right="40"/>
        <w:spacing w:after="0" w:line="263" w:lineRule="auto"/>
        <w:rPr>
          <w:sz w:val="20"/>
          <w:szCs w:val="20"/>
          <w:color w:val="auto"/>
        </w:rPr>
      </w:pPr>
      <w:r>
        <w:rPr>
          <w:rFonts w:ascii="Arial" w:cs="Arial" w:eastAsia="Arial" w:hAnsi="Arial"/>
          <w:sz w:val="19"/>
          <w:szCs w:val="19"/>
          <w:b w:val="1"/>
          <w:bCs w:val="1"/>
          <w:i w:val="1"/>
          <w:iCs w:val="1"/>
          <w:color w:val="auto"/>
        </w:rPr>
        <w:t>Delaware law and provisions in our amended and restated certificate of incorporation and bylaws that will become effective upon the closing of this offering might discourage, delay, or prevent a change in control of our company or changes in our management and, therefore, depress the trading price of our common stock.</w:t>
      </w:r>
    </w:p>
    <w:p>
      <w:pPr>
        <w:spacing w:after="0" w:line="80"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color w:val="auto"/>
        </w:rPr>
        <w:t>Provisions in our amended and restated certificate of incorporation and bylaws that will become effective upon the closing of this offering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will:</w:t>
      </w:r>
    </w:p>
    <w:p>
      <w:pPr>
        <w:spacing w:after="0" w:line="104" w:lineRule="exact"/>
        <w:rPr>
          <w:sz w:val="20"/>
          <w:szCs w:val="20"/>
          <w:color w:val="auto"/>
        </w:rPr>
      </w:pPr>
    </w:p>
    <w:p>
      <w:pPr>
        <w:ind w:left="1100" w:right="40" w:hanging="350"/>
        <w:spacing w:after="0" w:line="275" w:lineRule="auto"/>
        <w:tabs>
          <w:tab w:leader="none" w:pos="11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establish that our board of directors is divided into three classes, Class I, Class II, and Class III, with each class serving staggered three year terms;</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61" w:lineRule="exact"/>
        <w:rPr>
          <w:rFonts w:ascii="Arial" w:cs="Arial" w:eastAsia="Arial" w:hAnsi="Arial"/>
          <w:sz w:val="17"/>
          <w:szCs w:val="17"/>
          <w:color w:val="auto"/>
        </w:rPr>
      </w:pPr>
    </w:p>
    <w:p>
      <w:pPr>
        <w:ind w:left="1100" w:hanging="350"/>
        <w:spacing w:after="0"/>
        <w:tabs>
          <w:tab w:leader="none" w:pos="11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provide that our directors may only be removed for cause;</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eliminate cumulative voting in the election of directors;</w:t>
      </w:r>
    </w:p>
    <w:p>
      <w:pPr>
        <w:spacing w:after="0" w:line="138" w:lineRule="exact"/>
        <w:rPr>
          <w:rFonts w:ascii="Arial" w:cs="Arial" w:eastAsia="Arial" w:hAnsi="Arial"/>
          <w:sz w:val="19"/>
          <w:szCs w:val="19"/>
          <w:color w:val="auto"/>
        </w:rPr>
      </w:pPr>
    </w:p>
    <w:p>
      <w:pPr>
        <w:ind w:left="1100" w:right="580" w:hanging="350"/>
        <w:spacing w:after="0" w:line="275" w:lineRule="auto"/>
        <w:tabs>
          <w:tab w:leader="none" w:pos="11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authorize our board of directors to issues shares of preferred stock and determine the price and other terms of those shares, including preferences and voting rights, without stockholder approval;</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provide our board of directors with the exclusive right to elect a director to fill a vacancy or newly created directorship;</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permit stockholders to only take actions at a duly called annual or special meeting and not by written consent;</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prohibit stockholders from calling a special meeting of stockholders;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149" w:lineRule="exact"/>
        <w:rPr>
          <w:rFonts w:ascii="Arial" w:cs="Arial" w:eastAsia="Arial" w:hAnsi="Arial"/>
          <w:sz w:val="18"/>
          <w:szCs w:val="18"/>
          <w:color w:val="auto"/>
        </w:rPr>
      </w:pPr>
    </w:p>
    <w:p>
      <w:pPr>
        <w:ind w:left="1100" w:hanging="350"/>
        <w:spacing w:after="0"/>
        <w:tabs>
          <w:tab w:leader="none" w:pos="11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authorize our board of directors, by a majority vote, to amend the bylaws; and</w:t>
      </w:r>
    </w:p>
    <w:p>
      <w:pPr>
        <w:spacing w:after="0" w:line="138" w:lineRule="exact"/>
        <w:rPr>
          <w:rFonts w:ascii="Arial" w:cs="Arial" w:eastAsia="Arial" w:hAnsi="Arial"/>
          <w:sz w:val="19"/>
          <w:szCs w:val="19"/>
          <w:color w:val="auto"/>
        </w:rPr>
      </w:pPr>
    </w:p>
    <w:p>
      <w:pPr>
        <w:ind w:left="1100" w:right="620" w:hanging="350"/>
        <w:spacing w:after="0" w:line="275" w:lineRule="auto"/>
        <w:tabs>
          <w:tab w:leader="none" w:pos="11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require the affirmative vote of at least 66 2/3% or more of the outstanding shares of common stock to amend many of the provisions described above.</w:t>
      </w:r>
    </w:p>
    <w:p>
      <w:pPr>
        <w:spacing w:after="0" w:line="184" w:lineRule="exact"/>
        <w:rPr>
          <w:sz w:val="20"/>
          <w:szCs w:val="20"/>
          <w:color w:val="auto"/>
        </w:rPr>
      </w:pPr>
    </w:p>
    <w:p>
      <w:pPr>
        <w:ind w:left="180" w:right="140" w:firstLine="465"/>
        <w:spacing w:after="0" w:line="259" w:lineRule="auto"/>
        <w:rPr>
          <w:sz w:val="20"/>
          <w:szCs w:val="20"/>
          <w:color w:val="auto"/>
        </w:rPr>
      </w:pPr>
      <w:r>
        <w:rPr>
          <w:rFonts w:ascii="Arial" w:cs="Arial" w:eastAsia="Arial" w:hAnsi="Arial"/>
          <w:sz w:val="19"/>
          <w:szCs w:val="19"/>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98"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60</w:t>
      </w:r>
    </w:p>
    <w:p>
      <w:pPr>
        <w:sectPr>
          <w:pgSz w:w="12240" w:h="15840" w:orient="portrait"/>
          <w:cols w:equalWidth="0" w:num="1">
            <w:col w:w="11760"/>
          </w:cols>
          <w:pgMar w:left="120" w:top="336" w:right="360" w:bottom="1440" w:gutter="0" w:footer="0" w:header="0"/>
        </w:sectPr>
      </w:pPr>
    </w:p>
    <w:bookmarkStart w:id="68" w:name="page69"/>
    <w:bookmarkEnd w:id="6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60"/>
        <w:spacing w:after="0" w:line="284" w:lineRule="auto"/>
        <w:rPr>
          <w:sz w:val="20"/>
          <w:szCs w:val="20"/>
          <w:color w:val="auto"/>
        </w:rPr>
      </w:pPr>
      <w:r>
        <w:rPr>
          <w:rFonts w:ascii="Arial" w:cs="Arial" w:eastAsia="Arial" w:hAnsi="Arial"/>
          <w:sz w:val="18"/>
          <w:szCs w:val="18"/>
          <w:b w:val="1"/>
          <w:bCs w:val="1"/>
          <w:i w:val="1"/>
          <w:iCs w:val="1"/>
          <w:color w:val="auto"/>
        </w:rPr>
        <w:t>Our amended and restated bylaws that will become effective upon the closing of this offering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4" w:lineRule="exact"/>
        <w:rPr>
          <w:sz w:val="20"/>
          <w:szCs w:val="20"/>
          <w:color w:val="auto"/>
        </w:rPr>
      </w:pPr>
    </w:p>
    <w:p>
      <w:pPr>
        <w:jc w:val="both"/>
        <w:ind w:left="180" w:firstLine="465"/>
        <w:spacing w:after="0" w:line="285" w:lineRule="auto"/>
        <w:rPr>
          <w:sz w:val="20"/>
          <w:szCs w:val="20"/>
          <w:color w:val="auto"/>
        </w:rPr>
      </w:pPr>
      <w:r>
        <w:rPr>
          <w:rFonts w:ascii="Arial" w:cs="Arial" w:eastAsia="Arial" w:hAnsi="Arial"/>
          <w:sz w:val="17"/>
          <w:szCs w:val="17"/>
          <w:color w:val="auto"/>
        </w:rPr>
        <w:t>Our amended and restated bylaws that will become effective upon the closing of this offering provide that, unless we consent to the selection of an alternative forum, the Court of Chancery of the State of Delaware is the exclusive forum for (i) any derivative action or proceeding brought on behalf of us, (ii) any action asserting a claim of breach of a fiduciary duty owed by any of our directors, officers, or other employees to us or our stockholders,</w:t>
      </w:r>
    </w:p>
    <w:p>
      <w:pPr>
        <w:spacing w:after="0" w:line="1" w:lineRule="exact"/>
        <w:rPr>
          <w:sz w:val="20"/>
          <w:szCs w:val="20"/>
          <w:color w:val="auto"/>
        </w:rPr>
      </w:pPr>
    </w:p>
    <w:p>
      <w:pPr>
        <w:ind w:left="180" w:hanging="1"/>
        <w:spacing w:after="0" w:line="280" w:lineRule="auto"/>
        <w:tabs>
          <w:tab w:leader="none" w:pos="513"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action arising pursuant to any provision of the DGCL or our certificate of incorporation or bylaws (as either may be amended from time to time), or (iv) any action asserting a claim governed by the internal affairs doctrine, except, in each case, (A) any claim as to which such court determines that there is an indispensable party not subject to the jurisdiction of such court (and the indispensable party does not consent to the personal jurisdiction of such court within 10 days following such determination), (B) which is vested in the exclusive jurisdiction of a court or forum other than such court, or</w:t>
      </w:r>
    </w:p>
    <w:p>
      <w:pPr>
        <w:ind w:left="180"/>
        <w:spacing w:after="0"/>
        <w:rPr>
          <w:rFonts w:ascii="Arial" w:cs="Arial" w:eastAsia="Arial" w:hAnsi="Arial"/>
          <w:sz w:val="17"/>
          <w:szCs w:val="17"/>
          <w:color w:val="auto"/>
        </w:rPr>
      </w:pPr>
      <w:r>
        <w:rPr>
          <w:rFonts w:ascii="Arial" w:cs="Arial" w:eastAsia="Arial" w:hAnsi="Arial"/>
          <w:sz w:val="19"/>
          <w:szCs w:val="19"/>
          <w:color w:val="auto"/>
        </w:rPr>
        <w:t>(C) for which such court does not have subject matter jurisdiction.</w:t>
      </w:r>
    </w:p>
    <w:p>
      <w:pPr>
        <w:spacing w:after="0" w:line="225"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These exclusive-forum provisions may limit a stockholder’s ability to bring a claim in a judicial forum that it finds favorable for disputes with us or our directors, employees, control persons, underwriters, or agents, which may discourage lawsuits against us and our directors, employees, control persons, underwriters, or agents. Additionally, a court could determine that the exclusive forum provision is unenforceable, and our stockholders will not be deemed to have waived our compliance with the federal securities laws and the rules and regulations thereunder. If a court were to find these provisions of our amended and restated bylaws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61</w:t>
      </w:r>
    </w:p>
    <w:p>
      <w:pPr>
        <w:sectPr>
          <w:pgSz w:w="12240" w:h="15840" w:orient="portrait"/>
          <w:cols w:equalWidth="0" w:num="1">
            <w:col w:w="11800"/>
          </w:cols>
          <w:pgMar w:left="120" w:top="336" w:right="320" w:bottom="1440" w:gutter="0" w:footer="0" w:header="0"/>
        </w:sectPr>
      </w:pPr>
    </w:p>
    <w:bookmarkStart w:id="69" w:name="page70"/>
    <w:bookmarkEnd w:id="6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auto"/>
        </w:rPr>
        <w:t>SPECIAL NOTE REGARDING FORWARD-LOOKING STATEMENTS</w:t>
      </w:r>
    </w:p>
    <w:p>
      <w:pPr>
        <w:spacing w:after="0" w:line="244"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This prospectus contains forward-looking statements. All statements other than statements of historical facts contained in this prospectus,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75" w:lineRule="exact"/>
        <w:rPr>
          <w:sz w:val="20"/>
          <w:szCs w:val="20"/>
          <w:color w:val="auto"/>
        </w:rPr>
      </w:pPr>
    </w:p>
    <w:p>
      <w:pPr>
        <w:ind w:left="180" w:right="80" w:firstLine="465"/>
        <w:spacing w:after="0" w:line="284"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prospectus include, but are not limited to, statements about:</w:t>
      </w:r>
    </w:p>
    <w:p>
      <w:pPr>
        <w:spacing w:after="0" w:line="78" w:lineRule="exact"/>
        <w:rPr>
          <w:sz w:val="20"/>
          <w:szCs w:val="20"/>
          <w:color w:val="auto"/>
        </w:rPr>
      </w:pPr>
    </w:p>
    <w:p>
      <w:pPr>
        <w:ind w:left="1100" w:hanging="350"/>
        <w:spacing w:after="0"/>
        <w:tabs>
          <w:tab w:leader="none" w:pos="11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ability of our clinical trials to demonstrate safety and efficacy of our product candidates, and other positive results;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timing and focus of our future clinical trials, and the reporting of data from those trials;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 including the geographic areas of focus and sales strategy;</w:t>
      </w:r>
    </w:p>
    <w:p>
      <w:pPr>
        <w:spacing w:after="0" w:line="149" w:lineRule="exact"/>
        <w:rPr>
          <w:rFonts w:ascii="Arial" w:cs="Arial" w:eastAsia="Arial" w:hAnsi="Arial"/>
          <w:sz w:val="18"/>
          <w:szCs w:val="18"/>
          <w:color w:val="auto"/>
        </w:rPr>
      </w:pPr>
    </w:p>
    <w:p>
      <w:pPr>
        <w:ind w:left="1100" w:right="600" w:hanging="350"/>
        <w:spacing w:after="0" w:line="275" w:lineRule="auto"/>
        <w:tabs>
          <w:tab w:leader="none" w:pos="11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expected potential benefits of strategic collaborations with third parties and our ability to attract collaborators with development, regulatory and commercialization expertise;</w:t>
      </w:r>
    </w:p>
    <w:p>
      <w:pPr>
        <w:spacing w:after="0" w:line="84" w:lineRule="exact"/>
        <w:rPr>
          <w:rFonts w:ascii="Arial" w:cs="Arial" w:eastAsia="Arial" w:hAnsi="Arial"/>
          <w:sz w:val="19"/>
          <w:szCs w:val="19"/>
          <w:color w:val="auto"/>
        </w:rPr>
      </w:pPr>
    </w:p>
    <w:p>
      <w:pPr>
        <w:ind w:left="1100" w:right="260" w:hanging="350"/>
        <w:spacing w:after="0" w:line="275" w:lineRule="auto"/>
        <w:tabs>
          <w:tab w:leader="none" w:pos="11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our estimates of the number of patients in the United States who suffer from the diseases we are targeting and the number of patients that will enroll in our clinical trials;</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size of the market opportunity for our product candidates in each of the diseases we are targeting;</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our ability to expand our product candidates into additional indications and patient populations;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success of competing therapies that are or may become available;</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beneficial characteristics, safety, efficacy, and therapeutic effects of our product candidates;</w:t>
      </w:r>
    </w:p>
    <w:p>
      <w:pPr>
        <w:spacing w:after="0" w:line="138" w:lineRule="exact"/>
        <w:rPr>
          <w:rFonts w:ascii="Arial" w:cs="Arial" w:eastAsia="Arial" w:hAnsi="Arial"/>
          <w:sz w:val="19"/>
          <w:szCs w:val="19"/>
          <w:color w:val="auto"/>
        </w:rPr>
      </w:pPr>
    </w:p>
    <w:p>
      <w:pPr>
        <w:ind w:left="1100" w:right="380" w:hanging="350"/>
        <w:spacing w:after="0" w:line="275" w:lineRule="auto"/>
        <w:tabs>
          <w:tab w:leader="none" w:pos="11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timing or likelihood of regulatory filings and approvals, including our expectation to seek special designations, such as orphan drug designation, for our product candidates for various diseases;</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our ability to obtain and maintain regulatory approval of our product candidates;</w:t>
      </w:r>
    </w:p>
    <w:p>
      <w:pPr>
        <w:spacing w:after="0" w:line="138" w:lineRule="exact"/>
        <w:rPr>
          <w:rFonts w:ascii="Arial" w:cs="Arial" w:eastAsia="Arial" w:hAnsi="Arial"/>
          <w:sz w:val="19"/>
          <w:szCs w:val="19"/>
          <w:color w:val="auto"/>
        </w:rPr>
      </w:pPr>
    </w:p>
    <w:p>
      <w:pPr>
        <w:ind w:left="1100" w:right="260" w:hanging="350"/>
        <w:spacing w:after="0" w:line="275" w:lineRule="auto"/>
        <w:tabs>
          <w:tab w:leader="none" w:pos="11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our plans relating to the further development and manufacturing of our product candidates, including additional indications for which we may pursue;</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existing regulations and regulatory developments in the United States and other jurisdictions;</w:t>
      </w:r>
    </w:p>
    <w:p>
      <w:pPr>
        <w:spacing w:after="0" w:line="138" w:lineRule="exact"/>
        <w:rPr>
          <w:rFonts w:ascii="Arial" w:cs="Arial" w:eastAsia="Arial" w:hAnsi="Arial"/>
          <w:sz w:val="19"/>
          <w:szCs w:val="19"/>
          <w:color w:val="auto"/>
        </w:rPr>
      </w:pPr>
    </w:p>
    <w:p>
      <w:pPr>
        <w:ind w:left="1100" w:right="40" w:hanging="350"/>
        <w:spacing w:after="0" w:line="275" w:lineRule="auto"/>
        <w:tabs>
          <w:tab w:leader="none" w:pos="11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our continued reliance on third parties to conduct additional clinical trials of our product candidates, and for the manufacture of our product candidates for preclinical studies and clinical trials;</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149" w:lineRule="exact"/>
        <w:rPr>
          <w:rFonts w:ascii="Arial" w:cs="Arial" w:eastAsia="Arial" w:hAnsi="Arial"/>
          <w:sz w:val="18"/>
          <w:szCs w:val="18"/>
          <w:color w:val="auto"/>
        </w:rPr>
      </w:pPr>
    </w:p>
    <w:p>
      <w:pPr>
        <w:ind w:left="1100" w:hanging="350"/>
        <w:spacing w:after="0"/>
        <w:tabs>
          <w:tab w:leader="none" w:pos="11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need to hire additional personnel and our ability to attract and retain such personnel;</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accuracy of our estimates regarding expenses, future revenue, capital requirements, and needs for additional financing;</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our financial performance;</w:t>
      </w:r>
    </w:p>
    <w:p>
      <w:pPr>
        <w:spacing w:after="0" w:line="167"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62</w:t>
      </w:r>
    </w:p>
    <w:p>
      <w:pPr>
        <w:sectPr>
          <w:pgSz w:w="12240" w:h="15840" w:orient="portrait"/>
          <w:cols w:equalWidth="0" w:num="1">
            <w:col w:w="11760"/>
          </w:cols>
          <w:pgMar w:left="120" w:top="336" w:right="360" w:bottom="1440" w:gutter="0" w:footer="0" w:header="0"/>
        </w:sectPr>
      </w:pPr>
    </w:p>
    <w:bookmarkStart w:id="70" w:name="page71"/>
    <w:bookmarkEnd w:id="7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hanging="350"/>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sufficiency of our existing cash and cash equivalents to fund our future operating expenses and capital expenditure requirements;</w:t>
      </w:r>
    </w:p>
    <w:p>
      <w:pPr>
        <w:spacing w:after="0" w:line="149" w:lineRule="exact"/>
        <w:rPr>
          <w:rFonts w:ascii="Arial" w:cs="Arial" w:eastAsia="Arial" w:hAnsi="Arial"/>
          <w:sz w:val="18"/>
          <w:szCs w:val="18"/>
          <w:color w:val="auto"/>
        </w:rPr>
      </w:pPr>
    </w:p>
    <w:p>
      <w:pPr>
        <w:ind w:left="1100" w:hanging="350"/>
        <w:spacing w:after="0"/>
        <w:tabs>
          <w:tab w:leader="none" w:pos="11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our expectations regarding the period during which we will qualify as an emerging growth company under the JOBS Act; and</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our anticipated use of our existing resources and the proceeds from this offering.</w:t>
      </w:r>
    </w:p>
    <w:p>
      <w:pPr>
        <w:spacing w:after="0" w:line="238"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94" w:lineRule="exact"/>
        <w:rPr>
          <w:sz w:val="20"/>
          <w:szCs w:val="20"/>
          <w:color w:val="auto"/>
        </w:rPr>
      </w:pPr>
    </w:p>
    <w:p>
      <w:pPr>
        <w:ind w:left="180" w:right="100" w:firstLine="465"/>
        <w:spacing w:after="0" w:line="256" w:lineRule="auto"/>
        <w:rPr>
          <w:sz w:val="20"/>
          <w:szCs w:val="20"/>
          <w:color w:val="auto"/>
        </w:rPr>
      </w:pPr>
      <w:r>
        <w:rPr>
          <w:rFonts w:ascii="Arial" w:cs="Arial" w:eastAsia="Arial" w:hAnsi="Arial"/>
          <w:sz w:val="19"/>
          <w:szCs w:val="19"/>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32"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63</w:t>
      </w:r>
    </w:p>
    <w:p>
      <w:pPr>
        <w:sectPr>
          <w:pgSz w:w="12240" w:h="15840" w:orient="portrait"/>
          <w:cols w:equalWidth="0" w:num="1">
            <w:col w:w="11720"/>
          </w:cols>
          <w:pgMar w:left="120" w:top="336" w:right="400" w:bottom="1440" w:gutter="0" w:footer="0" w:header="0"/>
        </w:sectPr>
      </w:pPr>
    </w:p>
    <w:bookmarkStart w:id="71" w:name="page72"/>
    <w:bookmarkEnd w:id="7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MARKET, INDUSTRY, AND OTHER DATA</w:t>
      </w:r>
    </w:p>
    <w:p>
      <w:pPr>
        <w:spacing w:after="0" w:line="244" w:lineRule="exact"/>
        <w:rPr>
          <w:sz w:val="20"/>
          <w:szCs w:val="20"/>
          <w:color w:val="auto"/>
        </w:rPr>
      </w:pPr>
    </w:p>
    <w:p>
      <w:pPr>
        <w:ind w:left="180" w:right="160" w:firstLine="465"/>
        <w:spacing w:after="0" w:line="268" w:lineRule="auto"/>
        <w:rPr>
          <w:sz w:val="20"/>
          <w:szCs w:val="20"/>
          <w:color w:val="auto"/>
        </w:rPr>
      </w:pPr>
      <w:r>
        <w:rPr>
          <w:rFonts w:ascii="Arial" w:cs="Arial" w:eastAsia="Arial" w:hAnsi="Arial"/>
          <w:sz w:val="18"/>
          <w:szCs w:val="18"/>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dataset forth in this prospectus from our internal estimates and research and from academic and industry research, publications, surveys, and studies conducted by third parties, including governmental agencies.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w:t>
      </w:r>
    </w:p>
    <w:p>
      <w:pPr>
        <w:spacing w:after="0" w:line="196" w:lineRule="exact"/>
        <w:rPr>
          <w:sz w:val="20"/>
          <w:szCs w:val="20"/>
          <w:color w:val="auto"/>
        </w:rPr>
      </w:pPr>
    </w:p>
    <w:p>
      <w:pPr>
        <w:ind w:left="180" w:right="180" w:firstLine="465"/>
        <w:spacing w:after="0" w:line="263" w:lineRule="auto"/>
        <w:rPr>
          <w:sz w:val="20"/>
          <w:szCs w:val="20"/>
          <w:color w:val="auto"/>
        </w:rPr>
      </w:pPr>
      <w:r>
        <w:rPr>
          <w:rFonts w:ascii="Arial" w:cs="Arial" w:eastAsia="Arial" w:hAnsi="Arial"/>
          <w:sz w:val="19"/>
          <w:szCs w:val="19"/>
          <w:color w:val="auto"/>
        </w:rPr>
        <w:t>In some cases, we do not expressly refer to the sources from which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sources of industry and market data contained in this prospectus are listed below:</w:t>
      </w:r>
    </w:p>
    <w:p>
      <w:pPr>
        <w:spacing w:after="0" w:line="138" w:lineRule="exact"/>
        <w:rPr>
          <w:sz w:val="20"/>
          <w:szCs w:val="20"/>
          <w:color w:val="auto"/>
        </w:rPr>
      </w:pPr>
    </w:p>
    <w:p>
      <w:pPr>
        <w:ind w:left="1100" w:hanging="464"/>
        <w:spacing w:after="0"/>
        <w:tabs>
          <w:tab w:leader="none" w:pos="110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Alzheimer’s Association. “2018 Alzheimer’s Disease Facts and Figures.”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Alzheimer’s Association. “Costs of Alzheimer’s to Medicare and Medicaid.”</w:t>
      </w:r>
    </w:p>
    <w:p>
      <w:pPr>
        <w:spacing w:after="0" w:line="138" w:lineRule="exact"/>
        <w:rPr>
          <w:rFonts w:ascii="Arial" w:cs="Arial" w:eastAsia="Arial" w:hAnsi="Arial"/>
          <w:sz w:val="19"/>
          <w:szCs w:val="19"/>
          <w:color w:val="auto"/>
        </w:rPr>
      </w:pPr>
    </w:p>
    <w:p>
      <w:pPr>
        <w:ind w:left="1100" w:right="60" w:hanging="464"/>
        <w:spacing w:after="0" w:line="336" w:lineRule="auto"/>
        <w:tabs>
          <w:tab w:leader="none" w:pos="11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Boeve, B., Baker, M., Dickson, D., Parisi, J., Giannini, C., et al. “Frontotemporal dementia and parkinsonism associated with the IVS1+1G-&gt;A mutation in progranulin: a clinicopathologic study.” </w:t>
      </w:r>
      <w:r>
        <w:rPr>
          <w:rFonts w:ascii="Arial" w:cs="Arial" w:eastAsia="Arial" w:hAnsi="Arial"/>
          <w:sz w:val="17"/>
          <w:szCs w:val="17"/>
          <w:i w:val="1"/>
          <w:iCs w:val="1"/>
          <w:color w:val="auto"/>
        </w:rPr>
        <w:t>Brain: a Journal of Neurology</w:t>
      </w:r>
      <w:r>
        <w:rPr>
          <w:rFonts w:ascii="Arial" w:cs="Arial" w:eastAsia="Arial" w:hAnsi="Arial"/>
          <w:sz w:val="17"/>
          <w:szCs w:val="17"/>
          <w:color w:val="auto"/>
        </w:rPr>
        <w:t>. Volume 129, Issue 11, November 2006.</w:t>
      </w:r>
    </w:p>
    <w:p>
      <w:pPr>
        <w:spacing w:after="0" w:line="37" w:lineRule="exact"/>
        <w:rPr>
          <w:rFonts w:ascii="Arial" w:cs="Arial" w:eastAsia="Arial" w:hAnsi="Arial"/>
          <w:sz w:val="17"/>
          <w:szCs w:val="17"/>
          <w:color w:val="auto"/>
        </w:rPr>
      </w:pPr>
    </w:p>
    <w:p>
      <w:pPr>
        <w:ind w:left="1100" w:hanging="464"/>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Hansen, D., Hanson, J., Sheng, M. “Microglia in Alzheimer’s disease.” </w:t>
      </w:r>
      <w:r>
        <w:rPr>
          <w:rFonts w:ascii="Arial" w:cs="Arial" w:eastAsia="Arial" w:hAnsi="Arial"/>
          <w:sz w:val="18"/>
          <w:szCs w:val="18"/>
          <w:i w:val="1"/>
          <w:iCs w:val="1"/>
          <w:color w:val="auto"/>
        </w:rPr>
        <w:t>Journal of Cell Biology</w:t>
      </w:r>
      <w:r>
        <w:rPr>
          <w:rFonts w:ascii="Arial" w:cs="Arial" w:eastAsia="Arial" w:hAnsi="Arial"/>
          <w:sz w:val="18"/>
          <w:szCs w:val="18"/>
          <w:color w:val="auto"/>
        </w:rPr>
        <w:t>. Volume 217, Number 2, February 2018.</w:t>
      </w:r>
    </w:p>
    <w:p>
      <w:pPr>
        <w:spacing w:after="0" w:line="149" w:lineRule="exact"/>
        <w:rPr>
          <w:rFonts w:ascii="Arial" w:cs="Arial" w:eastAsia="Arial" w:hAnsi="Arial"/>
          <w:sz w:val="18"/>
          <w:szCs w:val="18"/>
          <w:color w:val="auto"/>
        </w:rPr>
      </w:pPr>
    </w:p>
    <w:p>
      <w:pPr>
        <w:ind w:left="1100" w:right="200" w:hanging="464"/>
        <w:spacing w:after="0" w:line="275" w:lineRule="auto"/>
        <w:tabs>
          <w:tab w:leader="none" w:pos="1100"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Kao, A., McKay, A., Singh, P., Brunet, A., Huang, E. “Progranulin, lysosomal regulation and neurodegenerative disease.” </w:t>
      </w:r>
      <w:r>
        <w:rPr>
          <w:rFonts w:ascii="Arial" w:cs="Arial" w:eastAsia="Arial" w:hAnsi="Arial"/>
          <w:sz w:val="19"/>
          <w:szCs w:val="19"/>
          <w:i w:val="1"/>
          <w:iCs w:val="1"/>
          <w:color w:val="auto"/>
        </w:rPr>
        <w:t>Nature Reviews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Neuroscience. </w:t>
      </w:r>
      <w:r>
        <w:rPr>
          <w:rFonts w:ascii="Arial" w:cs="Arial" w:eastAsia="Arial" w:hAnsi="Arial"/>
          <w:sz w:val="19"/>
          <w:szCs w:val="19"/>
          <w:color w:val="auto"/>
        </w:rPr>
        <w:t>Volume 18, Number 6, June 2017.</w:t>
      </w:r>
    </w:p>
    <w:p>
      <w:pPr>
        <w:spacing w:after="0" w:line="84" w:lineRule="exact"/>
        <w:rPr>
          <w:rFonts w:ascii="Arial" w:cs="Arial" w:eastAsia="Arial" w:hAnsi="Arial"/>
          <w:sz w:val="19"/>
          <w:szCs w:val="19"/>
          <w:color w:val="auto"/>
        </w:rPr>
      </w:pPr>
    </w:p>
    <w:p>
      <w:pPr>
        <w:ind w:left="1100" w:hanging="464"/>
        <w:spacing w:after="0"/>
        <w:tabs>
          <w:tab w:leader="none" w:pos="110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Parkinson’s Disease Foundation. “Statistics.”</w:t>
      </w:r>
    </w:p>
    <w:p>
      <w:pPr>
        <w:spacing w:after="0" w:line="138" w:lineRule="exact"/>
        <w:rPr>
          <w:rFonts w:ascii="Arial" w:cs="Arial" w:eastAsia="Arial" w:hAnsi="Arial"/>
          <w:sz w:val="19"/>
          <w:szCs w:val="19"/>
          <w:color w:val="auto"/>
        </w:rPr>
      </w:pPr>
    </w:p>
    <w:p>
      <w:pPr>
        <w:ind w:left="1100" w:hanging="464"/>
        <w:spacing w:after="0" w:line="263" w:lineRule="auto"/>
        <w:tabs>
          <w:tab w:leader="none" w:pos="1100"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Sha, S., Miller, Z., Min, S., Zhou, Y., Brown, J., et al. “An 8-week, open-label, dose-finding study of nimodipine for the treatment of progranulin insufficiency from GRN gene mutations.” </w:t>
      </w:r>
      <w:r>
        <w:rPr>
          <w:rFonts w:ascii="Arial" w:cs="Arial" w:eastAsia="Arial" w:hAnsi="Arial"/>
          <w:sz w:val="19"/>
          <w:szCs w:val="19"/>
          <w:i w:val="1"/>
          <w:iCs w:val="1"/>
          <w:color w:val="auto"/>
        </w:rPr>
        <w:t>Alzheimer’s &amp; Dementia: Translational Research &amp; Clinical Interventions</w:t>
      </w:r>
      <w:r>
        <w:rPr>
          <w:rFonts w:ascii="Arial" w:cs="Arial" w:eastAsia="Arial" w:hAnsi="Arial"/>
          <w:sz w:val="19"/>
          <w:szCs w:val="19"/>
          <w:color w:val="auto"/>
        </w:rPr>
        <w:t>. Volume 3, Issue 4, November 2017.</w:t>
      </w:r>
    </w:p>
    <w:p>
      <w:pPr>
        <w:spacing w:after="0" w:line="94" w:lineRule="exact"/>
        <w:rPr>
          <w:rFonts w:ascii="Arial" w:cs="Arial" w:eastAsia="Arial" w:hAnsi="Arial"/>
          <w:sz w:val="19"/>
          <w:szCs w:val="19"/>
          <w:color w:val="auto"/>
        </w:rPr>
      </w:pPr>
    </w:p>
    <w:p>
      <w:pPr>
        <w:ind w:left="1100" w:hanging="464"/>
        <w:spacing w:after="0"/>
        <w:tabs>
          <w:tab w:leader="none" w:pos="1100"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World Health Organization. “Neurological Disorders: Public Health Challenges.” </w:t>
      </w:r>
      <w:r>
        <w:rPr>
          <w:rFonts w:ascii="Arial" w:cs="Arial" w:eastAsia="Arial" w:hAnsi="Arial"/>
          <w:sz w:val="19"/>
          <w:szCs w:val="19"/>
          <w:i w:val="1"/>
          <w:iCs w:val="1"/>
          <w:color w:val="auto"/>
        </w:rPr>
        <w:t>World Health Organization Press</w:t>
      </w:r>
      <w:r>
        <w:rPr>
          <w:rFonts w:ascii="Arial" w:cs="Arial" w:eastAsia="Arial" w:hAnsi="Arial"/>
          <w:sz w:val="19"/>
          <w:szCs w:val="19"/>
          <w:color w:val="auto"/>
        </w:rPr>
        <w:t>. 2007.</w:t>
      </w:r>
    </w:p>
    <w:p>
      <w:pPr>
        <w:spacing w:after="0" w:line="167"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64</w:t>
      </w:r>
    </w:p>
    <w:p>
      <w:pPr>
        <w:sectPr>
          <w:pgSz w:w="12240" w:h="15840" w:orient="portrait"/>
          <w:cols w:equalWidth="0" w:num="1">
            <w:col w:w="11800"/>
          </w:cols>
          <w:pgMar w:left="120" w:top="336" w:right="320" w:bottom="1440" w:gutter="0" w:footer="0" w:header="0"/>
        </w:sectPr>
      </w:pPr>
    </w:p>
    <w:bookmarkStart w:id="72" w:name="page73"/>
    <w:bookmarkEnd w:id="7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USE OF PROCEEDS</w:t>
      </w:r>
    </w:p>
    <w:p>
      <w:pPr>
        <w:spacing w:after="0" w:line="244" w:lineRule="exact"/>
        <w:rPr>
          <w:sz w:val="20"/>
          <w:szCs w:val="20"/>
          <w:color w:val="auto"/>
        </w:rPr>
      </w:pPr>
    </w:p>
    <w:p>
      <w:pPr>
        <w:ind w:left="180" w:firstLine="465"/>
        <w:spacing w:after="0" w:line="277" w:lineRule="auto"/>
        <w:rPr>
          <w:sz w:val="20"/>
          <w:szCs w:val="20"/>
          <w:color w:val="auto"/>
        </w:rPr>
      </w:pPr>
      <w:r>
        <w:rPr>
          <w:rFonts w:ascii="Arial" w:cs="Arial" w:eastAsia="Arial" w:hAnsi="Arial"/>
          <w:sz w:val="18"/>
          <w:szCs w:val="18"/>
          <w:color w:val="auto"/>
        </w:rPr>
        <w:t>We estimate that the net proceeds to us from the sale of the shares of our common stock in this offering will be approximately $159.8 million, or approximately $184.4 million if the underwriters exercise their option to purchase additional shares in full, based upon an assumed initial public offering price of $19.00 per share, which is the midpoint of the estimated offering price range set forth on the cover page of this prospectus, and after deducting estimated underwriting discounts and commissions and estimated offering expenses payable by us.</w:t>
      </w:r>
    </w:p>
    <w:p>
      <w:pPr>
        <w:spacing w:after="0" w:line="185"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Each $1.00 increase (decrease) in the assumed initial public offering price of $19.00 per share would increase (decrease) the net proceeds to us from this offering by approximately $8.6 million, assuming the number of shares offered by us, as set forth on the cover page of this prospectus, remains the same, and after deducting estimated underwriting discounts and commissions and estimated offering expenses payable by us. Similarly, each increase (decrease) of 1,000,000 shares in the number of shares offered by us would increase (decrease) the net proceeds to us from this offering by approximately $17.7 million, assuming that the assumed initial public offering price remains the same, and after deducting the estimated underwriting discounts and commissions and estimated offering expenses payable by us. We do not expect that a change in the initial public offering price or the number of shares by these amounts would have a material effect on our uses of the proceeds from this offering, although it may accelerate the time at which we will need to seek additional capital.</w:t>
      </w:r>
    </w:p>
    <w:p>
      <w:pPr>
        <w:spacing w:after="0" w:line="204" w:lineRule="exact"/>
        <w:rPr>
          <w:sz w:val="20"/>
          <w:szCs w:val="20"/>
          <w:color w:val="auto"/>
        </w:rPr>
      </w:pPr>
    </w:p>
    <w:p>
      <w:pPr>
        <w:jc w:val="both"/>
        <w:ind w:left="180" w:right="200" w:firstLine="465"/>
        <w:spacing w:after="0" w:line="263" w:lineRule="auto"/>
        <w:rPr>
          <w:sz w:val="20"/>
          <w:szCs w:val="20"/>
          <w:color w:val="auto"/>
        </w:rPr>
      </w:pPr>
      <w:r>
        <w:rPr>
          <w:rFonts w:ascii="Arial" w:cs="Arial" w:eastAsia="Arial" w:hAnsi="Arial"/>
          <w:sz w:val="19"/>
          <w:szCs w:val="19"/>
          <w:color w:val="auto"/>
        </w:rPr>
        <w:t>The principal purposes of this offering are to obtain additional capital to support our operations, establish a public market for our common stock and facilitate our future access to the public capital markets. We currently anticipate that we will use the net proceeds from this offering, together with our existing resources, as follows:</w:t>
      </w:r>
    </w:p>
    <w:p>
      <w:pPr>
        <w:spacing w:after="0" w:line="95" w:lineRule="exact"/>
        <w:rPr>
          <w:sz w:val="20"/>
          <w:szCs w:val="20"/>
          <w:color w:val="auto"/>
        </w:rPr>
      </w:pPr>
    </w:p>
    <w:p>
      <w:pPr>
        <w:ind w:left="1100" w:hanging="350"/>
        <w:spacing w:after="0"/>
        <w:tabs>
          <w:tab w:leader="none" w:pos="11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approximately $50.0 million to fund Phase 1 trials for AL001 and AL002, as well as preparation for Phase 2 and 3 clinical trials for AL001;</w:t>
      </w:r>
    </w:p>
    <w:p>
      <w:pPr>
        <w:spacing w:after="0" w:line="161" w:lineRule="exact"/>
        <w:rPr>
          <w:rFonts w:ascii="Arial" w:cs="Arial" w:eastAsia="Arial" w:hAnsi="Arial"/>
          <w:sz w:val="17"/>
          <w:szCs w:val="17"/>
          <w:color w:val="auto"/>
        </w:rPr>
      </w:pPr>
    </w:p>
    <w:p>
      <w:pPr>
        <w:ind w:left="1100" w:hanging="350"/>
        <w:spacing w:after="0"/>
        <w:tabs>
          <w:tab w:leader="none" w:pos="11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approximately $25.0 million to advance AL003 and AL101 in and through Phase 1 clinical trials;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approximately $40.0 million to fund Phase 2 enabling activities for AL002 and AL003;</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approximately $25.0 million to continue to advance our preclinical development pipeline into Phase 1 clinical trials;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approximately $15.0 million to further develop our Discovery Platform; and</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remainder to fund working capital and other general corporate activities.</w:t>
      </w:r>
    </w:p>
    <w:p>
      <w:pPr>
        <w:spacing w:after="0" w:line="238" w:lineRule="exact"/>
        <w:rPr>
          <w:sz w:val="20"/>
          <w:szCs w:val="20"/>
          <w:color w:val="auto"/>
        </w:rPr>
      </w:pPr>
    </w:p>
    <w:p>
      <w:pPr>
        <w:ind w:left="180" w:right="180" w:firstLine="465"/>
        <w:spacing w:after="0" w:line="263" w:lineRule="auto"/>
        <w:rPr>
          <w:sz w:val="20"/>
          <w:szCs w:val="20"/>
          <w:color w:val="auto"/>
        </w:rPr>
      </w:pPr>
      <w:r>
        <w:rPr>
          <w:rFonts w:ascii="Arial" w:cs="Arial" w:eastAsia="Arial" w:hAnsi="Arial"/>
          <w:sz w:val="19"/>
          <w:szCs w:val="19"/>
          <w:color w:val="auto"/>
        </w:rPr>
        <w:t>We believe opportunities may exist from time to time to expand our current business through license or acquisitions of, or investments in, complementary businesses, products or technologies. While we currently have no agreements or commitments to complete any such transaction at this time, we may use a portion of the net proceeds for these purposes.</w:t>
      </w:r>
    </w:p>
    <w:p>
      <w:pPr>
        <w:spacing w:after="0" w:line="194" w:lineRule="exact"/>
        <w:rPr>
          <w:sz w:val="20"/>
          <w:szCs w:val="20"/>
          <w:color w:val="auto"/>
        </w:rPr>
      </w:pPr>
    </w:p>
    <w:p>
      <w:pPr>
        <w:ind w:left="180" w:right="20" w:firstLine="465"/>
        <w:spacing w:after="0" w:line="259" w:lineRule="auto"/>
        <w:rPr>
          <w:sz w:val="20"/>
          <w:szCs w:val="20"/>
          <w:color w:val="auto"/>
        </w:rPr>
      </w:pPr>
      <w:r>
        <w:rPr>
          <w:rFonts w:ascii="Arial" w:cs="Arial" w:eastAsia="Arial" w:hAnsi="Arial"/>
          <w:sz w:val="19"/>
          <w:szCs w:val="19"/>
          <w:color w:val="auto"/>
        </w:rPr>
        <w:t>The net proceeds from this offering, together with our cash, cash equivalents, and marketable securities, will not be sufficient for us to fund any of our product candidates through regulatory approval, our preclinical development pipeline through Phase 1 clinical trials, or any product candidates resulting from our Discovery Platform into preclinical studies and clinical trials. We will also need to raise additional capital to complete the development and commercialization of our products.</w:t>
      </w:r>
    </w:p>
    <w:p>
      <w:pPr>
        <w:spacing w:after="0" w:line="198" w:lineRule="exact"/>
        <w:rPr>
          <w:sz w:val="20"/>
          <w:szCs w:val="20"/>
          <w:color w:val="auto"/>
        </w:rPr>
      </w:pPr>
    </w:p>
    <w:p>
      <w:pPr>
        <w:ind w:left="180" w:right="140" w:firstLine="465"/>
        <w:spacing w:after="0" w:line="259" w:lineRule="auto"/>
        <w:rPr>
          <w:sz w:val="20"/>
          <w:szCs w:val="20"/>
          <w:color w:val="auto"/>
        </w:rPr>
      </w:pPr>
      <w:r>
        <w:rPr>
          <w:rFonts w:ascii="Arial" w:cs="Arial" w:eastAsia="Arial" w:hAnsi="Arial"/>
          <w:sz w:val="19"/>
          <w:szCs w:val="19"/>
          <w:color w:val="auto"/>
        </w:rPr>
        <w:t>Our management will have broad discretion over the use of the net proceeds from this offering. The amounts and timing of our expenditures will depend upon numerous factors including the results of our research and development efforts, the timing and success of preclinical studies and any ongoing clinical trials or clinical trials we may commence in the future, the timing of regulatory submissions, the amount of cash obtained through our existing collaborations and future collaborations, if any, and any unforeseen cash needs.</w:t>
      </w:r>
    </w:p>
    <w:p>
      <w:pPr>
        <w:spacing w:after="0" w:line="198" w:lineRule="exact"/>
        <w:rPr>
          <w:sz w:val="20"/>
          <w:szCs w:val="20"/>
          <w:color w:val="auto"/>
        </w:rPr>
      </w:pPr>
    </w:p>
    <w:p>
      <w:pPr>
        <w:ind w:left="180" w:right="100" w:firstLine="465"/>
        <w:spacing w:after="0" w:line="275" w:lineRule="auto"/>
        <w:rPr>
          <w:sz w:val="20"/>
          <w:szCs w:val="20"/>
          <w:color w:val="auto"/>
        </w:rPr>
      </w:pPr>
      <w:r>
        <w:rPr>
          <w:rFonts w:ascii="Arial" w:cs="Arial" w:eastAsia="Arial" w:hAnsi="Arial"/>
          <w:sz w:val="19"/>
          <w:szCs w:val="19"/>
          <w:color w:val="auto"/>
        </w:rPr>
        <w:t>Pending their uses, we plan to invest the net proceeds of this offering in short-term, interest-bearing, investment-grade instruments, certificates of deposit or direct or guaranteed obligations of the U.S. government.</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65</w:t>
      </w:r>
    </w:p>
    <w:p>
      <w:pPr>
        <w:sectPr>
          <w:pgSz w:w="12240" w:h="15840" w:orient="portrait"/>
          <w:cols w:equalWidth="0" w:num="1">
            <w:col w:w="11800"/>
          </w:cols>
          <w:pgMar w:left="120" w:top="336" w:right="320" w:bottom="1440" w:gutter="0" w:footer="0" w:header="0"/>
        </w:sectPr>
      </w:pPr>
    </w:p>
    <w:bookmarkStart w:id="73" w:name="page74"/>
    <w:bookmarkEnd w:id="7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DIVIDEND POLICY</w:t>
      </w:r>
    </w:p>
    <w:p>
      <w:pPr>
        <w:spacing w:after="0" w:line="244"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66</w:t>
      </w:r>
    </w:p>
    <w:p>
      <w:pPr>
        <w:sectPr>
          <w:pgSz w:w="12240" w:h="15840" w:orient="portrait"/>
          <w:cols w:equalWidth="0" w:num="1">
            <w:col w:w="11780"/>
          </w:cols>
          <w:pgMar w:left="120" w:top="336" w:right="340" w:bottom="1440" w:gutter="0" w:footer="0" w:header="0"/>
        </w:sectPr>
      </w:pPr>
    </w:p>
    <w:bookmarkStart w:id="74" w:name="page75"/>
    <w:bookmarkEnd w:id="7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CAPITALIZATION</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cash equivalents, and marketable securities and capitalization as of September 30, 2018, as follows:</w:t>
      </w:r>
    </w:p>
    <w:p>
      <w:pPr>
        <w:spacing w:after="0" w:line="150" w:lineRule="exact"/>
        <w:rPr>
          <w:sz w:val="20"/>
          <w:szCs w:val="20"/>
          <w:color w:val="auto"/>
        </w:rPr>
      </w:pPr>
    </w:p>
    <w:p>
      <w:pPr>
        <w:ind w:left="1100" w:hanging="350"/>
        <w:spacing w:after="0"/>
        <w:tabs>
          <w:tab w:leader="none" w:pos="11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on an actual basis;</w:t>
      </w:r>
    </w:p>
    <w:p>
      <w:pPr>
        <w:spacing w:after="0" w:line="138" w:lineRule="exact"/>
        <w:rPr>
          <w:rFonts w:ascii="Arial" w:cs="Arial" w:eastAsia="Arial" w:hAnsi="Arial"/>
          <w:sz w:val="19"/>
          <w:szCs w:val="19"/>
          <w:color w:val="auto"/>
        </w:rPr>
      </w:pPr>
    </w:p>
    <w:p>
      <w:pPr>
        <w:ind w:left="1100" w:right="40" w:hanging="350"/>
        <w:spacing w:after="0" w:line="308" w:lineRule="auto"/>
        <w:tabs>
          <w:tab w:leader="none" w:pos="11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on a pro forma basis to reflect (1) the conversion of all outstanding shares of our convertible preferred stock into shares of our common stock immediately prior to the closing of this offering, as if such conversion had occurred on September 30, 2018, and (2) the filing and effectiveness of our amended and restated certificate of incorporation, which will occur immediately prior to the closing of this offering; and</w:t>
      </w:r>
    </w:p>
    <w:p>
      <w:pPr>
        <w:spacing w:after="0" w:line="60" w:lineRule="exact"/>
        <w:rPr>
          <w:rFonts w:ascii="Arial" w:cs="Arial" w:eastAsia="Arial" w:hAnsi="Arial"/>
          <w:sz w:val="17"/>
          <w:szCs w:val="17"/>
          <w:color w:val="auto"/>
        </w:rPr>
      </w:pPr>
    </w:p>
    <w:p>
      <w:pPr>
        <w:ind w:left="1100" w:right="20" w:hanging="350"/>
        <w:spacing w:after="0" w:line="263" w:lineRule="auto"/>
        <w:tabs>
          <w:tab w:leader="none" w:pos="11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on a pro forma as adjusted basis to further reflect our issuance and sale of 9,250,000 shares of common stock in this offering at an assumed initial public offering price of $19.00 per share, the midpoint of the price range set forth on the cover page of this prospectus, after deducting the underwriting discounts and commissions and estimated expenses payable by us.</w:t>
      </w:r>
    </w:p>
    <w:p>
      <w:pPr>
        <w:spacing w:after="0" w:line="194" w:lineRule="exact"/>
        <w:rPr>
          <w:sz w:val="20"/>
          <w:szCs w:val="20"/>
          <w:color w:val="auto"/>
        </w:rPr>
      </w:pPr>
    </w:p>
    <w:p>
      <w:pPr>
        <w:jc w:val="both"/>
        <w:ind w:left="180" w:right="720" w:firstLine="465"/>
        <w:spacing w:after="0" w:line="263" w:lineRule="auto"/>
        <w:rPr>
          <w:sz w:val="20"/>
          <w:szCs w:val="20"/>
          <w:color w:val="auto"/>
        </w:rPr>
      </w:pPr>
      <w:r>
        <w:rPr>
          <w:rFonts w:ascii="Arial" w:cs="Arial" w:eastAsia="Arial" w:hAnsi="Arial"/>
          <w:sz w:val="19"/>
          <w:szCs w:val="19"/>
          <w:color w:val="auto"/>
        </w:rPr>
        <w:t>You should read this table in conjunction with our consolidated financial statements and the related notes and the sections titled “Selected Consolidated Financial Data” and “Management’s Discussion and Analysis of Financial Condition and Results of Operations” that are included elsewhere in this prospectus.</w:t>
      </w:r>
    </w:p>
    <w:p>
      <w:pPr>
        <w:spacing w:after="0" w:line="214"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116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w w:val="90"/>
              </w:rPr>
              <w:t>As of September 30, 2018</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16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700"/>
              <w:spacing w:after="0" w:line="128" w:lineRule="exact"/>
              <w:rPr>
                <w:sz w:val="20"/>
                <w:szCs w:val="20"/>
                <w:color w:val="auto"/>
              </w:rPr>
            </w:pPr>
            <w:r>
              <w:rPr>
                <w:rFonts w:ascii="Arial" w:cs="Arial" w:eastAsia="Arial" w:hAnsi="Arial"/>
                <w:sz w:val="14"/>
                <w:szCs w:val="14"/>
                <w:b w:val="1"/>
                <w:bCs w:val="1"/>
                <w:color w:val="auto"/>
              </w:rPr>
              <w:t>Pro</w:t>
            </w:r>
          </w:p>
        </w:tc>
        <w:tc>
          <w:tcPr>
            <w:tcW w:w="120" w:type="dxa"/>
            <w:vAlign w:val="bottom"/>
          </w:tcPr>
          <w:p>
            <w:pPr>
              <w:spacing w:after="0"/>
              <w:rPr>
                <w:sz w:val="11"/>
                <w:szCs w:val="11"/>
                <w:color w:val="auto"/>
              </w:rPr>
            </w:pPr>
          </w:p>
        </w:tc>
        <w:tc>
          <w:tcPr>
            <w:tcW w:w="820" w:type="dxa"/>
            <w:vAlign w:val="bottom"/>
          </w:tcPr>
          <w:p>
            <w:pPr>
              <w:jc w:val="right"/>
              <w:ind w:right="27"/>
              <w:spacing w:after="0" w:line="128" w:lineRule="exact"/>
              <w:rPr>
                <w:sz w:val="20"/>
                <w:szCs w:val="20"/>
                <w:color w:val="auto"/>
              </w:rPr>
            </w:pPr>
            <w:r>
              <w:rPr>
                <w:rFonts w:ascii="Arial" w:cs="Arial" w:eastAsia="Arial" w:hAnsi="Arial"/>
                <w:sz w:val="14"/>
                <w:szCs w:val="14"/>
                <w:b w:val="1"/>
                <w:bCs w:val="1"/>
                <w:color w:val="auto"/>
                <w:w w:val="97"/>
              </w:rPr>
              <w:t>Pro Forma</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Actual</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5"/>
                <w:szCs w:val="15"/>
                <w:b w:val="1"/>
                <w:bCs w:val="1"/>
                <w:color w:val="auto"/>
              </w:rPr>
              <w:t>Forma</w:t>
            </w:r>
          </w:p>
        </w:tc>
        <w:tc>
          <w:tcPr>
            <w:tcW w:w="1060" w:type="dxa"/>
            <w:vAlign w:val="bottom"/>
            <w:gridSpan w:val="3"/>
          </w:tcPr>
          <w:p>
            <w:pPr>
              <w:spacing w:after="0"/>
              <w:rPr>
                <w:sz w:val="20"/>
                <w:szCs w:val="20"/>
                <w:color w:val="auto"/>
              </w:rPr>
            </w:pPr>
            <w:r>
              <w:rPr>
                <w:rFonts w:ascii="Arial" w:cs="Arial" w:eastAsia="Arial" w:hAnsi="Arial"/>
                <w:sz w:val="15"/>
                <w:szCs w:val="15"/>
                <w:b w:val="1"/>
                <w:bCs w:val="1"/>
                <w:color w:val="auto"/>
              </w:rPr>
              <w:t>As Adjusted</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28"/>
        </w:trPr>
        <w:tc>
          <w:tcPr>
            <w:tcW w:w="116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3300" w:type="dxa"/>
            <w:vAlign w:val="bottom"/>
            <w:tcBorders>
              <w:top w:val="single" w:sz="8" w:color="auto"/>
            </w:tcBorders>
            <w:gridSpan w:val="8"/>
          </w:tcPr>
          <w:p>
            <w:pPr>
              <w:jc w:val="center"/>
              <w:spacing w:after="0" w:line="128" w:lineRule="exact"/>
              <w:rPr>
                <w:sz w:val="20"/>
                <w:szCs w:val="20"/>
                <w:color w:val="auto"/>
              </w:rPr>
            </w:pPr>
            <w:r>
              <w:rPr>
                <w:rFonts w:ascii="Arial" w:cs="Arial" w:eastAsia="Arial" w:hAnsi="Arial"/>
                <w:sz w:val="14"/>
                <w:szCs w:val="14"/>
                <w:b w:val="1"/>
                <w:bCs w:val="1"/>
                <w:color w:val="auto"/>
                <w:w w:val="96"/>
              </w:rPr>
              <w:t>(In thousands, except share and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4"/>
          </w:tcPr>
          <w:p>
            <w:pPr>
              <w:ind w:left="360"/>
              <w:spacing w:after="0" w:line="157" w:lineRule="exact"/>
              <w:rPr>
                <w:sz w:val="20"/>
                <w:szCs w:val="20"/>
                <w:color w:val="auto"/>
              </w:rPr>
            </w:pPr>
            <w:r>
              <w:rPr>
                <w:rFonts w:ascii="Arial" w:cs="Arial" w:eastAsia="Arial" w:hAnsi="Arial"/>
                <w:sz w:val="15"/>
                <w:szCs w:val="15"/>
                <w:b w:val="1"/>
                <w:bCs w:val="1"/>
                <w:color w:val="auto"/>
              </w:rPr>
              <w:t>per share data)</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93"/>
              </w:rPr>
              <w:t>(Unaudited)</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2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Cash, cash equivalents, and marketable securities</w:t>
            </w:r>
          </w:p>
        </w:tc>
        <w:tc>
          <w:tcPr>
            <w:tcW w:w="720" w:type="dxa"/>
            <w:vAlign w:val="bottom"/>
            <w:shd w:val="clear" w:color="auto" w:fill="CCEEFF"/>
          </w:tcPr>
          <w:p>
            <w:pPr>
              <w:jc w:val="right"/>
              <w:spacing w:after="0"/>
              <w:rPr>
                <w:sz w:val="20"/>
                <w:szCs w:val="20"/>
                <w:color w:val="auto"/>
              </w:rPr>
            </w:pPr>
            <w:r>
              <w:rPr>
                <w:rFonts w:ascii="Arial" w:cs="Arial" w:eastAsia="Arial" w:hAnsi="Arial"/>
                <w:sz w:val="19"/>
                <w:szCs w:val="19"/>
                <w:u w:val="single" w:color="auto"/>
                <w:color w:val="auto"/>
                <w:w w:val="88"/>
              </w:rPr>
              <w:t>$</w:t>
            </w:r>
            <w:r>
              <w:rPr>
                <w:rFonts w:ascii="Arial" w:cs="Arial" w:eastAsia="Arial" w:hAnsi="Arial"/>
                <w:sz w:val="19"/>
                <w:szCs w:val="19"/>
                <w:color w:val="auto"/>
                <w:w w:val="88"/>
              </w:rPr>
              <w:t>308,694</w:t>
            </w: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9"/>
                <w:szCs w:val="19"/>
                <w:u w:val="single" w:color="auto"/>
                <w:color w:val="auto"/>
                <w:w w:val="75"/>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9"/>
                <w:szCs w:val="19"/>
                <w:color w:val="auto"/>
                <w:w w:val="87"/>
              </w:rPr>
              <w:t>308,694</w:t>
            </w:r>
          </w:p>
        </w:tc>
        <w:tc>
          <w:tcPr>
            <w:tcW w:w="120" w:type="dxa"/>
            <w:vAlign w:val="bottom"/>
            <w:shd w:val="clear" w:color="auto" w:fill="CCEEFF"/>
          </w:tcPr>
          <w:p>
            <w:pPr>
              <w:spacing w:after="0"/>
              <w:rPr>
                <w:sz w:val="20"/>
                <w:szCs w:val="20"/>
                <w:color w:val="auto"/>
              </w:rPr>
            </w:pPr>
            <w:r>
              <w:rPr>
                <w:rFonts w:ascii="Arial" w:cs="Arial" w:eastAsia="Arial" w:hAnsi="Arial"/>
                <w:sz w:val="19"/>
                <w:szCs w:val="19"/>
                <w:color w:val="auto"/>
                <w:w w:val="9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468,542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9"/>
                <w:szCs w:val="19"/>
                <w:color w:val="auto"/>
                <w:w w:val="97"/>
              </w:rPr>
              <w:t>Convertible preferred stock, par value $0.0001 per share; 45,849,677 shares authorized, 45,350,215</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20" w:type="dxa"/>
            <w:vAlign w:val="bottom"/>
            <w:gridSpan w:val="2"/>
          </w:tcPr>
          <w:p>
            <w:pPr>
              <w:ind w:left="180"/>
              <w:spacing w:after="0"/>
              <w:rPr>
                <w:sz w:val="20"/>
                <w:szCs w:val="20"/>
                <w:color w:val="auto"/>
              </w:rPr>
            </w:pPr>
            <w:r>
              <w:rPr>
                <w:rFonts w:ascii="Arial" w:cs="Arial" w:eastAsia="Arial" w:hAnsi="Arial"/>
                <w:sz w:val="19"/>
                <w:szCs w:val="19"/>
                <w:color w:val="auto"/>
                <w:w w:val="98"/>
              </w:rPr>
              <w:t>issued and outstanding, actual; no shares authorized, issued and outstanding, pro forma and pro</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220" w:type="dxa"/>
            <w:vAlign w:val="bottom"/>
            <w:gridSpan w:val="2"/>
          </w:tcPr>
          <w:p>
            <w:pPr>
              <w:ind w:left="180"/>
              <w:spacing w:after="0"/>
              <w:rPr>
                <w:sz w:val="20"/>
                <w:szCs w:val="20"/>
                <w:color w:val="auto"/>
              </w:rPr>
            </w:pPr>
            <w:r>
              <w:rPr>
                <w:rFonts w:ascii="Arial" w:cs="Arial" w:eastAsia="Arial" w:hAnsi="Arial"/>
                <w:sz w:val="19"/>
                <w:szCs w:val="19"/>
                <w:color w:val="auto"/>
              </w:rPr>
              <w:t>forma as adjusted</w:t>
            </w:r>
          </w:p>
        </w:tc>
        <w:tc>
          <w:tcPr>
            <w:tcW w:w="720" w:type="dxa"/>
            <w:vAlign w:val="bottom"/>
          </w:tcPr>
          <w:p>
            <w:pPr>
              <w:jc w:val="right"/>
              <w:spacing w:after="0"/>
              <w:rPr>
                <w:sz w:val="20"/>
                <w:szCs w:val="20"/>
                <w:color w:val="auto"/>
              </w:rPr>
            </w:pPr>
            <w:r>
              <w:rPr>
                <w:rFonts w:ascii="Arial" w:cs="Arial" w:eastAsia="Arial" w:hAnsi="Arial"/>
                <w:sz w:val="19"/>
                <w:szCs w:val="19"/>
                <w:color w:val="auto"/>
                <w:w w:val="88"/>
              </w:rPr>
              <w:t>$210,170</w:t>
            </w:r>
          </w:p>
        </w:tc>
        <w:tc>
          <w:tcPr>
            <w:tcW w:w="80" w:type="dxa"/>
            <w:vAlign w:val="bottom"/>
          </w:tcPr>
          <w:p>
            <w:pPr>
              <w:spacing w:after="0"/>
              <w:rPr>
                <w:sz w:val="20"/>
                <w:szCs w:val="20"/>
                <w:color w:val="auto"/>
              </w:rPr>
            </w:pPr>
          </w:p>
        </w:tc>
        <w:tc>
          <w:tcPr>
            <w:tcW w:w="480" w:type="dxa"/>
            <w:vAlign w:val="bottom"/>
            <w:gridSpan w:val="2"/>
          </w:tcPr>
          <w:p>
            <w:pPr>
              <w:ind w:left="380"/>
              <w:spacing w:after="0"/>
              <w:rPr>
                <w:sz w:val="20"/>
                <w:szCs w:val="20"/>
                <w:color w:val="auto"/>
              </w:rPr>
            </w:pPr>
            <w:r>
              <w:rPr>
                <w:rFonts w:ascii="Arial" w:cs="Arial" w:eastAsia="Arial" w:hAnsi="Arial"/>
                <w:sz w:val="19"/>
                <w:szCs w:val="19"/>
                <w:color w:val="auto"/>
                <w:w w:val="75"/>
              </w:rPr>
              <w:t>$</w:t>
            </w:r>
          </w:p>
        </w:tc>
        <w:tc>
          <w:tcPr>
            <w:tcW w:w="1080" w:type="dxa"/>
            <w:vAlign w:val="bottom"/>
            <w:gridSpan w:val="2"/>
          </w:tcPr>
          <w:p>
            <w:pPr>
              <w:jc w:val="right"/>
              <w:ind w:right="46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0"/>
                <w:szCs w:val="20"/>
                <w:color w:val="auto"/>
              </w:rPr>
            </w:pPr>
            <w:r>
              <w:rPr>
                <w:rFonts w:ascii="Arial" w:cs="Arial" w:eastAsia="Arial" w:hAnsi="Arial"/>
                <w:sz w:val="19"/>
                <w:szCs w:val="19"/>
                <w:color w:val="auto"/>
                <w:w w:val="94"/>
              </w:rPr>
              <w:t>$</w:t>
            </w:r>
          </w:p>
        </w:tc>
        <w:tc>
          <w:tcPr>
            <w:tcW w:w="9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Stockholders’ equity (deficit):</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220" w:type="dxa"/>
            <w:vAlign w:val="bottom"/>
            <w:gridSpan w:val="2"/>
          </w:tcPr>
          <w:p>
            <w:pPr>
              <w:ind w:left="380"/>
              <w:spacing w:after="0" w:line="214" w:lineRule="exact"/>
              <w:rPr>
                <w:sz w:val="20"/>
                <w:szCs w:val="20"/>
                <w:color w:val="auto"/>
              </w:rPr>
            </w:pPr>
            <w:r>
              <w:rPr>
                <w:rFonts w:ascii="Arial" w:cs="Arial" w:eastAsia="Arial" w:hAnsi="Arial"/>
                <w:sz w:val="19"/>
                <w:szCs w:val="19"/>
                <w:color w:val="auto"/>
                <w:w w:val="93"/>
              </w:rPr>
              <w:t>Preferred stock, par value $0.0001 per share; no shares authorized, issued and outstanding, actual;</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20" w:type="dxa"/>
            <w:vAlign w:val="bottom"/>
            <w:gridSpan w:val="2"/>
          </w:tcPr>
          <w:p>
            <w:pPr>
              <w:ind w:left="580"/>
              <w:spacing w:after="0"/>
              <w:rPr>
                <w:sz w:val="20"/>
                <w:szCs w:val="20"/>
                <w:color w:val="auto"/>
              </w:rPr>
            </w:pPr>
            <w:r>
              <w:rPr>
                <w:rFonts w:ascii="Arial" w:cs="Arial" w:eastAsia="Arial" w:hAnsi="Arial"/>
                <w:sz w:val="19"/>
                <w:szCs w:val="19"/>
                <w:color w:val="auto"/>
                <w:w w:val="95"/>
              </w:rPr>
              <w:t>20,000,000 shares authorized, and no shares issued and outstanding, pro forma and pro forma</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220" w:type="dxa"/>
            <w:vAlign w:val="bottom"/>
            <w:gridSpan w:val="2"/>
          </w:tcPr>
          <w:p>
            <w:pPr>
              <w:ind w:left="580"/>
              <w:spacing w:after="0"/>
              <w:rPr>
                <w:sz w:val="20"/>
                <w:szCs w:val="20"/>
                <w:color w:val="auto"/>
              </w:rPr>
            </w:pPr>
            <w:r>
              <w:rPr>
                <w:rFonts w:ascii="Arial" w:cs="Arial" w:eastAsia="Arial" w:hAnsi="Arial"/>
                <w:sz w:val="19"/>
                <w:szCs w:val="19"/>
                <w:color w:val="auto"/>
              </w:rPr>
              <w:t>as adjusted</w:t>
            </w:r>
          </w:p>
        </w:tc>
        <w:tc>
          <w:tcPr>
            <w:tcW w:w="8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4"/>
        </w:trPr>
        <w:tc>
          <w:tcPr>
            <w:tcW w:w="8220" w:type="dxa"/>
            <w:vAlign w:val="bottom"/>
            <w:gridSpan w:val="2"/>
            <w:shd w:val="clear" w:color="auto" w:fill="CCEEFF"/>
          </w:tcPr>
          <w:p>
            <w:pPr>
              <w:ind w:left="380"/>
              <w:spacing w:after="0" w:line="214" w:lineRule="exact"/>
              <w:rPr>
                <w:sz w:val="20"/>
                <w:szCs w:val="20"/>
                <w:color w:val="auto"/>
              </w:rPr>
            </w:pPr>
            <w:r>
              <w:rPr>
                <w:rFonts w:ascii="Arial" w:cs="Arial" w:eastAsia="Arial" w:hAnsi="Arial"/>
                <w:sz w:val="19"/>
                <w:szCs w:val="19"/>
                <w:color w:val="auto"/>
                <w:w w:val="97"/>
              </w:rPr>
              <w:t>Common stock, par value $0.0001 per share; 65,000,000 shares authorized, 13,764,829 shares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20" w:type="dxa"/>
            <w:vAlign w:val="bottom"/>
            <w:gridSpan w:val="2"/>
            <w:shd w:val="clear" w:color="auto" w:fill="CCEEFF"/>
          </w:tcPr>
          <w:p>
            <w:pPr>
              <w:ind w:left="580"/>
              <w:spacing w:after="0"/>
              <w:rPr>
                <w:sz w:val="20"/>
                <w:szCs w:val="20"/>
                <w:color w:val="auto"/>
              </w:rPr>
            </w:pPr>
            <w:r>
              <w:rPr>
                <w:rFonts w:ascii="Arial" w:cs="Arial" w:eastAsia="Arial" w:hAnsi="Arial"/>
                <w:sz w:val="19"/>
                <w:szCs w:val="19"/>
                <w:color w:val="auto"/>
                <w:w w:val="95"/>
              </w:rPr>
              <w:t>issued and outstanding, actual; 200,000,000 shares authorized, 59,115,044 shares issued and</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20" w:type="dxa"/>
            <w:vAlign w:val="bottom"/>
            <w:gridSpan w:val="2"/>
            <w:shd w:val="clear" w:color="auto" w:fill="CCEEFF"/>
          </w:tcPr>
          <w:p>
            <w:pPr>
              <w:ind w:left="580"/>
              <w:spacing w:after="0"/>
              <w:rPr>
                <w:sz w:val="20"/>
                <w:szCs w:val="20"/>
                <w:color w:val="auto"/>
              </w:rPr>
            </w:pPr>
            <w:r>
              <w:rPr>
                <w:rFonts w:ascii="Arial" w:cs="Arial" w:eastAsia="Arial" w:hAnsi="Arial"/>
                <w:sz w:val="19"/>
                <w:szCs w:val="19"/>
                <w:color w:val="auto"/>
              </w:rPr>
              <w:t>outstanding, pro forma; 200,000,000 shares authorized, 68,365,044 shares issued and</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220" w:type="dxa"/>
            <w:vAlign w:val="bottom"/>
            <w:gridSpan w:val="2"/>
            <w:shd w:val="clear" w:color="auto" w:fill="CCEEFF"/>
          </w:tcPr>
          <w:p>
            <w:pPr>
              <w:ind w:left="580"/>
              <w:spacing w:after="0"/>
              <w:rPr>
                <w:sz w:val="20"/>
                <w:szCs w:val="20"/>
                <w:color w:val="auto"/>
              </w:rPr>
            </w:pPr>
            <w:r>
              <w:rPr>
                <w:rFonts w:ascii="Arial" w:cs="Arial" w:eastAsia="Arial" w:hAnsi="Arial"/>
                <w:sz w:val="19"/>
                <w:szCs w:val="19"/>
                <w:color w:val="auto"/>
              </w:rPr>
              <w:t>outstanding, pro forma as adjusted</w:t>
            </w:r>
          </w:p>
        </w:tc>
        <w:tc>
          <w:tcPr>
            <w:tcW w:w="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9"/>
                <w:szCs w:val="19"/>
                <w:color w:val="auto"/>
              </w:rPr>
              <w:t>6</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228"/>
        </w:trPr>
        <w:tc>
          <w:tcPr>
            <w:tcW w:w="8220" w:type="dxa"/>
            <w:vAlign w:val="bottom"/>
            <w:gridSpan w:val="2"/>
          </w:tcPr>
          <w:p>
            <w:pPr>
              <w:ind w:left="380"/>
              <w:spacing w:after="0"/>
              <w:rPr>
                <w:sz w:val="20"/>
                <w:szCs w:val="20"/>
                <w:color w:val="auto"/>
              </w:rPr>
            </w:pPr>
            <w:r>
              <w:rPr>
                <w:rFonts w:ascii="Arial" w:cs="Arial" w:eastAsia="Arial" w:hAnsi="Arial"/>
                <w:sz w:val="19"/>
                <w:szCs w:val="19"/>
                <w:color w:val="auto"/>
              </w:rPr>
              <w:t>Additional paid-in capital</w:t>
            </w:r>
          </w:p>
        </w:tc>
        <w:tc>
          <w:tcPr>
            <w:tcW w:w="800" w:type="dxa"/>
            <w:vAlign w:val="bottom"/>
            <w:gridSpan w:val="2"/>
          </w:tcPr>
          <w:p>
            <w:pPr>
              <w:jc w:val="right"/>
              <w:ind w:right="80"/>
              <w:spacing w:after="0"/>
              <w:rPr>
                <w:sz w:val="20"/>
                <w:szCs w:val="20"/>
                <w:color w:val="auto"/>
              </w:rPr>
            </w:pPr>
            <w:r>
              <w:rPr>
                <w:rFonts w:ascii="Arial" w:cs="Arial" w:eastAsia="Arial" w:hAnsi="Arial"/>
                <w:sz w:val="19"/>
                <w:szCs w:val="19"/>
                <w:color w:val="auto"/>
              </w:rPr>
              <w:t>14,418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9"/>
                <w:szCs w:val="19"/>
                <w:color w:val="auto"/>
                <w:w w:val="87"/>
              </w:rPr>
              <w:t>224,583</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384,430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20" w:type="dxa"/>
            <w:vAlign w:val="bottom"/>
            <w:gridSpan w:val="2"/>
            <w:shd w:val="clear" w:color="auto" w:fill="CCEEFF"/>
          </w:tcPr>
          <w:p>
            <w:pPr>
              <w:ind w:left="380"/>
              <w:spacing w:after="0"/>
              <w:rPr>
                <w:sz w:val="20"/>
                <w:szCs w:val="20"/>
                <w:color w:val="auto"/>
              </w:rPr>
            </w:pPr>
            <w:r>
              <w:rPr>
                <w:rFonts w:ascii="Arial" w:cs="Arial" w:eastAsia="Arial" w:hAnsi="Arial"/>
                <w:sz w:val="19"/>
                <w:szCs w:val="19"/>
                <w:color w:val="auto"/>
              </w:rPr>
              <w:t>Accumulated other comprehensive loss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(140)</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(140)</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(140)</w:t>
            </w:r>
          </w:p>
        </w:tc>
        <w:tc>
          <w:tcPr>
            <w:tcW w:w="0" w:type="dxa"/>
            <w:vAlign w:val="bottom"/>
          </w:tcPr>
          <w:p>
            <w:pPr>
              <w:spacing w:after="0"/>
              <w:rPr>
                <w:sz w:val="1"/>
                <w:szCs w:val="1"/>
                <w:color w:val="auto"/>
              </w:rPr>
            </w:pPr>
          </w:p>
        </w:tc>
      </w:tr>
      <w:tr>
        <w:trPr>
          <w:trHeight w:val="228"/>
        </w:trPr>
        <w:tc>
          <w:tcPr>
            <w:tcW w:w="8220" w:type="dxa"/>
            <w:vAlign w:val="bottom"/>
            <w:gridSpan w:val="2"/>
          </w:tcPr>
          <w:p>
            <w:pPr>
              <w:ind w:left="380"/>
              <w:spacing w:after="0"/>
              <w:rPr>
                <w:sz w:val="20"/>
                <w:szCs w:val="20"/>
                <w:color w:val="auto"/>
              </w:rPr>
            </w:pPr>
            <w:r>
              <w:rPr>
                <w:rFonts w:ascii="Arial" w:cs="Arial" w:eastAsia="Arial" w:hAnsi="Arial"/>
                <w:sz w:val="19"/>
                <w:szCs w:val="19"/>
                <w:color w:val="auto"/>
              </w:rPr>
              <w:t>Accumulated deficit</w:t>
            </w:r>
          </w:p>
        </w:tc>
        <w:tc>
          <w:tcPr>
            <w:tcW w:w="800" w:type="dxa"/>
            <w:vAlign w:val="bottom"/>
            <w:gridSpan w:val="2"/>
          </w:tcPr>
          <w:p>
            <w:pPr>
              <w:jc w:val="right"/>
              <w:ind w:right="20"/>
              <w:spacing w:after="0"/>
              <w:rPr>
                <w:sz w:val="20"/>
                <w:szCs w:val="20"/>
                <w:color w:val="auto"/>
              </w:rPr>
            </w:pPr>
            <w:r>
              <w:rPr>
                <w:rFonts w:ascii="Arial" w:cs="Arial" w:eastAsia="Arial" w:hAnsi="Arial"/>
                <w:sz w:val="19"/>
                <w:szCs w:val="19"/>
                <w:color w:val="auto"/>
              </w:rPr>
              <w:t>(97,062)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9"/>
                <w:szCs w:val="19"/>
                <w:color w:val="auto"/>
                <w:w w:val="93"/>
              </w:rPr>
              <w:t>(97,062)</w:t>
            </w:r>
          </w:p>
        </w:tc>
        <w:tc>
          <w:tcPr>
            <w:tcW w:w="1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9"/>
                <w:szCs w:val="19"/>
                <w:color w:val="auto"/>
              </w:rPr>
              <w:t>(97,062)</w:t>
            </w: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220" w:type="dxa"/>
            <w:vAlign w:val="bottom"/>
            <w:gridSpan w:val="2"/>
            <w:shd w:val="clear" w:color="auto" w:fill="CCEEFF"/>
          </w:tcPr>
          <w:p>
            <w:pPr>
              <w:ind w:left="760"/>
              <w:spacing w:after="0"/>
              <w:rPr>
                <w:sz w:val="20"/>
                <w:szCs w:val="20"/>
                <w:color w:val="auto"/>
              </w:rPr>
            </w:pPr>
            <w:r>
              <w:rPr>
                <w:rFonts w:ascii="Arial" w:cs="Arial" w:eastAsia="Arial" w:hAnsi="Arial"/>
                <w:sz w:val="19"/>
                <w:szCs w:val="19"/>
                <w:color w:val="auto"/>
              </w:rPr>
              <w:t>Total stockholders’ equity (deficit)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(82,783)</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9"/>
                <w:szCs w:val="19"/>
                <w:color w:val="auto"/>
                <w:w w:val="87"/>
              </w:rPr>
              <w:t>127,387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287,235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ind w:left="1140"/>
              <w:spacing w:after="0"/>
              <w:rPr>
                <w:sz w:val="20"/>
                <w:szCs w:val="20"/>
                <w:color w:val="auto"/>
              </w:rPr>
            </w:pPr>
            <w:r>
              <w:rPr>
                <w:rFonts w:ascii="Arial" w:cs="Arial" w:eastAsia="Arial" w:hAnsi="Arial"/>
                <w:sz w:val="19"/>
                <w:szCs w:val="19"/>
                <w:color w:val="auto"/>
              </w:rPr>
              <w:t>Total capitalization</w:t>
            </w: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220" w:type="dxa"/>
            <w:vAlign w:val="bottom"/>
            <w:gridSpan w:val="2"/>
            <w:vMerge w:val="continue"/>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u w:val="single" w:color="auto"/>
                <w:color w:val="auto"/>
                <w:w w:val="88"/>
              </w:rPr>
              <w:t>$</w:t>
            </w:r>
            <w:r>
              <w:rPr>
                <w:rFonts w:ascii="Arial" w:cs="Arial" w:eastAsia="Arial" w:hAnsi="Arial"/>
                <w:sz w:val="19"/>
                <w:szCs w:val="19"/>
                <w:color w:val="auto"/>
                <w:w w:val="88"/>
              </w:rPr>
              <w:t>127,387</w:t>
            </w:r>
          </w:p>
        </w:tc>
        <w:tc>
          <w:tcPr>
            <w:tcW w:w="80" w:type="dxa"/>
            <w:vAlign w:val="bottom"/>
          </w:tcPr>
          <w:p>
            <w:pPr>
              <w:spacing w:after="0"/>
              <w:rPr>
                <w:sz w:val="20"/>
                <w:szCs w:val="20"/>
                <w:color w:val="auto"/>
              </w:rPr>
            </w:pPr>
          </w:p>
        </w:tc>
        <w:tc>
          <w:tcPr>
            <w:tcW w:w="480" w:type="dxa"/>
            <w:vAlign w:val="bottom"/>
            <w:gridSpan w:val="2"/>
          </w:tcPr>
          <w:p>
            <w:pPr>
              <w:ind w:left="380"/>
              <w:spacing w:after="0"/>
              <w:rPr>
                <w:sz w:val="20"/>
                <w:szCs w:val="20"/>
                <w:color w:val="auto"/>
              </w:rPr>
            </w:pPr>
            <w:r>
              <w:rPr>
                <w:rFonts w:ascii="Arial" w:cs="Arial" w:eastAsia="Arial" w:hAnsi="Arial"/>
                <w:sz w:val="19"/>
                <w:szCs w:val="19"/>
                <w:u w:val="single" w:color="auto"/>
                <w:color w:val="auto"/>
                <w:w w:val="75"/>
              </w:rPr>
              <w:t>$</w:t>
            </w:r>
          </w:p>
        </w:tc>
        <w:tc>
          <w:tcPr>
            <w:tcW w:w="1080" w:type="dxa"/>
            <w:vAlign w:val="bottom"/>
            <w:gridSpan w:val="2"/>
          </w:tcPr>
          <w:p>
            <w:pPr>
              <w:jc w:val="right"/>
              <w:ind w:right="460"/>
              <w:spacing w:after="0"/>
              <w:rPr>
                <w:sz w:val="20"/>
                <w:szCs w:val="20"/>
                <w:color w:val="auto"/>
              </w:rPr>
            </w:pPr>
            <w:r>
              <w:rPr>
                <w:rFonts w:ascii="Arial" w:cs="Arial" w:eastAsia="Arial" w:hAnsi="Arial"/>
                <w:sz w:val="19"/>
                <w:szCs w:val="19"/>
                <w:color w:val="auto"/>
                <w:w w:val="87"/>
              </w:rPr>
              <w:t>127,387</w:t>
            </w:r>
          </w:p>
        </w:tc>
        <w:tc>
          <w:tcPr>
            <w:tcW w:w="120" w:type="dxa"/>
            <w:vAlign w:val="bottom"/>
          </w:tcPr>
          <w:p>
            <w:pPr>
              <w:spacing w:after="0"/>
              <w:rPr>
                <w:sz w:val="20"/>
                <w:szCs w:val="20"/>
                <w:color w:val="auto"/>
              </w:rPr>
            </w:pPr>
            <w:r>
              <w:rPr>
                <w:rFonts w:ascii="Arial" w:cs="Arial" w:eastAsia="Arial" w:hAnsi="Arial"/>
                <w:sz w:val="19"/>
                <w:szCs w:val="19"/>
                <w:color w:val="auto"/>
                <w:w w:val="94"/>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287,235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160" w:type="dxa"/>
            <w:vAlign w:val="bottom"/>
            <w:tcBorders>
              <w:bottom w:val="single" w:sz="8" w:color="auto"/>
            </w:tcBorders>
          </w:tcPr>
          <w:p>
            <w:pPr>
              <w:spacing w:after="0"/>
              <w:rPr>
                <w:sz w:val="12"/>
                <w:szCs w:val="12"/>
                <w:color w:val="auto"/>
              </w:rPr>
            </w:pPr>
          </w:p>
        </w:tc>
        <w:tc>
          <w:tcPr>
            <w:tcW w:w="7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640" w:right="20" w:hanging="461"/>
        <w:spacing w:after="0" w:line="284"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$1.00 increase or decrease in the assumed initial public offering price of $19.00 per share, the midpoint of the price range set forth on the cover page of this prospectus, would increase or decrease each of cash, cash equivalents, and marketable securities, additional paid-in-capital, total stockholders’ equity (deficit), and total capitalization by $8.6 million, assuming the number of shares offered by us, as set</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67</w:t>
      </w:r>
    </w:p>
    <w:p>
      <w:pPr>
        <w:sectPr>
          <w:pgSz w:w="12240" w:h="15840" w:orient="portrait"/>
          <w:cols w:equalWidth="0" w:num="1">
            <w:col w:w="11820"/>
          </w:cols>
          <w:pgMar w:left="120" w:top="336" w:right="300" w:bottom="1440" w:gutter="0" w:footer="0" w:header="0"/>
        </w:sectPr>
      </w:pPr>
    </w:p>
    <w:bookmarkStart w:id="75" w:name="page76"/>
    <w:bookmarkEnd w:id="7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line="271" w:lineRule="auto"/>
        <w:rPr>
          <w:sz w:val="20"/>
          <w:szCs w:val="20"/>
          <w:color w:val="auto"/>
        </w:rPr>
      </w:pPr>
      <w:r>
        <w:rPr>
          <w:rFonts w:ascii="Arial" w:cs="Arial" w:eastAsia="Arial" w:hAnsi="Arial"/>
          <w:sz w:val="18"/>
          <w:szCs w:val="18"/>
          <w:color w:val="auto"/>
        </w:rPr>
        <w:t>forth on the cover page of this prospectus, remains the same and after deducting the underwriting discounts and commissions and estimated expenses payable by us. Each increase or decrease of 1,000,000 shares in the number of shares of common stock offered by us would increase or decrease each of cash, cash equivalents, and marketable securities, working capital, total assets, and total stockholders’ equity (deficit) by approximately $17.7 million, assuming an initial public offering price of $19.00 per share, the midpoint of the price range set forth on the cover page of this prospectus, remains the same, and after deducting the underwriting discounts and commissions and estimated expenses payable by us. The pro forma as adjusted information discussed above is illustrative only and will be adjusted based on the actual public offering price and other terms of this offering determined at pricing.</w:t>
      </w:r>
    </w:p>
    <w:p>
      <w:pPr>
        <w:spacing w:after="0" w:line="189" w:lineRule="exact"/>
        <w:rPr>
          <w:sz w:val="20"/>
          <w:szCs w:val="20"/>
          <w:color w:val="auto"/>
        </w:rPr>
      </w:pPr>
    </w:p>
    <w:p>
      <w:pPr>
        <w:ind w:left="180" w:right="800" w:firstLine="465"/>
        <w:spacing w:after="0" w:line="336" w:lineRule="auto"/>
        <w:rPr>
          <w:sz w:val="20"/>
          <w:szCs w:val="20"/>
          <w:color w:val="auto"/>
        </w:rPr>
      </w:pPr>
      <w:r>
        <w:rPr>
          <w:rFonts w:ascii="Arial" w:cs="Arial" w:eastAsia="Arial" w:hAnsi="Arial"/>
          <w:sz w:val="17"/>
          <w:szCs w:val="17"/>
          <w:color w:val="auto"/>
        </w:rPr>
        <w:t>The number of shares of our common stock to be outstanding after this offering is based on the 59,115,044 shares of our common stock outstanding as of September 30, 2018 (including convertible preferred stock on an as-converted basis), and excludes the following:</w:t>
      </w:r>
    </w:p>
    <w:p>
      <w:pPr>
        <w:spacing w:after="0" w:line="37" w:lineRule="exact"/>
        <w:rPr>
          <w:sz w:val="20"/>
          <w:szCs w:val="20"/>
          <w:color w:val="auto"/>
        </w:rPr>
      </w:pPr>
    </w:p>
    <w:p>
      <w:pPr>
        <w:ind w:left="1100" w:right="420" w:hanging="350"/>
        <w:spacing w:after="0" w:line="336" w:lineRule="auto"/>
        <w:tabs>
          <w:tab w:leader="none" w:pos="11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3,048,500 shares of common stock issuable upon exercise of options to purchase shares of our common stock outstanding as of September 30, 2018 under our 2017 Stock Option and Grant Plan (2017 Plan), at a weighted-average exercise price of $8.14 per share;</w:t>
      </w:r>
    </w:p>
    <w:p>
      <w:pPr>
        <w:spacing w:after="0" w:line="37" w:lineRule="exact"/>
        <w:rPr>
          <w:rFonts w:ascii="Arial" w:cs="Arial" w:eastAsia="Arial" w:hAnsi="Arial"/>
          <w:sz w:val="17"/>
          <w:szCs w:val="17"/>
          <w:color w:val="auto"/>
        </w:rPr>
      </w:pPr>
    </w:p>
    <w:p>
      <w:pPr>
        <w:ind w:left="1100" w:right="720" w:hanging="350"/>
        <w:spacing w:after="0" w:line="275" w:lineRule="auto"/>
        <w:tabs>
          <w:tab w:leader="none" w:pos="11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2,021,584 shares of common stock issuable upon exercise of options to purchase shares of our common stock that we granted after September 30, 2018 under our 2017 Plan, at a weighted-average price of $10.14 per share;</w:t>
      </w:r>
    </w:p>
    <w:p>
      <w:pPr>
        <w:spacing w:after="0" w:line="84" w:lineRule="exact"/>
        <w:rPr>
          <w:rFonts w:ascii="Arial" w:cs="Arial" w:eastAsia="Arial" w:hAnsi="Arial"/>
          <w:sz w:val="19"/>
          <w:szCs w:val="19"/>
          <w:color w:val="auto"/>
        </w:rPr>
      </w:pPr>
    </w:p>
    <w:p>
      <w:pPr>
        <w:ind w:left="1100" w:right="40" w:hanging="350"/>
        <w:spacing w:after="0" w:line="288" w:lineRule="auto"/>
        <w:tabs>
          <w:tab w:leader="none" w:pos="11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316,100 shares of common stock issuable upon exercise of options to purchase shares of our common stock which will be granted, as of the effective date of the registration statement of which this prospectus forms a part, under our 2019 Equity Incentive Plan (2019 Plan), at an</w:t>
      </w:r>
    </w:p>
    <w:p>
      <w:pPr>
        <w:ind w:left="1100"/>
        <w:spacing w:after="0"/>
        <w:rPr>
          <w:rFonts w:ascii="Arial" w:cs="Arial" w:eastAsia="Arial" w:hAnsi="Arial"/>
          <w:sz w:val="17"/>
          <w:szCs w:val="17"/>
          <w:color w:val="auto"/>
        </w:rPr>
      </w:pPr>
      <w:r>
        <w:rPr>
          <w:rFonts w:ascii="Arial" w:cs="Arial" w:eastAsia="Arial" w:hAnsi="Arial"/>
          <w:sz w:val="19"/>
          <w:szCs w:val="19"/>
          <w:color w:val="auto"/>
        </w:rPr>
        <w:t>exercise price of $</w:t>
      </w:r>
      <w:r>
        <w:rPr>
          <w:rFonts w:ascii="Arial" w:cs="Arial" w:eastAsia="Arial" w:hAnsi="Arial"/>
          <w:sz w:val="17"/>
          <w:szCs w:val="17"/>
          <w:color w:val="auto"/>
        </w:rPr>
        <w:t>per share, which is the initial public offering price of our common stock;</w:t>
      </w:r>
    </w:p>
    <w:p>
      <w:pPr>
        <w:spacing w:after="0" w:line="124" w:lineRule="exact"/>
        <w:rPr>
          <w:rFonts w:ascii="Arial" w:cs="Arial" w:eastAsia="Arial" w:hAnsi="Arial"/>
          <w:sz w:val="17"/>
          <w:szCs w:val="17"/>
          <w:color w:val="auto"/>
        </w:rPr>
      </w:pPr>
    </w:p>
    <w:p>
      <w:pPr>
        <w:ind w:left="1100" w:right="260" w:hanging="350"/>
        <w:spacing w:after="0" w:line="275" w:lineRule="auto"/>
        <w:tabs>
          <w:tab w:leader="none" w:pos="11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24,621 shares of common stock issuable upon the conversion of 24,621 shares of Series E preferred stock issued in October 2018, with a purchase price of $14.2154 per share, for aggregate gross proceeds of $0.3 million;</w:t>
      </w:r>
    </w:p>
    <w:p>
      <w:pPr>
        <w:spacing w:after="0" w:line="84" w:lineRule="exact"/>
        <w:rPr>
          <w:rFonts w:ascii="Arial" w:cs="Arial" w:eastAsia="Arial" w:hAnsi="Arial"/>
          <w:sz w:val="19"/>
          <w:szCs w:val="19"/>
          <w:color w:val="auto"/>
        </w:rPr>
      </w:pPr>
    </w:p>
    <w:p>
      <w:pPr>
        <w:ind w:left="1100" w:right="140" w:hanging="350"/>
        <w:spacing w:after="0" w:line="275" w:lineRule="auto"/>
        <w:tabs>
          <w:tab w:leader="none" w:pos="11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2,136,250 shares of common stock reserved for future issuance under our 2017 Plan as of September 30, 2018, which shares will be added to the shares to be reserved under our 2019 Plan;</w:t>
      </w:r>
    </w:p>
    <w:p>
      <w:pPr>
        <w:spacing w:after="0" w:line="84" w:lineRule="exact"/>
        <w:rPr>
          <w:rFonts w:ascii="Arial" w:cs="Arial" w:eastAsia="Arial" w:hAnsi="Arial"/>
          <w:sz w:val="19"/>
          <w:szCs w:val="19"/>
          <w:color w:val="auto"/>
        </w:rPr>
      </w:pPr>
    </w:p>
    <w:p>
      <w:pPr>
        <w:ind w:left="1100" w:right="220" w:hanging="350"/>
        <w:spacing w:after="0" w:line="284" w:lineRule="auto"/>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7,372,056 shares of common stock reserved for future issuance under our 2019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78" w:lineRule="exact"/>
        <w:rPr>
          <w:rFonts w:ascii="Arial" w:cs="Arial" w:eastAsia="Arial" w:hAnsi="Arial"/>
          <w:sz w:val="18"/>
          <w:szCs w:val="18"/>
          <w:color w:val="auto"/>
        </w:rPr>
      </w:pPr>
    </w:p>
    <w:p>
      <w:pPr>
        <w:ind w:left="1100" w:right="260" w:hanging="350"/>
        <w:spacing w:after="0" w:line="308" w:lineRule="auto"/>
        <w:tabs>
          <w:tab w:leader="none" w:pos="11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1,478,492 shares of common stock reserved for issuance under our 2019 Employee Stock Purchase Plan (the 2019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89"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68</w:t>
      </w:r>
    </w:p>
    <w:p>
      <w:pPr>
        <w:sectPr>
          <w:pgSz w:w="12240" w:h="15840" w:orient="portrait"/>
          <w:cols w:equalWidth="0" w:num="1">
            <w:col w:w="11760"/>
          </w:cols>
          <w:pgMar w:left="120" w:top="336" w:right="360" w:bottom="1440" w:gutter="0" w:footer="0" w:header="0"/>
        </w:sectPr>
      </w:pPr>
    </w:p>
    <w:bookmarkStart w:id="76" w:name="page77"/>
    <w:bookmarkEnd w:id="7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DILUTION</w:t>
      </w:r>
    </w:p>
    <w:p>
      <w:pPr>
        <w:spacing w:after="0" w:line="244" w:lineRule="exact"/>
        <w:rPr>
          <w:sz w:val="20"/>
          <w:szCs w:val="20"/>
          <w:color w:val="auto"/>
        </w:rPr>
      </w:pPr>
    </w:p>
    <w:p>
      <w:pPr>
        <w:ind w:left="180" w:right="100" w:firstLine="465"/>
        <w:spacing w:after="0" w:line="263" w:lineRule="auto"/>
        <w:rPr>
          <w:sz w:val="20"/>
          <w:szCs w:val="20"/>
          <w:color w:val="auto"/>
        </w:rPr>
      </w:pPr>
      <w:r>
        <w:rPr>
          <w:rFonts w:ascii="Arial" w:cs="Arial" w:eastAsia="Arial" w:hAnsi="Arial"/>
          <w:sz w:val="19"/>
          <w:szCs w:val="19"/>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94" w:lineRule="exact"/>
        <w:rPr>
          <w:sz w:val="20"/>
          <w:szCs w:val="20"/>
          <w:color w:val="auto"/>
        </w:rPr>
      </w:pPr>
    </w:p>
    <w:p>
      <w:pPr>
        <w:ind w:left="180" w:right="120" w:firstLine="465"/>
        <w:spacing w:after="0" w:line="259" w:lineRule="auto"/>
        <w:rPr>
          <w:sz w:val="20"/>
          <w:szCs w:val="20"/>
          <w:color w:val="auto"/>
        </w:rPr>
      </w:pPr>
      <w:r>
        <w:rPr>
          <w:rFonts w:ascii="Arial" w:cs="Arial" w:eastAsia="Arial" w:hAnsi="Arial"/>
          <w:sz w:val="19"/>
          <w:szCs w:val="19"/>
          <w:color w:val="auto"/>
        </w:rPr>
        <w:t>Our historical net tangible book value (deficit) as of September 30, 2018 was $(82.8) million, or $(6.01) per share of our common stock. Our historical net tangible book value (deficit) is the amount of our total tangible assets less our total liabilities and convertible preferred stock, which is not included within our stockholders’ (deficit) equity. Historical net tangible book value per share represents historical net tangible book value (deficit) divided by the number of shares of our common stock outstanding as of September 30, 2018.</w:t>
      </w:r>
    </w:p>
    <w:p>
      <w:pPr>
        <w:spacing w:after="0" w:line="198" w:lineRule="exact"/>
        <w:rPr>
          <w:sz w:val="20"/>
          <w:szCs w:val="20"/>
          <w:color w:val="auto"/>
        </w:rPr>
      </w:pPr>
    </w:p>
    <w:p>
      <w:pPr>
        <w:ind w:left="180" w:right="20" w:firstLine="465"/>
        <w:spacing w:after="0" w:line="272" w:lineRule="auto"/>
        <w:rPr>
          <w:sz w:val="20"/>
          <w:szCs w:val="20"/>
          <w:color w:val="auto"/>
        </w:rPr>
      </w:pPr>
      <w:r>
        <w:rPr>
          <w:rFonts w:ascii="Arial" w:cs="Arial" w:eastAsia="Arial" w:hAnsi="Arial"/>
          <w:sz w:val="18"/>
          <w:szCs w:val="18"/>
          <w:color w:val="auto"/>
        </w:rPr>
        <w:t>Our pro forma net tangible book value as of September 30, 2018 was $127.4 million, or $2.15 per share of our common stock. Pro forma net tangible book value represents the amount of our total tangible assets less our total liabilities, after giving effect to the automatic conversion of all outstanding shares of our convertible preferred stock into an aggregate of 45,350,215 shares of common stock immediately prior to the completion of this offering. Pro forma net tangible book value per share represents pro forma net tangible book value divided by the total number of shares outstanding as of September 30, 2018, after giving effect to the automatic conversion of all outstanding shares of our convertible preferred stock into an aggregate of 45,350,215 shares of our common stock immediately prior to the completion of this offering.</w:t>
      </w:r>
    </w:p>
    <w:p>
      <w:pPr>
        <w:spacing w:after="0" w:line="190"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color w:val="auto"/>
        </w:rPr>
        <w:t>After giving further effect to our sale of 9,250,000 shares of common stock in this offering at an assumed initial public offering price of $19.00 per share, which is the midpoint of the estimated offering price range set forth on the cover page of this prospectus, and after deducting estimated underwriting discounts and commissions and estimated offering expenses payable by us, our pro forma as adjusted net tangible book value as of September 30, 2018 would have been approximately $287.2 million, or approximately $4.20 per share. This represents an immediate increase in pro forma as adjusted net tangible book value per share of $2.05 to our existing stockholders and an immediate dilution in pro forma as adjusted net tangible book value per share of approximately $14.80 to new investors purchasing common stock in this offering. Dilution per share to new investors purchasing common stock in this offering is determined by subtracting pro forma as adjusted net tangible book value per share after this offering from the assumed initial public offering price per share paid by new investors.</w:t>
      </w:r>
    </w:p>
    <w:p>
      <w:pPr>
        <w:spacing w:after="0" w:line="191"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0080" w:type="dxa"/>
            <w:vAlign w:val="bottom"/>
          </w:tcPr>
          <w:p>
            <w:pPr>
              <w:ind w:left="440"/>
              <w:spacing w:after="0"/>
              <w:rPr>
                <w:sz w:val="20"/>
                <w:szCs w:val="20"/>
                <w:color w:val="auto"/>
              </w:rPr>
            </w:pPr>
            <w:r>
              <w:rPr>
                <w:rFonts w:ascii="Arial" w:cs="Arial" w:eastAsia="Arial" w:hAnsi="Arial"/>
                <w:sz w:val="19"/>
                <w:szCs w:val="19"/>
                <w:color w:val="auto"/>
              </w:rPr>
              <w:t>The following table illustrates this dilution on a per share basis:</w:t>
            </w: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10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9"/>
                <w:szCs w:val="19"/>
                <w:color w:val="auto"/>
              </w:rPr>
              <w:t>Assumed initial public offering price per share</w:t>
            </w:r>
          </w:p>
        </w:tc>
        <w:tc>
          <w:tcPr>
            <w:tcW w:w="1540" w:type="dxa"/>
            <w:vAlign w:val="bottom"/>
            <w:gridSpan w:val="4"/>
            <w:shd w:val="clear" w:color="auto" w:fill="CCEEFF"/>
          </w:tcPr>
          <w:p>
            <w:pPr>
              <w:jc w:val="right"/>
              <w:ind w:right="60"/>
              <w:spacing w:after="0"/>
              <w:rPr>
                <w:sz w:val="20"/>
                <w:szCs w:val="20"/>
                <w:color w:val="auto"/>
              </w:rPr>
            </w:pPr>
            <w:r>
              <w:rPr>
                <w:rFonts w:ascii="Arial" w:cs="Arial" w:eastAsia="Arial" w:hAnsi="Arial"/>
                <w:sz w:val="19"/>
                <w:szCs w:val="19"/>
                <w:color w:val="auto"/>
              </w:rPr>
              <w:t>$19.00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80" w:type="dxa"/>
            <w:vAlign w:val="bottom"/>
          </w:tcPr>
          <w:p>
            <w:pPr>
              <w:ind w:left="360"/>
              <w:spacing w:after="0"/>
              <w:rPr>
                <w:sz w:val="20"/>
                <w:szCs w:val="20"/>
                <w:color w:val="auto"/>
              </w:rPr>
            </w:pPr>
            <w:r>
              <w:rPr>
                <w:rFonts w:ascii="Arial" w:cs="Arial" w:eastAsia="Arial" w:hAnsi="Arial"/>
                <w:sz w:val="19"/>
                <w:szCs w:val="19"/>
                <w:color w:val="auto"/>
              </w:rPr>
              <w:t>Historical net tangible book value (deficit) per share as of September 30, 2018</w:t>
            </w:r>
          </w:p>
        </w:tc>
        <w:tc>
          <w:tcPr>
            <w:tcW w:w="960" w:type="dxa"/>
            <w:vAlign w:val="bottom"/>
            <w:gridSpan w:val="2"/>
          </w:tcPr>
          <w:p>
            <w:pPr>
              <w:jc w:val="right"/>
              <w:ind w:right="400"/>
              <w:spacing w:after="0"/>
              <w:rPr>
                <w:sz w:val="20"/>
                <w:szCs w:val="20"/>
                <w:color w:val="auto"/>
              </w:rPr>
            </w:pPr>
            <w:r>
              <w:rPr>
                <w:rFonts w:ascii="Arial" w:cs="Arial" w:eastAsia="Arial" w:hAnsi="Arial"/>
                <w:sz w:val="19"/>
                <w:szCs w:val="19"/>
                <w:color w:val="auto"/>
                <w:w w:val="89"/>
              </w:rPr>
              <w:t>$(6.01)</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Pro forma increase in net tangible book value per share as of September 30, 2018</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8.16</w:t>
            </w:r>
          </w:p>
        </w:tc>
        <w:tc>
          <w:tcPr>
            <w:tcW w:w="4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80" w:type="dxa"/>
            <w:vAlign w:val="bottom"/>
          </w:tcPr>
          <w:p>
            <w:pPr>
              <w:ind w:left="360"/>
              <w:spacing w:after="0"/>
              <w:rPr>
                <w:sz w:val="20"/>
                <w:szCs w:val="20"/>
                <w:color w:val="auto"/>
              </w:rPr>
            </w:pPr>
            <w:r>
              <w:rPr>
                <w:rFonts w:ascii="Arial" w:cs="Arial" w:eastAsia="Arial" w:hAnsi="Arial"/>
                <w:sz w:val="19"/>
                <w:szCs w:val="19"/>
                <w:color w:val="auto"/>
              </w:rPr>
              <w:t>Pro forma net tangible book value per share as of September 30, 2018</w:t>
            </w:r>
          </w:p>
        </w:tc>
        <w:tc>
          <w:tcPr>
            <w:tcW w:w="960" w:type="dxa"/>
            <w:vAlign w:val="bottom"/>
            <w:gridSpan w:val="2"/>
          </w:tcPr>
          <w:p>
            <w:pPr>
              <w:jc w:val="right"/>
              <w:ind w:right="460"/>
              <w:spacing w:after="0"/>
              <w:rPr>
                <w:sz w:val="20"/>
                <w:szCs w:val="20"/>
                <w:color w:val="auto"/>
              </w:rPr>
            </w:pPr>
            <w:r>
              <w:rPr>
                <w:rFonts w:ascii="Arial" w:cs="Arial" w:eastAsia="Arial" w:hAnsi="Arial"/>
                <w:sz w:val="19"/>
                <w:szCs w:val="19"/>
                <w:color w:val="auto"/>
              </w:rPr>
              <w:t>2.15</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80" w:type="dxa"/>
            <w:vAlign w:val="bottom"/>
            <w:shd w:val="clear" w:color="auto" w:fill="CCEEFF"/>
          </w:tcPr>
          <w:p>
            <w:pPr>
              <w:ind w:left="360"/>
              <w:spacing w:after="0" w:line="214" w:lineRule="exact"/>
              <w:rPr>
                <w:sz w:val="20"/>
                <w:szCs w:val="20"/>
                <w:color w:val="auto"/>
              </w:rPr>
            </w:pPr>
            <w:r>
              <w:rPr>
                <w:rFonts w:ascii="Arial" w:cs="Arial" w:eastAsia="Arial" w:hAnsi="Arial"/>
                <w:sz w:val="19"/>
                <w:szCs w:val="19"/>
                <w:color w:val="auto"/>
                <w:w w:val="94"/>
              </w:rPr>
              <w:t>Increase in pro forma as adjusted net tangible book value per share attributable to new investors purchasing shares in this</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80" w:type="dxa"/>
            <w:vAlign w:val="bottom"/>
            <w:shd w:val="clear" w:color="auto" w:fill="CCEEFF"/>
          </w:tcPr>
          <w:p>
            <w:pPr>
              <w:ind w:left="560"/>
              <w:spacing w:after="0"/>
              <w:rPr>
                <w:sz w:val="20"/>
                <w:szCs w:val="20"/>
                <w:color w:val="auto"/>
              </w:rPr>
            </w:pPr>
            <w:r>
              <w:rPr>
                <w:rFonts w:ascii="Arial" w:cs="Arial" w:eastAsia="Arial" w:hAnsi="Arial"/>
                <w:sz w:val="19"/>
                <w:szCs w:val="19"/>
                <w:color w:val="auto"/>
              </w:rPr>
              <w:t>offering</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2.05</w:t>
            </w:r>
          </w:p>
        </w:tc>
        <w:tc>
          <w:tcPr>
            <w:tcW w:w="4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100" w:type="dxa"/>
            <w:vAlign w:val="bottom"/>
            <w:gridSpan w:val="2"/>
          </w:tcPr>
          <w:p>
            <w:pPr>
              <w:spacing w:after="0"/>
              <w:rPr>
                <w:sz w:val="20"/>
                <w:szCs w:val="20"/>
                <w:color w:val="auto"/>
              </w:rPr>
            </w:pPr>
            <w:r>
              <w:rPr>
                <w:rFonts w:ascii="Arial" w:cs="Arial" w:eastAsia="Arial" w:hAnsi="Arial"/>
                <w:sz w:val="19"/>
                <w:szCs w:val="19"/>
                <w:color w:val="auto"/>
              </w:rPr>
              <w:t>Pro forma as adjusted net tangible book value per share after this offering</w:t>
            </w:r>
          </w:p>
        </w:tc>
        <w:tc>
          <w:tcPr>
            <w:tcW w:w="960" w:type="dxa"/>
            <w:vAlign w:val="bottom"/>
            <w:gridSpan w:val="2"/>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9"/>
                <w:szCs w:val="19"/>
                <w:color w:val="auto"/>
              </w:rPr>
              <w:t>Dilution per share to new investors purchasing shares in this offering</w:t>
            </w:r>
          </w:p>
        </w:tc>
        <w:tc>
          <w:tcPr>
            <w:tcW w:w="1540" w:type="dxa"/>
            <w:vAlign w:val="bottom"/>
            <w:gridSpan w:val="4"/>
            <w:shd w:val="clear" w:color="auto" w:fill="CCEEFF"/>
          </w:tcPr>
          <w:p>
            <w:pPr>
              <w:jc w:val="right"/>
              <w:ind w:right="6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14.80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180" w:right="20" w:firstLine="465"/>
        <w:spacing w:after="0" w:line="255" w:lineRule="auto"/>
        <w:rPr>
          <w:sz w:val="20"/>
          <w:szCs w:val="20"/>
          <w:color w:val="auto"/>
        </w:rPr>
      </w:pPr>
      <w:r>
        <w:rPr>
          <w:rFonts w:ascii="Arial" w:cs="Arial" w:eastAsia="Arial" w:hAnsi="Arial"/>
          <w:sz w:val="19"/>
          <w:szCs w:val="19"/>
          <w:color w:val="auto"/>
        </w:rPr>
        <w:t>Each $1.00 increase (decrease) in the assumed initial public offering price of $19.00 per share, which is the midpoint of the estimated offering price range set forth on the cover page of this prospectus, would increase (decrease) the pro forma as adjusted net tangible book value per share after this offering by $0.13 per share and the dilution to new investors purchasing common stock in this offering by $0.87 per share, assuming the number of shares offered by us, as set forth on the cover page of this prospectus, remains the same, and after deducting estimated underwriting discounts and commissions and estimated offering expenses payable by us. An increase of 1,000,000 shares in the number of shares offered by us would increase the pro forma as adjusted net tangible</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69</w:t>
      </w:r>
    </w:p>
    <w:p>
      <w:pPr>
        <w:sectPr>
          <w:pgSz w:w="12240" w:h="15840" w:orient="portrait"/>
          <w:cols w:equalWidth="0" w:num="1">
            <w:col w:w="11820"/>
          </w:cols>
          <w:pgMar w:left="120" w:top="336" w:right="300" w:bottom="1440" w:gutter="0" w:footer="0" w:header="0"/>
        </w:sectPr>
      </w:pPr>
    </w:p>
    <w:bookmarkStart w:id="77" w:name="page78"/>
    <w:bookmarkEnd w:id="7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0"/>
        <w:spacing w:after="0" w:line="255" w:lineRule="auto"/>
        <w:rPr>
          <w:sz w:val="20"/>
          <w:szCs w:val="20"/>
          <w:color w:val="auto"/>
        </w:rPr>
      </w:pPr>
      <w:r>
        <w:rPr>
          <w:rFonts w:ascii="Arial" w:cs="Arial" w:eastAsia="Arial" w:hAnsi="Arial"/>
          <w:sz w:val="19"/>
          <w:szCs w:val="19"/>
          <w:color w:val="auto"/>
        </w:rPr>
        <w:t>book value per share after this offering by $0.20 and decrease the dilution per share to new investors participating in this offering by $0.20, assuming no change in the assumed initial public offering price and after deducting estimated underwriting discounts and commissions and estimated offering expenses payable by us. A decrease of 1,000,000 shares in the number of shares offered by us would decrease the pro forma as adjusted net tangible book value per share after this offering by $0.20 and increase the dilution per share to new investors participating in this offering by $0.20, assuming no change in the assumed initial public offering price and after deducting estimated underwriting discounts and commissions and estimated offering expenses payable by us.</w:t>
      </w:r>
    </w:p>
    <w:p>
      <w:pPr>
        <w:spacing w:after="0" w:line="204" w:lineRule="exact"/>
        <w:rPr>
          <w:sz w:val="20"/>
          <w:szCs w:val="20"/>
          <w:color w:val="auto"/>
        </w:rPr>
      </w:pPr>
    </w:p>
    <w:p>
      <w:pPr>
        <w:ind w:left="180" w:right="360" w:firstLine="465"/>
        <w:spacing w:after="0" w:line="255" w:lineRule="auto"/>
        <w:rPr>
          <w:sz w:val="20"/>
          <w:szCs w:val="20"/>
          <w:color w:val="auto"/>
        </w:rPr>
      </w:pPr>
      <w:r>
        <w:rPr>
          <w:rFonts w:ascii="Arial" w:cs="Arial" w:eastAsia="Arial" w:hAnsi="Arial"/>
          <w:sz w:val="19"/>
          <w:szCs w:val="19"/>
          <w:color w:val="auto"/>
        </w:rPr>
        <w:t>If the underwriters exercise their option to purchase 1,387,500 additional shares of common stock in this offering in full at the assumed initial public offering price of $19.00 per share, which is the midpoint of the estimated offering price range set forth on the cover of this prospectus and assuming the number of shares offered by us, as set forth on the cover page of this prospectus, remains the same, and after deducting estimated underwriting discounts and commissions and estimated offering expenses payable by us, the pro forma as adjusted net tangible book value per share after this offering would be $4.47 per share, and the dilution in pro forma as adjusted net tangible book value per share to new investors purchasing common stock in this offering would be $14.53 per share.</w:t>
      </w:r>
    </w:p>
    <w:p>
      <w:pPr>
        <w:spacing w:after="0" w:line="204" w:lineRule="exact"/>
        <w:rPr>
          <w:sz w:val="20"/>
          <w:szCs w:val="20"/>
          <w:color w:val="auto"/>
        </w:rPr>
      </w:pPr>
    </w:p>
    <w:p>
      <w:pPr>
        <w:ind w:left="180" w:right="60" w:firstLine="465"/>
        <w:spacing w:after="0" w:line="256" w:lineRule="auto"/>
        <w:rPr>
          <w:sz w:val="20"/>
          <w:szCs w:val="20"/>
          <w:color w:val="auto"/>
        </w:rPr>
      </w:pPr>
      <w:r>
        <w:rPr>
          <w:rFonts w:ascii="Arial" w:cs="Arial" w:eastAsia="Arial" w:hAnsi="Arial"/>
          <w:sz w:val="19"/>
          <w:szCs w:val="19"/>
          <w:color w:val="auto"/>
        </w:rPr>
        <w:t>The following table summarizes, on a pro forma as adjusted basis, as of September 30, 2018, the number of shares of common stock purchased from us on an as converted to common stock basis, the total consideration paid, or to be paid and the weighted-average price per share paid, or to be paid, by existing stockholders and by new investors in this offering at an assumed initial public offering price of $19.00 per share, which is the midpoint of the estimated offering price range set forth on the cover page of this prospectus, before deducting estimated underwriting discounts and commissions and estimated offering expenses payable by us.</w:t>
      </w:r>
    </w:p>
    <w:p>
      <w:pPr>
        <w:spacing w:after="0" w:line="20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6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Arial" w:cs="Arial" w:eastAsia="Arial" w:hAnsi="Arial"/>
                <w:sz w:val="15"/>
                <w:szCs w:val="15"/>
                <w:b w:val="1"/>
                <w:bCs w:val="1"/>
                <w:color w:val="auto"/>
                <w:w w:val="90"/>
              </w:rPr>
              <w:t>Weighted-</w:t>
            </w:r>
          </w:p>
        </w:tc>
        <w:tc>
          <w:tcPr>
            <w:tcW w:w="0" w:type="dxa"/>
            <w:vAlign w:val="bottom"/>
          </w:tcPr>
          <w:p>
            <w:pPr>
              <w:spacing w:after="0"/>
              <w:rPr>
                <w:sz w:val="1"/>
                <w:szCs w:val="1"/>
                <w:color w:val="auto"/>
              </w:rPr>
            </w:pPr>
          </w:p>
        </w:tc>
      </w:tr>
      <w:tr>
        <w:trPr>
          <w:trHeight w:val="157"/>
        </w:trPr>
        <w:tc>
          <w:tcPr>
            <w:tcW w:w="6140" w:type="dxa"/>
            <w:vAlign w:val="bottom"/>
          </w:tcPr>
          <w:p>
            <w:pPr>
              <w:spacing w:after="0"/>
              <w:rPr>
                <w:sz w:val="13"/>
                <w:szCs w:val="13"/>
                <w:color w:val="auto"/>
              </w:rPr>
            </w:pPr>
          </w:p>
        </w:tc>
        <w:tc>
          <w:tcPr>
            <w:tcW w:w="1780" w:type="dxa"/>
            <w:vAlign w:val="bottom"/>
            <w:gridSpan w:val="3"/>
            <w:vMerge w:val="restart"/>
          </w:tcPr>
          <w:p>
            <w:pPr>
              <w:ind w:left="320"/>
              <w:spacing w:after="0"/>
              <w:rPr>
                <w:sz w:val="20"/>
                <w:szCs w:val="20"/>
                <w:color w:val="auto"/>
              </w:rPr>
            </w:pPr>
            <w:r>
              <w:rPr>
                <w:rFonts w:ascii="Arial" w:cs="Arial" w:eastAsia="Arial" w:hAnsi="Arial"/>
                <w:sz w:val="15"/>
                <w:szCs w:val="15"/>
                <w:b w:val="1"/>
                <w:bCs w:val="1"/>
                <w:color w:val="auto"/>
              </w:rPr>
              <w:t>Shares Purchased</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gridSpan w:val="3"/>
            <w:vMerge w:val="restart"/>
          </w:tcPr>
          <w:p>
            <w:pPr>
              <w:jc w:val="right"/>
              <w:ind w:right="234"/>
              <w:spacing w:after="0"/>
              <w:rPr>
                <w:sz w:val="20"/>
                <w:szCs w:val="20"/>
                <w:color w:val="auto"/>
              </w:rPr>
            </w:pPr>
            <w:r>
              <w:rPr>
                <w:rFonts w:ascii="Arial" w:cs="Arial" w:eastAsia="Arial" w:hAnsi="Arial"/>
                <w:sz w:val="15"/>
                <w:szCs w:val="15"/>
                <w:b w:val="1"/>
                <w:bCs w:val="1"/>
                <w:color w:val="auto"/>
              </w:rPr>
              <w:t>Total Consideration</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center"/>
              <w:spacing w:after="0" w:line="157" w:lineRule="exact"/>
              <w:rPr>
                <w:sz w:val="20"/>
                <w:szCs w:val="20"/>
                <w:color w:val="auto"/>
              </w:rPr>
            </w:pPr>
            <w:r>
              <w:rPr>
                <w:rFonts w:ascii="Arial" w:cs="Arial" w:eastAsia="Arial" w:hAnsi="Arial"/>
                <w:sz w:val="15"/>
                <w:szCs w:val="15"/>
                <w:b w:val="1"/>
                <w:bCs w:val="1"/>
                <w:color w:val="auto"/>
                <w:w w:val="87"/>
              </w:rPr>
              <w:t>Average</w:t>
            </w: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1"/>
                <w:szCs w:val="11"/>
                <w:color w:val="auto"/>
              </w:rPr>
            </w:pPr>
          </w:p>
        </w:tc>
        <w:tc>
          <w:tcPr>
            <w:tcW w:w="1780" w:type="dxa"/>
            <w:vAlign w:val="bottom"/>
            <w:tcBorders>
              <w:bottom w:val="single" w:sz="8" w:color="auto"/>
            </w:tcBorders>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tcBorders>
              <w:bottom w:val="single" w:sz="8" w:color="auto"/>
            </w:tcBorders>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spacing w:after="0" w:line="131" w:lineRule="exact"/>
              <w:rPr>
                <w:sz w:val="20"/>
                <w:szCs w:val="20"/>
                <w:color w:val="auto"/>
              </w:rPr>
            </w:pPr>
            <w:r>
              <w:rPr>
                <w:rFonts w:ascii="Arial" w:cs="Arial" w:eastAsia="Arial" w:hAnsi="Arial"/>
                <w:sz w:val="15"/>
                <w:szCs w:val="15"/>
                <w:b w:val="1"/>
                <w:bCs w:val="1"/>
                <w:color w:val="auto"/>
                <w:w w:val="92"/>
              </w:rPr>
              <w:t>Price Per</w:t>
            </w:r>
          </w:p>
        </w:tc>
        <w:tc>
          <w:tcPr>
            <w:tcW w:w="0" w:type="dxa"/>
            <w:vAlign w:val="bottom"/>
          </w:tcPr>
          <w:p>
            <w:pPr>
              <w:spacing w:after="0"/>
              <w:rPr>
                <w:sz w:val="1"/>
                <w:szCs w:val="1"/>
                <w:color w:val="auto"/>
              </w:rPr>
            </w:pPr>
          </w:p>
        </w:tc>
      </w:tr>
      <w:tr>
        <w:trPr>
          <w:trHeight w:val="180"/>
        </w:trPr>
        <w:tc>
          <w:tcPr>
            <w:tcW w:w="6140" w:type="dxa"/>
            <w:vAlign w:val="bottom"/>
          </w:tcPr>
          <w:p>
            <w:pPr>
              <w:spacing w:after="0"/>
              <w:rPr>
                <w:sz w:val="15"/>
                <w:szCs w:val="15"/>
                <w:color w:val="auto"/>
              </w:rPr>
            </w:pPr>
          </w:p>
        </w:tc>
        <w:tc>
          <w:tcPr>
            <w:tcW w:w="920" w:type="dxa"/>
            <w:vAlign w:val="bottom"/>
          </w:tcPr>
          <w:p>
            <w:pPr>
              <w:jc w:val="right"/>
              <w:ind w:right="93"/>
              <w:spacing w:after="0"/>
              <w:rPr>
                <w:sz w:val="20"/>
                <w:szCs w:val="20"/>
                <w:color w:val="auto"/>
              </w:rPr>
            </w:pPr>
            <w:r>
              <w:rPr>
                <w:rFonts w:ascii="Arial" w:cs="Arial" w:eastAsia="Arial" w:hAnsi="Arial"/>
                <w:sz w:val="15"/>
                <w:szCs w:val="15"/>
                <w:b w:val="1"/>
                <w:bCs w:val="1"/>
                <w:color w:val="auto"/>
              </w:rPr>
              <w:t>Number</w:t>
            </w:r>
          </w:p>
        </w:tc>
        <w:tc>
          <w:tcPr>
            <w:tcW w:w="36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87"/>
              </w:rPr>
              <w:t>Percent</w:t>
            </w:r>
          </w:p>
        </w:tc>
        <w:tc>
          <w:tcPr>
            <w:tcW w:w="180" w:type="dxa"/>
            <w:vAlign w:val="bottom"/>
          </w:tcPr>
          <w:p>
            <w:pPr>
              <w:spacing w:after="0"/>
              <w:rPr>
                <w:sz w:val="15"/>
                <w:szCs w:val="15"/>
                <w:color w:val="auto"/>
              </w:rPr>
            </w:pPr>
          </w:p>
        </w:tc>
        <w:tc>
          <w:tcPr>
            <w:tcW w:w="1060" w:type="dxa"/>
            <w:vAlign w:val="bottom"/>
          </w:tcPr>
          <w:p>
            <w:pPr>
              <w:jc w:val="right"/>
              <w:ind w:right="198"/>
              <w:spacing w:after="0"/>
              <w:rPr>
                <w:sz w:val="20"/>
                <w:szCs w:val="20"/>
                <w:color w:val="auto"/>
              </w:rPr>
            </w:pPr>
            <w:r>
              <w:rPr>
                <w:rFonts w:ascii="Arial" w:cs="Arial" w:eastAsia="Arial" w:hAnsi="Arial"/>
                <w:sz w:val="15"/>
                <w:szCs w:val="15"/>
                <w:b w:val="1"/>
                <w:bCs w:val="1"/>
                <w:color w:val="auto"/>
              </w:rPr>
              <w:t>Amount</w:t>
            </w:r>
          </w:p>
        </w:tc>
        <w:tc>
          <w:tcPr>
            <w:tcW w:w="36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87"/>
              </w:rPr>
              <w:t>Percent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center"/>
              <w:ind w:right="91"/>
              <w:spacing w:after="0"/>
              <w:rPr>
                <w:sz w:val="20"/>
                <w:szCs w:val="20"/>
                <w:color w:val="auto"/>
              </w:rPr>
            </w:pPr>
            <w:r>
              <w:rPr>
                <w:rFonts w:ascii="Arial" w:cs="Arial" w:eastAsia="Arial" w:hAnsi="Arial"/>
                <w:sz w:val="15"/>
                <w:szCs w:val="15"/>
                <w:b w:val="1"/>
                <w:bCs w:val="1"/>
                <w:color w:val="auto"/>
                <w:w w:val="91"/>
              </w:rPr>
              <w:t>Share</w:t>
            </w:r>
          </w:p>
        </w:tc>
        <w:tc>
          <w:tcPr>
            <w:tcW w:w="0" w:type="dxa"/>
            <w:vAlign w:val="bottom"/>
          </w:tcPr>
          <w:p>
            <w:pPr>
              <w:spacing w:after="0"/>
              <w:rPr>
                <w:sz w:val="1"/>
                <w:szCs w:val="1"/>
                <w:color w:val="auto"/>
              </w:rPr>
            </w:pPr>
          </w:p>
        </w:tc>
      </w:tr>
      <w:tr>
        <w:trPr>
          <w:trHeight w:val="20"/>
        </w:trPr>
        <w:tc>
          <w:tcPr>
            <w:tcW w:w="6140" w:type="dxa"/>
            <w:vAlign w:val="bottom"/>
            <w:vMerge w:val="restart"/>
            <w:shd w:val="clear" w:color="auto" w:fill="CCEEFF"/>
          </w:tcPr>
          <w:p>
            <w:pPr>
              <w:spacing w:after="0"/>
              <w:rPr>
                <w:sz w:val="20"/>
                <w:szCs w:val="20"/>
                <w:color w:val="auto"/>
              </w:rPr>
            </w:pPr>
            <w:r>
              <w:rPr>
                <w:rFonts w:ascii="Arial" w:cs="Arial" w:eastAsia="Arial" w:hAnsi="Arial"/>
                <w:sz w:val="19"/>
                <w:szCs w:val="19"/>
                <w:color w:val="auto"/>
              </w:rPr>
              <w:t>Existing stockholders before this offering</w:t>
            </w:r>
          </w:p>
        </w:tc>
        <w:tc>
          <w:tcPr>
            <w:tcW w:w="9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40" w:type="dxa"/>
            <w:vAlign w:val="bottom"/>
            <w:vMerge w:val="continue"/>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59,115,004</w:t>
            </w:r>
          </w:p>
        </w:tc>
        <w:tc>
          <w:tcPr>
            <w:tcW w:w="360" w:type="dxa"/>
            <w:vAlign w:val="bottom"/>
            <w:vMerge w:val="continue"/>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86.5%</w:t>
            </w:r>
          </w:p>
        </w:tc>
        <w:tc>
          <w:tcPr>
            <w:tcW w:w="180" w:type="dxa"/>
            <w:vAlign w:val="bottom"/>
            <w:vMerge w:val="continue"/>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9"/>
              </w:rPr>
              <w:t>$210,703,533</w:t>
            </w:r>
          </w:p>
        </w:tc>
        <w:tc>
          <w:tcPr>
            <w:tcW w:w="360" w:type="dxa"/>
            <w:vAlign w:val="bottom"/>
            <w:vMerge w:val="continue"/>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54.5%</w:t>
            </w:r>
          </w:p>
        </w:tc>
        <w:tc>
          <w:tcPr>
            <w:tcW w:w="1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3.56</w:t>
            </w:r>
          </w:p>
        </w:tc>
        <w:tc>
          <w:tcPr>
            <w:tcW w:w="0" w:type="dxa"/>
            <w:vAlign w:val="bottom"/>
          </w:tcPr>
          <w:p>
            <w:pPr>
              <w:spacing w:after="0"/>
              <w:rPr>
                <w:sz w:val="1"/>
                <w:szCs w:val="1"/>
                <w:color w:val="auto"/>
              </w:rPr>
            </w:pPr>
          </w:p>
        </w:tc>
      </w:tr>
      <w:tr>
        <w:trPr>
          <w:trHeight w:val="228"/>
        </w:trPr>
        <w:tc>
          <w:tcPr>
            <w:tcW w:w="6140" w:type="dxa"/>
            <w:vAlign w:val="bottom"/>
          </w:tcPr>
          <w:p>
            <w:pPr>
              <w:spacing w:after="0"/>
              <w:rPr>
                <w:sz w:val="20"/>
                <w:szCs w:val="20"/>
                <w:color w:val="auto"/>
              </w:rPr>
            </w:pPr>
            <w:r>
              <w:rPr>
                <w:rFonts w:ascii="Arial" w:cs="Arial" w:eastAsia="Arial" w:hAnsi="Arial"/>
                <w:sz w:val="19"/>
                <w:szCs w:val="19"/>
                <w:color w:val="auto"/>
              </w:rPr>
              <w:t>Investors participating in this offering</w:t>
            </w:r>
          </w:p>
        </w:tc>
        <w:tc>
          <w:tcPr>
            <w:tcW w:w="920" w:type="dxa"/>
            <w:vAlign w:val="bottom"/>
          </w:tcPr>
          <w:p>
            <w:pPr>
              <w:jc w:val="right"/>
              <w:spacing w:after="0"/>
              <w:rPr>
                <w:sz w:val="20"/>
                <w:szCs w:val="20"/>
                <w:color w:val="auto"/>
              </w:rPr>
            </w:pPr>
            <w:r>
              <w:rPr>
                <w:rFonts w:ascii="Arial" w:cs="Arial" w:eastAsia="Arial" w:hAnsi="Arial"/>
                <w:sz w:val="19"/>
                <w:szCs w:val="19"/>
                <w:color w:val="auto"/>
              </w:rPr>
              <w:t>9,250,000</w:t>
            </w:r>
          </w:p>
        </w:tc>
        <w:tc>
          <w:tcPr>
            <w:tcW w:w="36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9"/>
                <w:szCs w:val="19"/>
                <w:color w:val="auto"/>
              </w:rPr>
              <w:t>13.5</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175,750,000</w:t>
            </w:r>
          </w:p>
        </w:tc>
        <w:tc>
          <w:tcPr>
            <w:tcW w:w="1200" w:type="dxa"/>
            <w:vAlign w:val="bottom"/>
            <w:gridSpan w:val="3"/>
          </w:tcPr>
          <w:p>
            <w:pPr>
              <w:jc w:val="right"/>
              <w:ind w:right="340"/>
              <w:spacing w:after="0"/>
              <w:rPr>
                <w:sz w:val="20"/>
                <w:szCs w:val="20"/>
                <w:color w:val="auto"/>
              </w:rPr>
            </w:pPr>
            <w:r>
              <w:rPr>
                <w:rFonts w:ascii="Arial" w:cs="Arial" w:eastAsia="Arial" w:hAnsi="Arial"/>
                <w:sz w:val="19"/>
                <w:szCs w:val="19"/>
                <w:color w:val="auto"/>
              </w:rPr>
              <w:t>45.5</w:t>
            </w:r>
          </w:p>
        </w:tc>
        <w:tc>
          <w:tcPr>
            <w:tcW w:w="3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19.00</w:t>
            </w:r>
          </w:p>
        </w:tc>
        <w:tc>
          <w:tcPr>
            <w:tcW w:w="0" w:type="dxa"/>
            <w:vAlign w:val="bottom"/>
          </w:tcPr>
          <w:p>
            <w:pPr>
              <w:spacing w:after="0"/>
              <w:rPr>
                <w:sz w:val="1"/>
                <w:szCs w:val="1"/>
                <w:color w:val="auto"/>
              </w:rPr>
            </w:pPr>
          </w:p>
        </w:tc>
      </w:tr>
      <w:tr>
        <w:trPr>
          <w:trHeight w:val="29"/>
        </w:trPr>
        <w:tc>
          <w:tcPr>
            <w:tcW w:w="61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14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68,365,044</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100%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386,453,533</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100%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180" w:right="240" w:firstLine="465"/>
        <w:spacing w:after="0" w:line="298" w:lineRule="auto"/>
        <w:rPr>
          <w:sz w:val="20"/>
          <w:szCs w:val="20"/>
          <w:color w:val="auto"/>
        </w:rPr>
      </w:pPr>
      <w:r>
        <w:rPr>
          <w:rFonts w:ascii="Arial" w:cs="Arial" w:eastAsia="Arial" w:hAnsi="Arial"/>
          <w:sz w:val="17"/>
          <w:szCs w:val="17"/>
          <w:color w:val="auto"/>
        </w:rPr>
        <w:t>The table above assumes no exercise of the underwriters’ option to purchase 1,387,500 additional shares in this offering. If the underwriters’ option to purchase additional shares is exercised in full, the number of shares of our common stock held by existing stockholders would be reduced to 84.7% of the total number of shares of our common stock outstanding after this offering, and the number of shares of common stock held by new investors participating in the offering would be increased to 15.3% of the total number of shares outstanding after this offering.</w:t>
      </w:r>
    </w:p>
    <w:p>
      <w:pPr>
        <w:spacing w:after="0" w:line="170" w:lineRule="exact"/>
        <w:rPr>
          <w:sz w:val="20"/>
          <w:szCs w:val="20"/>
          <w:color w:val="auto"/>
        </w:rPr>
      </w:pPr>
    </w:p>
    <w:p>
      <w:pPr>
        <w:ind w:left="180" w:right="360" w:firstLine="465"/>
        <w:spacing w:after="0" w:line="256" w:lineRule="auto"/>
        <w:rPr>
          <w:sz w:val="20"/>
          <w:szCs w:val="20"/>
          <w:color w:val="auto"/>
        </w:rPr>
      </w:pPr>
      <w:r>
        <w:rPr>
          <w:rFonts w:ascii="Arial" w:cs="Arial" w:eastAsia="Arial" w:hAnsi="Arial"/>
          <w:sz w:val="19"/>
          <w:szCs w:val="19"/>
          <w:color w:val="auto"/>
        </w:rPr>
        <w:t>Each $1.00 increase (decrease) in the assumed initial public offering price of $19.00 per share, which is the midpoint of the estimated offering price range set forth on the cover page of this prospectus, would increase (decrease) the total consideration paid by new investors by $9.3 million, assuming that the number of shares offered by us, as set forth on the cover page of this prospectus, remains the same. An increase (decrease) of 1,000,000 shares in the number of shares offered by us would increase (decrease) the total consideration paid by new investors by $19.0 million, assuming no change in the assumed initial public offering price.</w:t>
      </w:r>
    </w:p>
    <w:p>
      <w:pPr>
        <w:spacing w:after="0" w:line="204" w:lineRule="exact"/>
        <w:rPr>
          <w:sz w:val="20"/>
          <w:szCs w:val="20"/>
          <w:color w:val="auto"/>
        </w:rPr>
      </w:pPr>
    </w:p>
    <w:p>
      <w:pPr>
        <w:ind w:left="180" w:right="860" w:firstLine="465"/>
        <w:spacing w:after="0" w:line="336" w:lineRule="auto"/>
        <w:rPr>
          <w:sz w:val="20"/>
          <w:szCs w:val="20"/>
          <w:color w:val="auto"/>
        </w:rPr>
      </w:pPr>
      <w:r>
        <w:rPr>
          <w:rFonts w:ascii="Arial" w:cs="Arial" w:eastAsia="Arial" w:hAnsi="Arial"/>
          <w:sz w:val="17"/>
          <w:szCs w:val="17"/>
          <w:color w:val="auto"/>
        </w:rPr>
        <w:t>The number of shares of our common stock to be outstanding after this offering is based on the 59,115,044 shares of our common stock outstanding as of September 30, 2018 (including convertible preferred stock on an as-converted basis), and excludes the following:</w:t>
      </w:r>
    </w:p>
    <w:p>
      <w:pPr>
        <w:spacing w:after="0" w:line="37" w:lineRule="exact"/>
        <w:rPr>
          <w:sz w:val="20"/>
          <w:szCs w:val="20"/>
          <w:color w:val="auto"/>
        </w:rPr>
      </w:pPr>
    </w:p>
    <w:p>
      <w:pPr>
        <w:ind w:left="1100" w:right="1060" w:hanging="350"/>
        <w:spacing w:after="0" w:line="304" w:lineRule="auto"/>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3,048,500 shares of common stock issuable upon exercise of options to purchase shares of our common stock outstanding as of September 30, 2018 under our 2017 Plan, at a weighted-average exercise price of $8.14 per share;</w:t>
      </w:r>
    </w:p>
    <w:p>
      <w:pPr>
        <w:spacing w:after="0" w:line="8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70</w:t>
      </w:r>
    </w:p>
    <w:p>
      <w:pPr>
        <w:sectPr>
          <w:pgSz w:w="12240" w:h="15840" w:orient="portrait"/>
          <w:cols w:equalWidth="0" w:num="1">
            <w:col w:w="11820"/>
          </w:cols>
          <w:pgMar w:left="120" w:top="336" w:right="300" w:bottom="1440" w:gutter="0" w:footer="0" w:header="0"/>
        </w:sectPr>
      </w:pPr>
    </w:p>
    <w:bookmarkStart w:id="78" w:name="page79"/>
    <w:bookmarkEnd w:id="7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680" w:hanging="350"/>
        <w:spacing w:after="0" w:line="275" w:lineRule="auto"/>
        <w:tabs>
          <w:tab w:leader="none" w:pos="1100" w:val="left"/>
        </w:tabs>
        <w:numPr>
          <w:ilvl w:val="0"/>
          <w:numId w:val="51"/>
        </w:numPr>
        <w:rPr>
          <w:rFonts w:ascii="Arial" w:cs="Arial" w:eastAsia="Arial" w:hAnsi="Arial"/>
          <w:sz w:val="19"/>
          <w:szCs w:val="19"/>
          <w:color w:val="auto"/>
        </w:rPr>
      </w:pPr>
      <w:r>
        <w:rPr>
          <w:rFonts w:ascii="Arial" w:cs="Arial" w:eastAsia="Arial" w:hAnsi="Arial"/>
          <w:sz w:val="19"/>
          <w:szCs w:val="19"/>
          <w:color w:val="auto"/>
        </w:rPr>
        <w:t>2,021,584 shares of common stock issuable upon exercise of options to purchase shares of our common stock that we granted after September 30, 2018 under our 2017 Plan, at a weighted-average price of $10.14 per share;</w:t>
      </w:r>
    </w:p>
    <w:p>
      <w:pPr>
        <w:spacing w:after="0" w:line="84" w:lineRule="exact"/>
        <w:rPr>
          <w:rFonts w:ascii="Arial" w:cs="Arial" w:eastAsia="Arial" w:hAnsi="Arial"/>
          <w:sz w:val="19"/>
          <w:szCs w:val="19"/>
          <w:color w:val="auto"/>
        </w:rPr>
      </w:pPr>
    </w:p>
    <w:p>
      <w:pPr>
        <w:ind w:left="1100" w:hanging="350"/>
        <w:spacing w:after="0" w:line="288" w:lineRule="auto"/>
        <w:tabs>
          <w:tab w:leader="none" w:pos="11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316,100 shares of common stock issuable upon exercise of options to purchase shares of our common stock which will be granted, as of the effective date of the registration statement of which this prospectus forms a part, under our 2019 Equity Incentive Plan (2019 Plan), at an</w:t>
      </w:r>
    </w:p>
    <w:p>
      <w:pPr>
        <w:ind w:left="1100"/>
        <w:spacing w:after="0"/>
        <w:rPr>
          <w:rFonts w:ascii="Arial" w:cs="Arial" w:eastAsia="Arial" w:hAnsi="Arial"/>
          <w:sz w:val="17"/>
          <w:szCs w:val="17"/>
          <w:color w:val="auto"/>
        </w:rPr>
      </w:pPr>
      <w:r>
        <w:rPr>
          <w:rFonts w:ascii="Arial" w:cs="Arial" w:eastAsia="Arial" w:hAnsi="Arial"/>
          <w:sz w:val="19"/>
          <w:szCs w:val="19"/>
          <w:color w:val="auto"/>
        </w:rPr>
        <w:t>exercise price of $</w:t>
      </w:r>
      <w:r>
        <w:rPr>
          <w:rFonts w:ascii="Arial" w:cs="Arial" w:eastAsia="Arial" w:hAnsi="Arial"/>
          <w:sz w:val="17"/>
          <w:szCs w:val="17"/>
          <w:color w:val="auto"/>
        </w:rPr>
        <w:t>per share, which is the initial public offering price of our common stock;</w:t>
      </w:r>
    </w:p>
    <w:p>
      <w:pPr>
        <w:spacing w:after="0" w:line="124" w:lineRule="exact"/>
        <w:rPr>
          <w:rFonts w:ascii="Arial" w:cs="Arial" w:eastAsia="Arial" w:hAnsi="Arial"/>
          <w:sz w:val="17"/>
          <w:szCs w:val="17"/>
          <w:color w:val="auto"/>
        </w:rPr>
      </w:pPr>
    </w:p>
    <w:p>
      <w:pPr>
        <w:ind w:left="1100" w:right="220" w:hanging="350"/>
        <w:spacing w:after="0" w:line="275" w:lineRule="auto"/>
        <w:tabs>
          <w:tab w:leader="none" w:pos="1100" w:val="left"/>
        </w:tabs>
        <w:numPr>
          <w:ilvl w:val="0"/>
          <w:numId w:val="51"/>
        </w:numPr>
        <w:rPr>
          <w:rFonts w:ascii="Arial" w:cs="Arial" w:eastAsia="Arial" w:hAnsi="Arial"/>
          <w:sz w:val="19"/>
          <w:szCs w:val="19"/>
          <w:color w:val="auto"/>
        </w:rPr>
      </w:pPr>
      <w:r>
        <w:rPr>
          <w:rFonts w:ascii="Arial" w:cs="Arial" w:eastAsia="Arial" w:hAnsi="Arial"/>
          <w:sz w:val="19"/>
          <w:szCs w:val="19"/>
          <w:color w:val="auto"/>
        </w:rPr>
        <w:t>24,621 shares of common stock issuable upon the conversion of 24,621 shares of Series E preferred stock issued in October 2018, with a purchase price of $14.2154 per share, for aggregate gross proceeds of $0.3 million;</w:t>
      </w:r>
    </w:p>
    <w:p>
      <w:pPr>
        <w:spacing w:after="0" w:line="84" w:lineRule="exact"/>
        <w:rPr>
          <w:rFonts w:ascii="Arial" w:cs="Arial" w:eastAsia="Arial" w:hAnsi="Arial"/>
          <w:sz w:val="19"/>
          <w:szCs w:val="19"/>
          <w:color w:val="auto"/>
        </w:rPr>
      </w:pPr>
    </w:p>
    <w:p>
      <w:pPr>
        <w:ind w:left="1100" w:right="100" w:hanging="350"/>
        <w:spacing w:after="0" w:line="275" w:lineRule="auto"/>
        <w:tabs>
          <w:tab w:leader="none" w:pos="1100" w:val="left"/>
        </w:tabs>
        <w:numPr>
          <w:ilvl w:val="0"/>
          <w:numId w:val="51"/>
        </w:numPr>
        <w:rPr>
          <w:rFonts w:ascii="Arial" w:cs="Arial" w:eastAsia="Arial" w:hAnsi="Arial"/>
          <w:sz w:val="19"/>
          <w:szCs w:val="19"/>
          <w:color w:val="auto"/>
        </w:rPr>
      </w:pPr>
      <w:r>
        <w:rPr>
          <w:rFonts w:ascii="Arial" w:cs="Arial" w:eastAsia="Arial" w:hAnsi="Arial"/>
          <w:sz w:val="19"/>
          <w:szCs w:val="19"/>
          <w:color w:val="auto"/>
        </w:rPr>
        <w:t>2,136,250 shares of common stock reserved for future issuance under our 2017 Plan as of September 30, 2018, which shares will be added to the shares to be reserved under our 2019 Plan;</w:t>
      </w:r>
    </w:p>
    <w:p>
      <w:pPr>
        <w:spacing w:after="0" w:line="84" w:lineRule="exact"/>
        <w:rPr>
          <w:rFonts w:ascii="Arial" w:cs="Arial" w:eastAsia="Arial" w:hAnsi="Arial"/>
          <w:sz w:val="19"/>
          <w:szCs w:val="19"/>
          <w:color w:val="auto"/>
        </w:rPr>
      </w:pPr>
    </w:p>
    <w:p>
      <w:pPr>
        <w:ind w:left="1100" w:right="180" w:hanging="350"/>
        <w:spacing w:after="0" w:line="284" w:lineRule="auto"/>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7,372,056 shares of common stock reserved for future issuance under our 2019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78" w:lineRule="exact"/>
        <w:rPr>
          <w:rFonts w:ascii="Arial" w:cs="Arial" w:eastAsia="Arial" w:hAnsi="Arial"/>
          <w:sz w:val="18"/>
          <w:szCs w:val="18"/>
          <w:color w:val="auto"/>
        </w:rPr>
      </w:pPr>
    </w:p>
    <w:p>
      <w:pPr>
        <w:ind w:left="1100" w:right="180" w:hanging="350"/>
        <w:spacing w:after="0" w:line="284" w:lineRule="auto"/>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1,478,492 shares of common stock reserved for issuance under our 2019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78" w:lineRule="exact"/>
        <w:rPr>
          <w:sz w:val="20"/>
          <w:szCs w:val="20"/>
          <w:color w:val="auto"/>
        </w:rPr>
      </w:pPr>
    </w:p>
    <w:p>
      <w:pPr>
        <w:ind w:left="180" w:right="160" w:firstLine="465"/>
        <w:spacing w:after="0" w:line="259" w:lineRule="auto"/>
        <w:rPr>
          <w:sz w:val="20"/>
          <w:szCs w:val="20"/>
          <w:color w:val="auto"/>
        </w:rPr>
      </w:pPr>
      <w:r>
        <w:rPr>
          <w:rFonts w:ascii="Arial" w:cs="Arial" w:eastAsia="Arial" w:hAnsi="Arial"/>
          <w:sz w:val="19"/>
          <w:szCs w:val="19"/>
          <w:color w:val="auto"/>
        </w:rPr>
        <w:t>Certain of our existing stockholders, including entities that are affiliated with certain of our directors and beneficially own more than 5% of our outstanding common stock, have indicated an interest in purchasing an aggregate of $85.0 million or more in shares of our common stock in this offering at the initial public offering price. The foregoing discussion does not reflect the potential purchase of any shares in this offering by these existing stockholders.</w:t>
      </w:r>
    </w:p>
    <w:p>
      <w:pPr>
        <w:spacing w:after="0" w:line="198" w:lineRule="exact"/>
        <w:rPr>
          <w:sz w:val="20"/>
          <w:szCs w:val="20"/>
          <w:color w:val="auto"/>
        </w:rPr>
      </w:pPr>
    </w:p>
    <w:p>
      <w:pPr>
        <w:ind w:left="180" w:right="80" w:firstLine="465"/>
        <w:spacing w:after="0" w:line="263" w:lineRule="auto"/>
        <w:rPr>
          <w:sz w:val="20"/>
          <w:szCs w:val="20"/>
          <w:color w:val="auto"/>
        </w:rPr>
      </w:pPr>
      <w:r>
        <w:rPr>
          <w:rFonts w:ascii="Arial" w:cs="Arial" w:eastAsia="Arial" w:hAnsi="Arial"/>
          <w:sz w:val="19"/>
          <w:szCs w:val="19"/>
          <w:color w:val="auto"/>
        </w:rPr>
        <w:t>To the extent that any outstanding options are exercised or new options are issued under the equity benefit plans, or we issue additional shares of common stock or other securities convertible into or exercisable or exchangeable for shares of our capital stock in the future, there will be further dilution to investors participating in this offering.</w:t>
      </w:r>
    </w:p>
    <w:p>
      <w:pPr>
        <w:spacing w:after="0" w:line="123"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71</w:t>
      </w:r>
    </w:p>
    <w:p>
      <w:pPr>
        <w:sectPr>
          <w:pgSz w:w="12240" w:h="15840" w:orient="portrait"/>
          <w:cols w:equalWidth="0" w:num="1">
            <w:col w:w="11720"/>
          </w:cols>
          <w:pgMar w:left="120" w:top="336" w:right="400" w:bottom="1440" w:gutter="0" w:footer="0" w:header="0"/>
        </w:sectPr>
      </w:pPr>
    </w:p>
    <w:bookmarkStart w:id="79" w:name="page80"/>
    <w:bookmarkEnd w:id="7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SELECTED CONSOLIDATED FINANCIAL DATA</w:t>
      </w:r>
    </w:p>
    <w:p>
      <w:pPr>
        <w:spacing w:after="0" w:line="244" w:lineRule="exact"/>
        <w:rPr>
          <w:sz w:val="20"/>
          <w:szCs w:val="20"/>
          <w:color w:val="auto"/>
        </w:rPr>
      </w:pPr>
    </w:p>
    <w:p>
      <w:pPr>
        <w:ind w:left="180" w:firstLine="465"/>
        <w:spacing w:after="0" w:line="268" w:lineRule="auto"/>
        <w:rPr>
          <w:sz w:val="20"/>
          <w:szCs w:val="20"/>
          <w:color w:val="auto"/>
        </w:rPr>
      </w:pPr>
      <w:r>
        <w:rPr>
          <w:rFonts w:ascii="Arial" w:cs="Arial" w:eastAsia="Arial" w:hAnsi="Arial"/>
          <w:sz w:val="18"/>
          <w:szCs w:val="18"/>
          <w:color w:val="auto"/>
        </w:rPr>
        <w:t>The following tables summarize our selected consolidated financial data for the periods and as of the dates indicated. We derived our consolidated statement of operations data for the years ended December 31, 2016 and 2017, and the consolidated balance sheet data as of December 31, 2016 and 2017, from our audited consolidated financial statements included elsewhere in this prospectus. We derived the consolidated statement of operations data for the nine months ended September 30, 2017 and 2018, and the consolidated balance sheet data as of September 30, 2018, from our unaudited interim condensed consolidated financial statements and related notes included elsewhere in this prospectus. The unaudited interim condensed consolidated financial statements were prepared on the same basis as our audited consolidated financial statements and reflect, in the opinion of management, all adjustments, which include only normal, recurring adjustments that are necessary to present fairly the unaudited interim condensed consolidated financial statements. Our historical results are not necessarily indicative of the results that may be expected in the future, and our interim results are not necessarily indicative of the results to be expected for the full year or any other period. You should read the following selected consolidated financial data in conjunction with our consolidated financial statements and the related notes appearing elsewhere in this prospectus and the information in the section titled “Summary Consolidated Financial Data” and “Management’s Discussion and Analysis of Financial Condition and Results of Operations.”</w:t>
      </w:r>
    </w:p>
    <w:p>
      <w:pPr>
        <w:spacing w:after="0" w:line="197"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92"/>
              </w:rPr>
              <w:t>Nine Months Ended</w:t>
            </w:r>
          </w:p>
        </w:tc>
        <w:tc>
          <w:tcPr>
            <w:tcW w:w="0" w:type="dxa"/>
            <w:vAlign w:val="bottom"/>
          </w:tcPr>
          <w:p>
            <w:pPr>
              <w:spacing w:after="0"/>
              <w:rPr>
                <w:sz w:val="1"/>
                <w:szCs w:val="1"/>
                <w:color w:val="auto"/>
              </w:rPr>
            </w:pPr>
          </w:p>
        </w:tc>
      </w:tr>
      <w:tr>
        <w:trPr>
          <w:trHeight w:val="180"/>
        </w:trPr>
        <w:tc>
          <w:tcPr>
            <w:tcW w:w="5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6"/>
          </w:tcPr>
          <w:p>
            <w:pPr>
              <w:jc w:val="right"/>
              <w:ind w:right="700"/>
              <w:spacing w:after="0"/>
              <w:rPr>
                <w:sz w:val="20"/>
                <w:szCs w:val="20"/>
                <w:color w:val="auto"/>
              </w:rPr>
            </w:pPr>
            <w:r>
              <w:rPr>
                <w:rFonts w:ascii="Arial" w:cs="Arial" w:eastAsia="Arial" w:hAnsi="Arial"/>
                <w:sz w:val="15"/>
                <w:szCs w:val="15"/>
                <w:b w:val="1"/>
                <w:bCs w:val="1"/>
                <w:color w:val="auto"/>
              </w:rPr>
              <w:t>Year Ended December 31,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91"/>
              </w:rPr>
              <w:t>September 30,</w:t>
            </w:r>
          </w:p>
        </w:tc>
        <w:tc>
          <w:tcPr>
            <w:tcW w:w="0" w:type="dxa"/>
            <w:vAlign w:val="bottom"/>
          </w:tcPr>
          <w:p>
            <w:pPr>
              <w:spacing w:after="0"/>
              <w:rPr>
                <w:sz w:val="1"/>
                <w:szCs w:val="1"/>
                <w:color w:val="auto"/>
              </w:rPr>
            </w:pPr>
          </w:p>
        </w:tc>
      </w:tr>
      <w:tr>
        <w:trPr>
          <w:trHeight w:val="151"/>
        </w:trPr>
        <w:tc>
          <w:tcPr>
            <w:tcW w:w="5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88"/>
              <w:spacing w:after="0" w:line="151" w:lineRule="exact"/>
              <w:rPr>
                <w:sz w:val="20"/>
                <w:szCs w:val="20"/>
                <w:color w:val="auto"/>
              </w:rPr>
            </w:pPr>
            <w:r>
              <w:rPr>
                <w:rFonts w:ascii="Arial" w:cs="Arial" w:eastAsia="Arial" w:hAnsi="Arial"/>
                <w:sz w:val="15"/>
                <w:szCs w:val="15"/>
                <w:b w:val="1"/>
                <w:bCs w:val="1"/>
                <w:color w:val="auto"/>
              </w:rPr>
              <w:t>2016</w:t>
            </w:r>
          </w:p>
        </w:tc>
        <w:tc>
          <w:tcPr>
            <w:tcW w:w="2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26"/>
              <w:spacing w:after="0" w:line="151" w:lineRule="exact"/>
              <w:rPr>
                <w:sz w:val="20"/>
                <w:szCs w:val="20"/>
                <w:color w:val="auto"/>
              </w:rPr>
            </w:pPr>
            <w:r>
              <w:rPr>
                <w:rFonts w:ascii="Arial" w:cs="Arial" w:eastAsia="Arial" w:hAnsi="Arial"/>
                <w:sz w:val="15"/>
                <w:szCs w:val="15"/>
                <w:b w:val="1"/>
                <w:bCs w:val="1"/>
                <w:color w:val="auto"/>
              </w:rPr>
              <w:t>2017</w:t>
            </w: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0"/>
              <w:spacing w:after="0" w:line="151" w:lineRule="exact"/>
              <w:rPr>
                <w:sz w:val="20"/>
                <w:szCs w:val="20"/>
                <w:color w:val="auto"/>
              </w:rPr>
            </w:pPr>
            <w:r>
              <w:rPr>
                <w:rFonts w:ascii="Arial" w:cs="Arial" w:eastAsia="Arial" w:hAnsi="Arial"/>
                <w:sz w:val="15"/>
                <w:szCs w:val="15"/>
                <w:b w:val="1"/>
                <w:bCs w:val="1"/>
                <w:color w:val="auto"/>
              </w:rPr>
              <w:t>2017</w:t>
            </w:r>
          </w:p>
        </w:tc>
        <w:tc>
          <w:tcPr>
            <w:tcW w:w="6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26"/>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20" w:type="dxa"/>
            <w:vAlign w:val="bottom"/>
            <w:gridSpan w:val="8"/>
          </w:tcPr>
          <w:p>
            <w:pPr>
              <w:jc w:val="right"/>
              <w:ind w:right="220"/>
              <w:spacing w:after="0" w:line="128" w:lineRule="exact"/>
              <w:rPr>
                <w:sz w:val="20"/>
                <w:szCs w:val="20"/>
                <w:color w:val="auto"/>
              </w:rPr>
            </w:pPr>
            <w:r>
              <w:rPr>
                <w:rFonts w:ascii="Arial" w:cs="Arial" w:eastAsia="Arial" w:hAnsi="Arial"/>
                <w:sz w:val="14"/>
                <w:szCs w:val="14"/>
                <w:b w:val="1"/>
                <w:bCs w:val="1"/>
                <w:color w:val="auto"/>
                <w:w w:val="99"/>
              </w:rPr>
              <w:t>(In thousands, except share and per share data)</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93"/>
              </w:rPr>
              <w:t>(Unaudited)</w:t>
            </w:r>
          </w:p>
        </w:tc>
        <w:tc>
          <w:tcPr>
            <w:tcW w:w="0" w:type="dxa"/>
            <w:vAlign w:val="bottom"/>
          </w:tcPr>
          <w:p>
            <w:pPr>
              <w:spacing w:after="0"/>
              <w:rPr>
                <w:sz w:val="1"/>
                <w:szCs w:val="1"/>
                <w:color w:val="auto"/>
              </w:rPr>
            </w:pPr>
          </w:p>
        </w:tc>
      </w:tr>
      <w:tr>
        <w:trPr>
          <w:trHeight w:val="228"/>
        </w:trPr>
        <w:tc>
          <w:tcPr>
            <w:tcW w:w="566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Consolidated Statement of Operations Data:</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60" w:type="dxa"/>
            <w:vAlign w:val="bottom"/>
          </w:tcPr>
          <w:p>
            <w:pPr>
              <w:spacing w:after="0"/>
              <w:rPr>
                <w:sz w:val="20"/>
                <w:szCs w:val="20"/>
                <w:color w:val="auto"/>
              </w:rPr>
            </w:pPr>
            <w:r>
              <w:rPr>
                <w:rFonts w:ascii="Arial" w:cs="Arial" w:eastAsia="Arial" w:hAnsi="Arial"/>
                <w:sz w:val="19"/>
                <w:szCs w:val="19"/>
                <w:color w:val="auto"/>
              </w:rPr>
              <w:t>Revenue:</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Collaboration revenue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2,872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18,363</w:t>
            </w:r>
          </w:p>
        </w:tc>
        <w:tc>
          <w:tcPr>
            <w:tcW w:w="0" w:type="dxa"/>
            <w:vAlign w:val="bottom"/>
          </w:tcPr>
          <w:p>
            <w:pPr>
              <w:spacing w:after="0"/>
              <w:rPr>
                <w:sz w:val="1"/>
                <w:szCs w:val="1"/>
                <w:color w:val="auto"/>
              </w:rPr>
            </w:pPr>
          </w:p>
        </w:tc>
      </w:tr>
      <w:tr>
        <w:trPr>
          <w:trHeight w:val="228"/>
        </w:trPr>
        <w:tc>
          <w:tcPr>
            <w:tcW w:w="5660" w:type="dxa"/>
            <w:vAlign w:val="bottom"/>
          </w:tcPr>
          <w:p>
            <w:pPr>
              <w:ind w:left="380"/>
              <w:spacing w:after="0"/>
              <w:rPr>
                <w:sz w:val="20"/>
                <w:szCs w:val="20"/>
                <w:color w:val="auto"/>
              </w:rPr>
            </w:pPr>
            <w:r>
              <w:rPr>
                <w:rFonts w:ascii="Arial" w:cs="Arial" w:eastAsia="Arial" w:hAnsi="Arial"/>
                <w:sz w:val="19"/>
                <w:szCs w:val="19"/>
                <w:color w:val="auto"/>
              </w:rPr>
              <w:t>Grant revenue</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9"/>
                <w:szCs w:val="19"/>
                <w:color w:val="auto"/>
              </w:rPr>
              <w:t>416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9"/>
                <w:szCs w:val="19"/>
                <w:color w:val="auto"/>
              </w:rPr>
              <w:t>863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9"/>
                <w:szCs w:val="19"/>
                <w:color w:val="auto"/>
              </w:rPr>
              <w:t>676</w:t>
            </w: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9"/>
                <w:szCs w:val="19"/>
                <w:color w:val="auto"/>
              </w:rPr>
              <w:t>169</w:t>
            </w:r>
          </w:p>
        </w:tc>
        <w:tc>
          <w:tcPr>
            <w:tcW w:w="0" w:type="dxa"/>
            <w:vAlign w:val="bottom"/>
          </w:tcPr>
          <w:p>
            <w:pPr>
              <w:spacing w:after="0"/>
              <w:rPr>
                <w:sz w:val="1"/>
                <w:szCs w:val="1"/>
                <w:color w:val="auto"/>
              </w:rPr>
            </w:pPr>
          </w:p>
        </w:tc>
      </w:tr>
      <w:tr>
        <w:trPr>
          <w:trHeight w:val="29"/>
        </w:trPr>
        <w:tc>
          <w:tcPr>
            <w:tcW w:w="5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660" w:type="dxa"/>
            <w:vAlign w:val="bottom"/>
            <w:shd w:val="clear" w:color="auto" w:fill="CCEEFF"/>
          </w:tcPr>
          <w:p>
            <w:pPr>
              <w:ind w:left="760"/>
              <w:spacing w:after="0"/>
              <w:rPr>
                <w:sz w:val="20"/>
                <w:szCs w:val="20"/>
                <w:color w:val="auto"/>
              </w:rPr>
            </w:pPr>
            <w:r>
              <w:rPr>
                <w:rFonts w:ascii="Arial" w:cs="Arial" w:eastAsia="Arial" w:hAnsi="Arial"/>
                <w:sz w:val="19"/>
                <w:szCs w:val="19"/>
                <w:color w:val="auto"/>
              </w:rPr>
              <w:t>Total revenue</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416</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3,735</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9"/>
                <w:szCs w:val="19"/>
                <w:color w:val="auto"/>
              </w:rPr>
              <w:t>676</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18,532</w:t>
            </w:r>
          </w:p>
        </w:tc>
        <w:tc>
          <w:tcPr>
            <w:tcW w:w="0" w:type="dxa"/>
            <w:vAlign w:val="bottom"/>
          </w:tcPr>
          <w:p>
            <w:pPr>
              <w:spacing w:after="0"/>
              <w:rPr>
                <w:sz w:val="1"/>
                <w:szCs w:val="1"/>
                <w:color w:val="auto"/>
              </w:rPr>
            </w:pPr>
          </w:p>
        </w:tc>
      </w:tr>
      <w:tr>
        <w:trPr>
          <w:trHeight w:val="228"/>
        </w:trPr>
        <w:tc>
          <w:tcPr>
            <w:tcW w:w="5660" w:type="dxa"/>
            <w:vAlign w:val="bottom"/>
          </w:tcPr>
          <w:p>
            <w:pPr>
              <w:spacing w:after="0"/>
              <w:rPr>
                <w:sz w:val="20"/>
                <w:szCs w:val="20"/>
                <w:color w:val="auto"/>
              </w:rPr>
            </w:pPr>
            <w:r>
              <w:rPr>
                <w:rFonts w:ascii="Arial" w:cs="Arial" w:eastAsia="Arial" w:hAnsi="Arial"/>
                <w:sz w:val="19"/>
                <w:szCs w:val="19"/>
                <w:color w:val="auto"/>
              </w:rPr>
              <w:t>Operating expenses: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Research and development</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13,674</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29,911</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9"/>
                <w:szCs w:val="19"/>
                <w:color w:val="auto"/>
              </w:rPr>
              <w:t>19,073</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48,934</w:t>
            </w:r>
          </w:p>
        </w:tc>
        <w:tc>
          <w:tcPr>
            <w:tcW w:w="0" w:type="dxa"/>
            <w:vAlign w:val="bottom"/>
          </w:tcPr>
          <w:p>
            <w:pPr>
              <w:spacing w:after="0"/>
              <w:rPr>
                <w:sz w:val="1"/>
                <w:szCs w:val="1"/>
                <w:color w:val="auto"/>
              </w:rPr>
            </w:pPr>
          </w:p>
        </w:tc>
      </w:tr>
      <w:tr>
        <w:trPr>
          <w:trHeight w:val="228"/>
        </w:trPr>
        <w:tc>
          <w:tcPr>
            <w:tcW w:w="5660" w:type="dxa"/>
            <w:vAlign w:val="bottom"/>
          </w:tcPr>
          <w:p>
            <w:pPr>
              <w:ind w:left="380"/>
              <w:spacing w:after="0"/>
              <w:rPr>
                <w:sz w:val="20"/>
                <w:szCs w:val="20"/>
                <w:color w:val="auto"/>
              </w:rPr>
            </w:pPr>
            <w:r>
              <w:rPr>
                <w:rFonts w:ascii="Arial" w:cs="Arial" w:eastAsia="Arial" w:hAnsi="Arial"/>
                <w:sz w:val="19"/>
                <w:szCs w:val="19"/>
                <w:color w:val="auto"/>
              </w:rPr>
              <w:t>General and administrative</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1,874</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6,503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9"/>
                <w:szCs w:val="19"/>
                <w:color w:val="auto"/>
              </w:rPr>
              <w:t>4,475</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7,869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660" w:type="dxa"/>
            <w:vAlign w:val="bottom"/>
            <w:shd w:val="clear" w:color="auto" w:fill="CCEEFF"/>
          </w:tcPr>
          <w:p>
            <w:pPr>
              <w:ind w:left="760"/>
              <w:spacing w:after="0"/>
              <w:rPr>
                <w:sz w:val="20"/>
                <w:szCs w:val="20"/>
                <w:color w:val="auto"/>
              </w:rPr>
            </w:pPr>
            <w:r>
              <w:rPr>
                <w:rFonts w:ascii="Arial" w:cs="Arial" w:eastAsia="Arial" w:hAnsi="Arial"/>
                <w:sz w:val="19"/>
                <w:szCs w:val="19"/>
                <w:color w:val="auto"/>
              </w:rPr>
              <w:t>Total operating expenses</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15,548</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36,414</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9"/>
                <w:szCs w:val="19"/>
                <w:color w:val="auto"/>
              </w:rPr>
              <w:t>23,548</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56,803</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9"/>
                <w:szCs w:val="19"/>
                <w:color w:val="auto"/>
              </w:rPr>
              <w:t>Loss from operations</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6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9"/>
                <w:szCs w:val="19"/>
                <w:color w:val="auto"/>
              </w:rPr>
              <w:t>(15,132)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9"/>
                <w:szCs w:val="19"/>
                <w:color w:val="auto"/>
              </w:rPr>
              <w:t>(32,679)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9"/>
                <w:szCs w:val="19"/>
                <w:color w:val="auto"/>
              </w:rPr>
              <w:t>(22,872)</w:t>
            </w: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(38,271)</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spacing w:after="0"/>
              <w:rPr>
                <w:sz w:val="20"/>
                <w:szCs w:val="20"/>
                <w:color w:val="auto"/>
              </w:rPr>
            </w:pPr>
            <w:r>
              <w:rPr>
                <w:rFonts w:ascii="Arial" w:cs="Arial" w:eastAsia="Arial" w:hAnsi="Arial"/>
                <w:sz w:val="19"/>
                <w:szCs w:val="19"/>
                <w:color w:val="auto"/>
              </w:rPr>
              <w:t>Other income, net</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22</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199</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9"/>
                <w:szCs w:val="19"/>
                <w:color w:val="auto"/>
              </w:rPr>
              <w:t>170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3,396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9"/>
                <w:szCs w:val="19"/>
                <w:color w:val="auto"/>
              </w:rPr>
              <w:t>Net loss</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6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gridSpan w:val="2"/>
          </w:tcPr>
          <w:p>
            <w:pPr>
              <w:jc w:val="right"/>
              <w:ind w:right="140"/>
              <w:spacing w:after="0"/>
              <w:rPr>
                <w:sz w:val="20"/>
                <w:szCs w:val="20"/>
                <w:color w:val="auto"/>
              </w:rPr>
            </w:pPr>
            <w:r>
              <w:rPr>
                <w:rFonts w:ascii="Arial" w:cs="Arial" w:eastAsia="Arial" w:hAnsi="Arial"/>
                <w:sz w:val="19"/>
                <w:szCs w:val="19"/>
                <w:color w:val="auto"/>
              </w:rPr>
              <w:t>(15,110)</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9"/>
                <w:szCs w:val="19"/>
                <w:color w:val="auto"/>
              </w:rPr>
              <w:t>(32,480)</w:t>
            </w:r>
          </w:p>
        </w:tc>
        <w:tc>
          <w:tcPr>
            <w:tcW w:w="3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9"/>
                <w:szCs w:val="19"/>
                <w:color w:val="auto"/>
              </w:rPr>
              <w:t>(22,702)</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(34,875)</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660" w:type="dxa"/>
            <w:vAlign w:val="bottom"/>
            <w:shd w:val="clear" w:color="auto" w:fill="CCEEFF"/>
          </w:tcPr>
          <w:p>
            <w:pPr>
              <w:spacing w:after="0"/>
              <w:rPr>
                <w:sz w:val="20"/>
                <w:szCs w:val="20"/>
                <w:color w:val="auto"/>
              </w:rPr>
            </w:pPr>
            <w:r>
              <w:rPr>
                <w:rFonts w:ascii="Arial" w:cs="Arial" w:eastAsia="Arial" w:hAnsi="Arial"/>
                <w:sz w:val="19"/>
                <w:szCs w:val="19"/>
                <w:color w:val="auto"/>
              </w:rPr>
              <w:t>Net loss per share, basic and diluted</w:t>
            </w:r>
            <w:r>
              <w:rPr>
                <w:rFonts w:ascii="Arial" w:cs="Arial" w:eastAsia="Arial" w:hAnsi="Arial"/>
                <w:sz w:val="16"/>
                <w:szCs w:val="16"/>
                <w:color w:val="auto"/>
              </w:rPr>
              <w:t>(1)</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(2.11)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(3.55)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9"/>
                <w:szCs w:val="19"/>
                <w:color w:val="auto"/>
              </w:rPr>
              <w:t>(2.61)</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(3.13)</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9"/>
                <w:szCs w:val="19"/>
                <w:color w:val="auto"/>
                <w:w w:val="89"/>
              </w:rPr>
              <w:t>Shares used in computing net loss per common share, basic and diluted</w:t>
            </w:r>
            <w:r>
              <w:rPr>
                <w:rFonts w:ascii="Arial" w:cs="Arial" w:eastAsia="Arial" w:hAnsi="Arial"/>
                <w:sz w:val="16"/>
                <w:szCs w:val="16"/>
                <w:color w:val="auto"/>
                <w:w w:val="89"/>
              </w:rPr>
              <w:t>(1)</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6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9"/>
                <w:szCs w:val="19"/>
                <w:color w:val="auto"/>
                <w:w w:val="87"/>
              </w:rPr>
              <w:t>7,173,411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w w:val="99"/>
              </w:rPr>
              <w:t>9,142,688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9"/>
                <w:szCs w:val="19"/>
                <w:color w:val="auto"/>
                <w:w w:val="87"/>
              </w:rPr>
              <w:t>8,712,730</w:t>
            </w: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9"/>
                <w:szCs w:val="19"/>
                <w:color w:val="auto"/>
                <w:w w:val="88"/>
              </w:rPr>
              <w:t>11,154,391</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660" w:type="dxa"/>
            <w:vAlign w:val="bottom"/>
            <w:shd w:val="clear" w:color="auto" w:fill="CCEEFF"/>
          </w:tcPr>
          <w:p>
            <w:pPr>
              <w:spacing w:after="0"/>
              <w:rPr>
                <w:sz w:val="20"/>
                <w:szCs w:val="20"/>
                <w:color w:val="auto"/>
              </w:rPr>
            </w:pPr>
            <w:r>
              <w:rPr>
                <w:rFonts w:ascii="Arial" w:cs="Arial" w:eastAsia="Arial" w:hAnsi="Arial"/>
                <w:sz w:val="19"/>
                <w:szCs w:val="19"/>
                <w:color w:val="auto"/>
              </w:rPr>
              <w:t>Pro forma net loss per share, basic and diluted (unaudited)</w:t>
            </w:r>
            <w:r>
              <w:rPr>
                <w:rFonts w:ascii="Arial" w:cs="Arial" w:eastAsia="Arial" w:hAnsi="Arial"/>
                <w:sz w:val="16"/>
                <w:szCs w:val="16"/>
                <w:color w:val="auto"/>
              </w:rPr>
              <w:t>(1)</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(0.72)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(0.68)</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9"/>
                <w:szCs w:val="19"/>
                <w:color w:val="auto"/>
                <w:w w:val="91"/>
              </w:rPr>
              <w:t>Shares used in computing pro forma net loss per share, basic and diluted</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660" w:type="dxa"/>
            <w:vAlign w:val="bottom"/>
          </w:tcPr>
          <w:p>
            <w:pPr>
              <w:ind w:left="180"/>
              <w:spacing w:after="0"/>
              <w:rPr>
                <w:sz w:val="20"/>
                <w:szCs w:val="20"/>
                <w:color w:val="auto"/>
              </w:rPr>
            </w:pPr>
            <w:r>
              <w:rPr>
                <w:rFonts w:ascii="Arial" w:cs="Arial" w:eastAsia="Arial" w:hAnsi="Arial"/>
                <w:sz w:val="19"/>
                <w:szCs w:val="19"/>
                <w:color w:val="auto"/>
              </w:rPr>
              <w:t>(unaudited)</w:t>
            </w:r>
            <w:r>
              <w:rPr>
                <w:rFonts w:ascii="Arial" w:cs="Arial" w:eastAsia="Arial" w:hAnsi="Arial"/>
                <w:sz w:val="16"/>
                <w:szCs w:val="16"/>
                <w:color w:val="auto"/>
              </w:rPr>
              <w:t>(1)</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9"/>
                <w:szCs w:val="19"/>
                <w:color w:val="auto"/>
                <w:w w:val="88"/>
              </w:rPr>
              <w:t>45,143,891</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9"/>
                <w:szCs w:val="19"/>
                <w:color w:val="auto"/>
                <w:w w:val="88"/>
              </w:rPr>
              <w:t>51,223,565</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420" w:type="dxa"/>
            <w:vAlign w:val="bottom"/>
            <w:vMerge w:val="restart"/>
          </w:tcPr>
          <w:p>
            <w:pPr>
              <w:jc w:val="right"/>
              <w:ind w:right="65"/>
              <w:spacing w:after="0"/>
              <w:rPr>
                <w:sz w:val="20"/>
                <w:szCs w:val="20"/>
                <w:color w:val="auto"/>
              </w:rPr>
            </w:pPr>
            <w:r>
              <w:rPr>
                <w:rFonts w:ascii="Arial" w:cs="Arial" w:eastAsia="Arial" w:hAnsi="Arial"/>
                <w:sz w:val="19"/>
                <w:szCs w:val="19"/>
                <w:color w:val="auto"/>
              </w:rPr>
              <w:t>72</w:t>
            </w: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566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820"/>
          </w:cols>
          <w:pgMar w:left="120" w:top="336" w:right="300" w:bottom="1440" w:gutter="0" w:footer="0" w:header="0"/>
        </w:sectPr>
      </w:pPr>
    </w:p>
    <w:bookmarkStart w:id="80" w:name="page81"/>
    <w:bookmarkEnd w:id="8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308610</wp:posOffset>
            </wp:positionV>
            <wp:extent cx="7423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640" w:right="480" w:hanging="461"/>
        <w:spacing w:after="0" w:line="308" w:lineRule="auto"/>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See Note 10 of the notes to our consolidated financial statements and Note 9 of the notes to our unaudited interim condensed consolidated financial statements included elsewhere in the prospectus for a description of how we compute basic and diluted net loss per share, basic and diluted unaudited pro forma net loss per share, and the number of shares used in the computation of the per share amounts.</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47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580" w:type="dxa"/>
            <w:vAlign w:val="bottom"/>
            <w:gridSpan w:val="3"/>
          </w:tcPr>
          <w:p>
            <w:pPr>
              <w:jc w:val="right"/>
              <w:ind w:right="920"/>
              <w:spacing w:after="0"/>
              <w:rPr>
                <w:sz w:val="20"/>
                <w:szCs w:val="20"/>
                <w:color w:val="auto"/>
              </w:rPr>
            </w:pPr>
            <w:r>
              <w:rPr>
                <w:rFonts w:ascii="Arial" w:cs="Arial" w:eastAsia="Arial" w:hAnsi="Arial"/>
                <w:sz w:val="15"/>
                <w:szCs w:val="15"/>
                <w:b w:val="1"/>
                <w:bCs w:val="1"/>
                <w:color w:val="auto"/>
              </w:rPr>
              <w:t>As of December 31,</w:t>
            </w:r>
          </w:p>
        </w:tc>
        <w:tc>
          <w:tcPr>
            <w:tcW w:w="120" w:type="dxa"/>
            <w:vAlign w:val="bottom"/>
          </w:tcPr>
          <w:p>
            <w:pPr>
              <w:spacing w:after="0"/>
              <w:rPr>
                <w:sz w:val="15"/>
                <w:szCs w:val="15"/>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0"/>
              </w:rPr>
              <w:t>As of September 30,</w:t>
            </w:r>
          </w:p>
        </w:tc>
        <w:tc>
          <w:tcPr>
            <w:tcW w:w="0" w:type="dxa"/>
            <w:vAlign w:val="bottom"/>
          </w:tcPr>
          <w:p>
            <w:pPr>
              <w:spacing w:after="0"/>
              <w:rPr>
                <w:sz w:val="1"/>
                <w:szCs w:val="1"/>
                <w:color w:val="auto"/>
              </w:rPr>
            </w:pPr>
          </w:p>
        </w:tc>
      </w:tr>
      <w:tr>
        <w:trPr>
          <w:trHeight w:val="151"/>
        </w:trPr>
        <w:tc>
          <w:tcPr>
            <w:tcW w:w="47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458"/>
              <w:spacing w:after="0" w:line="151" w:lineRule="exact"/>
              <w:rPr>
                <w:sz w:val="20"/>
                <w:szCs w:val="20"/>
                <w:color w:val="auto"/>
              </w:rPr>
            </w:pPr>
            <w:r>
              <w:rPr>
                <w:rFonts w:ascii="Arial" w:cs="Arial" w:eastAsia="Arial" w:hAnsi="Arial"/>
                <w:sz w:val="15"/>
                <w:szCs w:val="15"/>
                <w:b w:val="1"/>
                <w:bCs w:val="1"/>
                <w:color w:val="auto"/>
              </w:rPr>
              <w:t>2016</w:t>
            </w:r>
          </w:p>
        </w:tc>
        <w:tc>
          <w:tcPr>
            <w:tcW w:w="1020" w:type="dxa"/>
            <w:vAlign w:val="bottom"/>
            <w:tcBorders>
              <w:top w:val="single" w:sz="8" w:color="auto"/>
              <w:bottom w:val="single" w:sz="8" w:color="auto"/>
            </w:tcBorders>
          </w:tcPr>
          <w:p>
            <w:pPr>
              <w:jc w:val="right"/>
              <w:ind w:right="109"/>
              <w:spacing w:after="0" w:line="151" w:lineRule="exact"/>
              <w:rPr>
                <w:sz w:val="20"/>
                <w:szCs w:val="20"/>
                <w:color w:val="auto"/>
              </w:rPr>
            </w:pPr>
            <w:r>
              <w:rPr>
                <w:rFonts w:ascii="Arial" w:cs="Arial" w:eastAsia="Arial" w:hAnsi="Arial"/>
                <w:sz w:val="15"/>
                <w:szCs w:val="15"/>
                <w:b w:val="1"/>
                <w:bCs w:val="1"/>
                <w:color w:val="auto"/>
              </w:rPr>
              <w:t>2017</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ind w:right="89"/>
              <w:spacing w:after="0" w:line="151" w:lineRule="exact"/>
              <w:rPr>
                <w:sz w:val="20"/>
                <w:szCs w:val="20"/>
                <w:color w:val="auto"/>
              </w:rPr>
            </w:pPr>
            <w:r>
              <w:rPr>
                <w:rFonts w:ascii="Arial" w:cs="Arial" w:eastAsia="Arial" w:hAnsi="Arial"/>
                <w:sz w:val="15"/>
                <w:szCs w:val="15"/>
                <w:b w:val="1"/>
                <w:bCs w:val="1"/>
                <w:color w:val="auto"/>
                <w:w w:val="89"/>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(In thousands)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5"/>
                <w:szCs w:val="15"/>
                <w:b w:val="1"/>
                <w:bCs w:val="1"/>
                <w:color w:val="auto"/>
                <w:w w:val="93"/>
              </w:rPr>
              <w:t>(Unaudited)</w:t>
            </w:r>
          </w:p>
        </w:tc>
        <w:tc>
          <w:tcPr>
            <w:tcW w:w="0" w:type="dxa"/>
            <w:vAlign w:val="bottom"/>
          </w:tcPr>
          <w:p>
            <w:pPr>
              <w:spacing w:after="0"/>
              <w:rPr>
                <w:sz w:val="1"/>
                <w:szCs w:val="1"/>
                <w:color w:val="auto"/>
              </w:rPr>
            </w:pPr>
          </w:p>
        </w:tc>
      </w:tr>
      <w:tr>
        <w:trPr>
          <w:trHeight w:val="118"/>
        </w:trPr>
        <w:tc>
          <w:tcPr>
            <w:tcW w:w="47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74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Consolidated Balance Sheet Data:</w:t>
            </w:r>
          </w:p>
        </w:tc>
        <w:tc>
          <w:tcPr>
            <w:tcW w:w="27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40" w:type="dxa"/>
            <w:vAlign w:val="bottom"/>
          </w:tcPr>
          <w:p>
            <w:pPr>
              <w:spacing w:after="0"/>
              <w:rPr>
                <w:sz w:val="20"/>
                <w:szCs w:val="20"/>
                <w:color w:val="auto"/>
              </w:rPr>
            </w:pPr>
            <w:r>
              <w:rPr>
                <w:rFonts w:ascii="Arial" w:cs="Arial" w:eastAsia="Arial" w:hAnsi="Arial"/>
                <w:sz w:val="19"/>
                <w:szCs w:val="19"/>
                <w:color w:val="auto"/>
              </w:rPr>
              <w:t>Cash, cash equivalents, and marketable securities</w:t>
            </w:r>
          </w:p>
        </w:tc>
        <w:tc>
          <w:tcPr>
            <w:tcW w:w="3820" w:type="dxa"/>
            <w:vAlign w:val="bottom"/>
            <w:gridSpan w:val="2"/>
          </w:tcPr>
          <w:p>
            <w:pPr>
              <w:jc w:val="right"/>
              <w:ind w:right="258"/>
              <w:spacing w:after="0"/>
              <w:rPr>
                <w:sz w:val="20"/>
                <w:szCs w:val="20"/>
                <w:color w:val="auto"/>
              </w:rPr>
            </w:pPr>
            <w:r>
              <w:rPr>
                <w:rFonts w:ascii="Arial" w:cs="Arial" w:eastAsia="Arial" w:hAnsi="Arial"/>
                <w:sz w:val="19"/>
                <w:szCs w:val="19"/>
                <w:color w:val="auto"/>
              </w:rPr>
              <w:t>$ 50,838</w:t>
            </w:r>
          </w:p>
        </w:tc>
        <w:tc>
          <w:tcPr>
            <w:tcW w:w="1540" w:type="dxa"/>
            <w:vAlign w:val="bottom"/>
            <w:gridSpan w:val="2"/>
          </w:tcPr>
          <w:p>
            <w:pPr>
              <w:jc w:val="right"/>
              <w:ind w:right="520"/>
              <w:spacing w:after="0"/>
              <w:rPr>
                <w:sz w:val="20"/>
                <w:szCs w:val="20"/>
                <w:color w:val="auto"/>
              </w:rPr>
            </w:pPr>
            <w:r>
              <w:rPr>
                <w:rFonts w:ascii="Arial" w:cs="Arial" w:eastAsia="Arial" w:hAnsi="Arial"/>
                <w:sz w:val="19"/>
                <w:szCs w:val="19"/>
                <w:color w:val="auto"/>
              </w:rPr>
              <w:t>$ 32,451</w:t>
            </w:r>
          </w:p>
        </w:tc>
        <w:tc>
          <w:tcPr>
            <w:tcW w:w="300" w:type="dxa"/>
            <w:vAlign w:val="bottom"/>
            <w:gridSpan w:val="2"/>
          </w:tcPr>
          <w:p>
            <w:pPr>
              <w:jc w:val="right"/>
              <w:ind w:right="4"/>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308,694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40" w:type="dxa"/>
            <w:vAlign w:val="bottom"/>
            <w:shd w:val="clear" w:color="auto" w:fill="CCEEFF"/>
          </w:tcPr>
          <w:p>
            <w:pPr>
              <w:spacing w:after="0"/>
              <w:rPr>
                <w:sz w:val="20"/>
                <w:szCs w:val="20"/>
                <w:color w:val="auto"/>
              </w:rPr>
            </w:pPr>
            <w:r>
              <w:rPr>
                <w:rFonts w:ascii="Arial" w:cs="Arial" w:eastAsia="Arial" w:hAnsi="Arial"/>
                <w:sz w:val="19"/>
                <w:szCs w:val="19"/>
                <w:color w:val="auto"/>
              </w:rPr>
              <w:t>Working capital</w:t>
            </w:r>
          </w:p>
        </w:tc>
        <w:tc>
          <w:tcPr>
            <w:tcW w:w="3820" w:type="dxa"/>
            <w:vAlign w:val="bottom"/>
            <w:gridSpan w:val="2"/>
            <w:shd w:val="clear" w:color="auto" w:fill="CCEEFF"/>
          </w:tcPr>
          <w:p>
            <w:pPr>
              <w:jc w:val="right"/>
              <w:ind w:right="258"/>
              <w:spacing w:after="0"/>
              <w:rPr>
                <w:sz w:val="20"/>
                <w:szCs w:val="20"/>
                <w:color w:val="auto"/>
              </w:rPr>
            </w:pPr>
            <w:r>
              <w:rPr>
                <w:rFonts w:ascii="Arial" w:cs="Arial" w:eastAsia="Arial" w:hAnsi="Arial"/>
                <w:sz w:val="19"/>
                <w:szCs w:val="19"/>
                <w:color w:val="auto"/>
              </w:rPr>
              <w:t>49,681</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9"/>
                <w:szCs w:val="19"/>
                <w:color w:val="auto"/>
              </w:rPr>
              <w:t>205,571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271,588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40" w:type="dxa"/>
            <w:vAlign w:val="bottom"/>
          </w:tcPr>
          <w:p>
            <w:pPr>
              <w:spacing w:after="0"/>
              <w:rPr>
                <w:sz w:val="20"/>
                <w:szCs w:val="20"/>
                <w:color w:val="auto"/>
              </w:rPr>
            </w:pPr>
            <w:r>
              <w:rPr>
                <w:rFonts w:ascii="Arial" w:cs="Arial" w:eastAsia="Arial" w:hAnsi="Arial"/>
                <w:sz w:val="19"/>
                <w:szCs w:val="19"/>
                <w:color w:val="auto"/>
              </w:rPr>
              <w:t>Total assets</w:t>
            </w:r>
          </w:p>
        </w:tc>
        <w:tc>
          <w:tcPr>
            <w:tcW w:w="3820" w:type="dxa"/>
            <w:vAlign w:val="bottom"/>
            <w:gridSpan w:val="2"/>
          </w:tcPr>
          <w:p>
            <w:pPr>
              <w:jc w:val="right"/>
              <w:ind w:right="258"/>
              <w:spacing w:after="0"/>
              <w:rPr>
                <w:sz w:val="20"/>
                <w:szCs w:val="20"/>
                <w:color w:val="auto"/>
              </w:rPr>
            </w:pPr>
            <w:r>
              <w:rPr>
                <w:rFonts w:ascii="Arial" w:cs="Arial" w:eastAsia="Arial" w:hAnsi="Arial"/>
                <w:sz w:val="19"/>
                <w:szCs w:val="19"/>
                <w:color w:val="auto"/>
              </w:rPr>
              <w:t>54,111</w:t>
            </w:r>
          </w:p>
        </w:tc>
        <w:tc>
          <w:tcPr>
            <w:tcW w:w="1540" w:type="dxa"/>
            <w:vAlign w:val="bottom"/>
            <w:gridSpan w:val="2"/>
          </w:tcPr>
          <w:p>
            <w:pPr>
              <w:jc w:val="right"/>
              <w:ind w:right="520"/>
              <w:spacing w:after="0"/>
              <w:rPr>
                <w:sz w:val="20"/>
                <w:szCs w:val="20"/>
                <w:color w:val="auto"/>
              </w:rPr>
            </w:pPr>
            <w:r>
              <w:rPr>
                <w:rFonts w:ascii="Arial" w:cs="Arial" w:eastAsia="Arial" w:hAnsi="Arial"/>
                <w:sz w:val="19"/>
                <w:szCs w:val="19"/>
                <w:color w:val="auto"/>
              </w:rPr>
              <w:t>236,060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318,699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40" w:type="dxa"/>
            <w:vAlign w:val="bottom"/>
            <w:shd w:val="clear" w:color="auto" w:fill="CCEEFF"/>
          </w:tcPr>
          <w:p>
            <w:pPr>
              <w:spacing w:after="0"/>
              <w:rPr>
                <w:sz w:val="20"/>
                <w:szCs w:val="20"/>
                <w:color w:val="auto"/>
              </w:rPr>
            </w:pPr>
            <w:r>
              <w:rPr>
                <w:rFonts w:ascii="Arial" w:cs="Arial" w:eastAsia="Arial" w:hAnsi="Arial"/>
                <w:sz w:val="19"/>
                <w:szCs w:val="19"/>
                <w:color w:val="auto"/>
              </w:rPr>
              <w:t>Deferred revenue</w:t>
            </w:r>
          </w:p>
        </w:tc>
        <w:tc>
          <w:tcPr>
            <w:tcW w:w="27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58"/>
              <w:spacing w:after="0"/>
              <w:rPr>
                <w:sz w:val="20"/>
                <w:szCs w:val="20"/>
                <w:color w:val="auto"/>
              </w:rPr>
            </w:pPr>
            <w:r>
              <w:rPr>
                <w:rFonts w:ascii="Arial" w:cs="Arial" w:eastAsia="Arial" w:hAnsi="Arial"/>
                <w:sz w:val="19"/>
                <w:szCs w:val="19"/>
                <w:color w:val="auto"/>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9"/>
                <w:szCs w:val="19"/>
                <w:color w:val="auto"/>
              </w:rPr>
              <w:t>202,128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183,765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40" w:type="dxa"/>
            <w:vAlign w:val="bottom"/>
          </w:tcPr>
          <w:p>
            <w:pPr>
              <w:spacing w:after="0"/>
              <w:rPr>
                <w:sz w:val="20"/>
                <w:szCs w:val="20"/>
                <w:color w:val="auto"/>
              </w:rPr>
            </w:pPr>
            <w:r>
              <w:rPr>
                <w:rFonts w:ascii="Arial" w:cs="Arial" w:eastAsia="Arial" w:hAnsi="Arial"/>
                <w:sz w:val="19"/>
                <w:szCs w:val="19"/>
                <w:color w:val="auto"/>
              </w:rPr>
              <w:t>Total liabilities</w:t>
            </w:r>
          </w:p>
        </w:tc>
        <w:tc>
          <w:tcPr>
            <w:tcW w:w="3820" w:type="dxa"/>
            <w:vAlign w:val="bottom"/>
            <w:gridSpan w:val="2"/>
          </w:tcPr>
          <w:p>
            <w:pPr>
              <w:jc w:val="right"/>
              <w:ind w:right="258"/>
              <w:spacing w:after="0"/>
              <w:rPr>
                <w:sz w:val="20"/>
                <w:szCs w:val="20"/>
                <w:color w:val="auto"/>
              </w:rPr>
            </w:pPr>
            <w:r>
              <w:rPr>
                <w:rFonts w:ascii="Arial" w:cs="Arial" w:eastAsia="Arial" w:hAnsi="Arial"/>
                <w:sz w:val="19"/>
                <w:szCs w:val="19"/>
                <w:color w:val="auto"/>
              </w:rPr>
              <w:t>1,533</w:t>
            </w:r>
          </w:p>
        </w:tc>
        <w:tc>
          <w:tcPr>
            <w:tcW w:w="1540" w:type="dxa"/>
            <w:vAlign w:val="bottom"/>
            <w:gridSpan w:val="2"/>
          </w:tcPr>
          <w:p>
            <w:pPr>
              <w:jc w:val="right"/>
              <w:ind w:right="520"/>
              <w:spacing w:after="0"/>
              <w:rPr>
                <w:sz w:val="20"/>
                <w:szCs w:val="20"/>
                <w:color w:val="auto"/>
              </w:rPr>
            </w:pPr>
            <w:r>
              <w:rPr>
                <w:rFonts w:ascii="Arial" w:cs="Arial" w:eastAsia="Arial" w:hAnsi="Arial"/>
                <w:sz w:val="19"/>
                <w:szCs w:val="19"/>
                <w:color w:val="auto"/>
              </w:rPr>
              <w:t>210,608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191,312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40" w:type="dxa"/>
            <w:vAlign w:val="bottom"/>
            <w:shd w:val="clear" w:color="auto" w:fill="CCEEFF"/>
          </w:tcPr>
          <w:p>
            <w:pPr>
              <w:spacing w:after="0"/>
              <w:rPr>
                <w:sz w:val="20"/>
                <w:szCs w:val="20"/>
                <w:color w:val="auto"/>
              </w:rPr>
            </w:pPr>
            <w:r>
              <w:rPr>
                <w:rFonts w:ascii="Arial" w:cs="Arial" w:eastAsia="Arial" w:hAnsi="Arial"/>
                <w:sz w:val="19"/>
                <w:szCs w:val="19"/>
                <w:color w:val="auto"/>
              </w:rPr>
              <w:t>Convertible preferred stock</w:t>
            </w:r>
          </w:p>
        </w:tc>
        <w:tc>
          <w:tcPr>
            <w:tcW w:w="3820" w:type="dxa"/>
            <w:vAlign w:val="bottom"/>
            <w:gridSpan w:val="2"/>
            <w:shd w:val="clear" w:color="auto" w:fill="CCEEFF"/>
          </w:tcPr>
          <w:p>
            <w:pPr>
              <w:jc w:val="right"/>
              <w:ind w:right="258"/>
              <w:spacing w:after="0"/>
              <w:rPr>
                <w:sz w:val="20"/>
                <w:szCs w:val="20"/>
                <w:color w:val="auto"/>
              </w:rPr>
            </w:pPr>
            <w:r>
              <w:rPr>
                <w:rFonts w:ascii="Arial" w:cs="Arial" w:eastAsia="Arial" w:hAnsi="Arial"/>
                <w:sz w:val="19"/>
                <w:szCs w:val="19"/>
                <w:color w:val="auto"/>
              </w:rPr>
              <w:t>77,485</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9"/>
                <w:szCs w:val="19"/>
                <w:color w:val="auto"/>
              </w:rPr>
              <w:t>77,485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210,170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40" w:type="dxa"/>
            <w:vAlign w:val="bottom"/>
          </w:tcPr>
          <w:p>
            <w:pPr>
              <w:spacing w:after="0"/>
              <w:rPr>
                <w:sz w:val="20"/>
                <w:szCs w:val="20"/>
                <w:color w:val="auto"/>
              </w:rPr>
            </w:pPr>
            <w:r>
              <w:rPr>
                <w:rFonts w:ascii="Arial" w:cs="Arial" w:eastAsia="Arial" w:hAnsi="Arial"/>
                <w:sz w:val="19"/>
                <w:szCs w:val="19"/>
                <w:color w:val="auto"/>
              </w:rPr>
              <w:t>Accumulated deficit</w:t>
            </w:r>
          </w:p>
        </w:tc>
        <w:tc>
          <w:tcPr>
            <w:tcW w:w="3820" w:type="dxa"/>
            <w:vAlign w:val="bottom"/>
            <w:gridSpan w:val="2"/>
          </w:tcPr>
          <w:p>
            <w:pPr>
              <w:jc w:val="right"/>
              <w:ind w:right="198"/>
              <w:spacing w:after="0"/>
              <w:rPr>
                <w:sz w:val="20"/>
                <w:szCs w:val="20"/>
                <w:color w:val="auto"/>
              </w:rPr>
            </w:pPr>
            <w:r>
              <w:rPr>
                <w:rFonts w:ascii="Arial" w:cs="Arial" w:eastAsia="Arial" w:hAnsi="Arial"/>
                <w:sz w:val="19"/>
                <w:szCs w:val="19"/>
                <w:color w:val="auto"/>
              </w:rPr>
              <w:t>(29,707)</w:t>
            </w:r>
          </w:p>
        </w:tc>
        <w:tc>
          <w:tcPr>
            <w:tcW w:w="1540" w:type="dxa"/>
            <w:vAlign w:val="bottom"/>
            <w:gridSpan w:val="2"/>
          </w:tcPr>
          <w:p>
            <w:pPr>
              <w:jc w:val="right"/>
              <w:ind w:right="460"/>
              <w:spacing w:after="0"/>
              <w:rPr>
                <w:sz w:val="20"/>
                <w:szCs w:val="20"/>
                <w:color w:val="auto"/>
              </w:rPr>
            </w:pPr>
            <w:r>
              <w:rPr>
                <w:rFonts w:ascii="Arial" w:cs="Arial" w:eastAsia="Arial" w:hAnsi="Arial"/>
                <w:sz w:val="19"/>
                <w:szCs w:val="19"/>
                <w:color w:val="auto"/>
              </w:rPr>
              <w:t>(62,187)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9"/>
                <w:szCs w:val="19"/>
                <w:color w:val="auto"/>
              </w:rPr>
              <w:t>(97,062)</w:t>
            </w:r>
          </w:p>
        </w:tc>
        <w:tc>
          <w:tcPr>
            <w:tcW w:w="0" w:type="dxa"/>
            <w:vAlign w:val="bottom"/>
          </w:tcPr>
          <w:p>
            <w:pPr>
              <w:spacing w:after="0"/>
              <w:rPr>
                <w:sz w:val="1"/>
                <w:szCs w:val="1"/>
                <w:color w:val="auto"/>
              </w:rPr>
            </w:pPr>
          </w:p>
        </w:tc>
      </w:tr>
      <w:tr>
        <w:trPr>
          <w:trHeight w:val="228"/>
        </w:trPr>
        <w:tc>
          <w:tcPr>
            <w:tcW w:w="4740" w:type="dxa"/>
            <w:vAlign w:val="bottom"/>
            <w:shd w:val="clear" w:color="auto" w:fill="CCEEFF"/>
          </w:tcPr>
          <w:p>
            <w:pPr>
              <w:spacing w:after="0"/>
              <w:rPr>
                <w:sz w:val="20"/>
                <w:szCs w:val="20"/>
                <w:color w:val="auto"/>
              </w:rPr>
            </w:pPr>
            <w:r>
              <w:rPr>
                <w:rFonts w:ascii="Arial" w:cs="Arial" w:eastAsia="Arial" w:hAnsi="Arial"/>
                <w:sz w:val="19"/>
                <w:szCs w:val="19"/>
                <w:color w:val="auto"/>
              </w:rPr>
              <w:t>Total stockholders’ deficit</w:t>
            </w:r>
          </w:p>
        </w:tc>
        <w:tc>
          <w:tcPr>
            <w:tcW w:w="3820" w:type="dxa"/>
            <w:vAlign w:val="bottom"/>
            <w:gridSpan w:val="2"/>
            <w:shd w:val="clear" w:color="auto" w:fill="CCEEFF"/>
          </w:tcPr>
          <w:p>
            <w:pPr>
              <w:jc w:val="right"/>
              <w:ind w:right="198"/>
              <w:spacing w:after="0"/>
              <w:rPr>
                <w:sz w:val="20"/>
                <w:szCs w:val="20"/>
                <w:color w:val="auto"/>
              </w:rPr>
            </w:pPr>
            <w:r>
              <w:rPr>
                <w:rFonts w:ascii="Arial" w:cs="Arial" w:eastAsia="Arial" w:hAnsi="Arial"/>
                <w:sz w:val="19"/>
                <w:szCs w:val="19"/>
                <w:color w:val="auto"/>
              </w:rPr>
              <w:t>(24,907)</w:t>
            </w: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9"/>
                <w:szCs w:val="19"/>
                <w:color w:val="auto"/>
              </w:rPr>
              <w:t>(52,033)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(82,783)</w:t>
            </w:r>
          </w:p>
        </w:tc>
        <w:tc>
          <w:tcPr>
            <w:tcW w:w="0" w:type="dxa"/>
            <w:vAlign w:val="bottom"/>
          </w:tcPr>
          <w:p>
            <w:pPr>
              <w:spacing w:after="0"/>
              <w:rPr>
                <w:sz w:val="1"/>
                <w:szCs w:val="1"/>
                <w:color w:val="auto"/>
              </w:rPr>
            </w:pPr>
          </w:p>
        </w:tc>
      </w:tr>
      <w:tr>
        <w:trPr>
          <w:trHeight w:val="384"/>
        </w:trPr>
        <w:tc>
          <w:tcPr>
            <w:tcW w:w="4740" w:type="dxa"/>
            <w:vAlign w:val="bottom"/>
          </w:tcPr>
          <w:p>
            <w:pPr>
              <w:spacing w:after="0"/>
              <w:rPr>
                <w:sz w:val="24"/>
                <w:szCs w:val="24"/>
                <w:color w:val="auto"/>
              </w:rPr>
            </w:pPr>
          </w:p>
        </w:tc>
        <w:tc>
          <w:tcPr>
            <w:tcW w:w="2780" w:type="dxa"/>
            <w:vAlign w:val="bottom"/>
          </w:tcPr>
          <w:p>
            <w:pPr>
              <w:jc w:val="right"/>
              <w:ind w:right="1505"/>
              <w:spacing w:after="0"/>
              <w:rPr>
                <w:sz w:val="20"/>
                <w:szCs w:val="20"/>
                <w:color w:val="auto"/>
              </w:rPr>
            </w:pPr>
            <w:r>
              <w:rPr>
                <w:rFonts w:ascii="Arial" w:cs="Arial" w:eastAsia="Arial" w:hAnsi="Arial"/>
                <w:sz w:val="19"/>
                <w:szCs w:val="19"/>
                <w:color w:val="auto"/>
              </w:rPr>
              <w:t>73</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820"/>
          </w:cols>
          <w:pgMar w:left="120" w:top="336" w:right="300" w:bottom="1440" w:gutter="0" w:footer="0" w:header="0"/>
        </w:sectPr>
      </w:pPr>
    </w:p>
    <w:bookmarkStart w:id="81" w:name="page82"/>
    <w:bookmarkEnd w:id="8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MANAGEMENT’S DISCUSSION AND ANALYSIS OF FINANCIAL</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CONDITION AND RESULTS OF OPERATIONS</w:t>
      </w:r>
    </w:p>
    <w:p>
      <w:pPr>
        <w:spacing w:after="0" w:line="225" w:lineRule="exact"/>
        <w:rPr>
          <w:sz w:val="20"/>
          <w:szCs w:val="20"/>
          <w:color w:val="auto"/>
        </w:rPr>
      </w:pPr>
    </w:p>
    <w:p>
      <w:pPr>
        <w:jc w:val="both"/>
        <w:ind w:left="180" w:right="560" w:firstLine="465"/>
        <w:spacing w:after="0" w:line="284"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section entitled “Selected Consolidated Financial Data” and our consolidated financial statements and related notes included elsewhere in this prospectus.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w:t>
      </w:r>
    </w:p>
    <w:p>
      <w:pPr>
        <w:spacing w:after="0" w:line="1" w:lineRule="exact"/>
        <w:rPr>
          <w:sz w:val="20"/>
          <w:szCs w:val="20"/>
          <w:color w:val="auto"/>
        </w:rPr>
      </w:pPr>
    </w:p>
    <w:p>
      <w:pPr>
        <w:ind w:left="180" w:right="360"/>
        <w:spacing w:after="0" w:line="261" w:lineRule="auto"/>
        <w:rPr>
          <w:sz w:val="20"/>
          <w:szCs w:val="20"/>
          <w:color w:val="auto"/>
        </w:rPr>
      </w:pPr>
      <w:r>
        <w:rPr>
          <w:rFonts w:ascii="Arial" w:cs="Arial" w:eastAsia="Arial" w:hAnsi="Arial"/>
          <w:sz w:val="19"/>
          <w:szCs w:val="19"/>
          <w:i w:val="1"/>
          <w:iCs w:val="1"/>
          <w:color w:val="auto"/>
        </w:rPr>
        <w:t>Factors that could cause or contribute to such differences include, but are not limited to, those identified below and those set forth under the section titled “Risk Factors” included elsewhere in this prospectus.</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Overview</w:t>
      </w:r>
    </w:p>
    <w:p>
      <w:pPr>
        <w:spacing w:after="0" w:line="130" w:lineRule="exact"/>
        <w:rPr>
          <w:sz w:val="20"/>
          <w:szCs w:val="20"/>
          <w:color w:val="auto"/>
        </w:rPr>
      </w:pPr>
    </w:p>
    <w:p>
      <w:pPr>
        <w:ind w:left="180" w:right="100" w:firstLine="465"/>
        <w:spacing w:after="0" w:line="284" w:lineRule="auto"/>
        <w:rPr>
          <w:sz w:val="20"/>
          <w:szCs w:val="20"/>
          <w:color w:val="auto"/>
        </w:rPr>
      </w:pPr>
      <w:r>
        <w:rPr>
          <w:rFonts w:ascii="Arial" w:cs="Arial" w:eastAsia="Arial" w:hAnsi="Arial"/>
          <w:sz w:val="17"/>
          <w:szCs w:val="17"/>
          <w:color w:val="auto"/>
        </w:rPr>
        <w:t>We are a clinical stage biopharmaceutical company pioneering immuno-neurology, a novel therapeutic approach for the treatment of neurodegeneration. Immuno-neurology targets immune dysfunction as a root cause of multiple pathologies that are drivers of degenerative brain disorders. We are developing therapies designed to simultaneously counteract these pathologies by restoring healthy immune function to the brain. Supporting our scientific approach, our Discovery Platform enables us to advance a broad portfolio of product candidates, validated by human genetics, which we believe will improve the probability of technical success over shorter development timelines. As a result, in the last five years, we have identified over forty immune system targets, progressed over ten programs into preclinical research, and advanced two product candidates, AL001 and AL002, into clinical development. As of January 25, 2019, AL001, initially aimed at treating FTD-GRN patients, was dosed in 44 healthy subjects in a single ascending dose Phase 1 study. There were no drug-related serious adverse events or dose limiting adverse events reported in the study, achieving the primary endpoint. Moreover, statistically significant increases in plasma and cerebrospinal fluid (CSF) PGRN levels relative to baseline were also observed, successfully demonstrating proof-of-mechanism for AL001 in the central nervous systems of healthy volunteers. We plan to advance AL001 into a Phase 1b study with proof-of-mechanism data in FTD-GRN patients expected in the first half of 2019 and into a Phase 2 study with proof-of-concept data in FTD-GRN patients expected in the first half of 2020. In the second half of 2018, we also initiated a dose escalation Phase 1 study in healthy volunteers with AL002, a product candidate for Alzheimer’s disease. In addition, we expect to initiate Phase 1 studies of AL003, a product candidate for Alzheimer’s disease, and AL101, a product candidate for multiple neurodegenerative disorders, in 2019.</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were originally formed in May 2013 as a Delaware limited liability company under the name Alector LLC. In October 2017, we completed a</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reorganization whereby we converted from a Delaware limited liability company to a Delaware corporation under the name Alector, Inc. (the</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Conversion). In conjunction with the Conversion, (i) all of our outstanding common units converted on a 1-for-1 basis into shares of common stock, par</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value $0.0001 per share; (ii) all of our outstanding preferred units converted on a 1-for-1 basis into shares of convertible preferred stock, par value</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$0.0001 per share; and (iii) our 202,924 unvested restricted units converted on a 1-for-1 basis into shares of unvested restricted common stock. Prior to</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Conversion, we had issued profit interest units to employees. Our vested profit interest units converted on a net issuance basis into shares of common</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stock and our unvested profit interest units converted on a net issuance basis into restricted common stock. Fractional shares related to the conversion of</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profit interest grants were settled in cash. All vesting provisions remained the same following the Conversion.</w:t>
      </w:r>
    </w:p>
    <w:p>
      <w:pPr>
        <w:spacing w:after="0" w:line="225" w:lineRule="exact"/>
        <w:rPr>
          <w:sz w:val="20"/>
          <w:szCs w:val="20"/>
          <w:color w:val="auto"/>
        </w:rPr>
      </w:pPr>
    </w:p>
    <w:p>
      <w:pPr>
        <w:ind w:left="180" w:right="20" w:firstLine="465"/>
        <w:spacing w:after="0" w:line="255" w:lineRule="auto"/>
        <w:rPr>
          <w:sz w:val="20"/>
          <w:szCs w:val="20"/>
          <w:color w:val="auto"/>
        </w:rPr>
      </w:pPr>
      <w:r>
        <w:rPr>
          <w:rFonts w:ascii="Arial" w:cs="Arial" w:eastAsia="Arial" w:hAnsi="Arial"/>
          <w:sz w:val="19"/>
          <w:szCs w:val="19"/>
          <w:color w:val="auto"/>
        </w:rPr>
        <w:t>To date, we have not had any products approved for sale and have not generated any revenue from product sales nor been profitable. Further, we do not expect to generate revenue from product sales until such time, if ever, that we are able to successfully complete the development and obtain marketing approval for one of our product candidates. We will continue to require additional capital to develop our product candidates and fund operations for the foreseeable future. We have incurred net losses in each year since inception and expect to continue to incur net losses for the foreseeable future. Our ability to generate product revenue will depend on the successful development and eventual commercialization of one or more of our product candidates. Our net losses</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74</w:t>
      </w:r>
    </w:p>
    <w:p>
      <w:pPr>
        <w:sectPr>
          <w:pgSz w:w="12240" w:h="15840" w:orient="portrait"/>
          <w:cols w:equalWidth="0" w:num="1">
            <w:col w:w="11820"/>
          </w:cols>
          <w:pgMar w:left="120" w:top="336" w:right="300" w:bottom="1440" w:gutter="0" w:footer="0" w:header="0"/>
        </w:sectPr>
      </w:pPr>
    </w:p>
    <w:bookmarkStart w:id="82" w:name="page83"/>
    <w:bookmarkEnd w:id="8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98" w:lineRule="auto"/>
        <w:rPr>
          <w:sz w:val="20"/>
          <w:szCs w:val="20"/>
          <w:color w:val="auto"/>
        </w:rPr>
      </w:pPr>
      <w:r>
        <w:rPr>
          <w:rFonts w:ascii="Arial" w:cs="Arial" w:eastAsia="Arial" w:hAnsi="Arial"/>
          <w:sz w:val="17"/>
          <w:szCs w:val="17"/>
          <w:color w:val="auto"/>
        </w:rPr>
        <w:t>were $15.1 million and $32.5 million for the years ended December 31, 2016 and 2017, respectively, and $22.7 million and $34.9 million for the nine months ended September 30, 2017 and 2018, respectively. As of September 30, 2018, we had an accumulated deficit of $97.1 million. Substantially all of our net losses have resulted from costs incurred in connection with our research and development programs and from general and administrative costs associated with our operations. We expect our expenses will increase substantially in connection with our ongoing activities, as we:</w:t>
      </w:r>
    </w:p>
    <w:p>
      <w:pPr>
        <w:spacing w:after="0" w:line="70" w:lineRule="exact"/>
        <w:rPr>
          <w:sz w:val="20"/>
          <w:szCs w:val="20"/>
          <w:color w:val="auto"/>
        </w:rPr>
      </w:pPr>
    </w:p>
    <w:p>
      <w:pPr>
        <w:ind w:left="1100" w:hanging="350"/>
        <w:spacing w:after="0"/>
        <w:tabs>
          <w:tab w:leader="none" w:pos="11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advance product candidates through preclinical studies and clinical trials;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pursue regulatory approval of product candidates;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hire additional personnel;</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operate as a public company;</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acquire, discover, validate, and develop additional product candidates;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require the manufacture of supplies for our preclinical studies and clinical trials; and</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obtain, maintain, expand, and protect our intellectual property portfolio.</w:t>
      </w:r>
    </w:p>
    <w:p>
      <w:pPr>
        <w:spacing w:after="0" w:line="238"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Our operations have been financed primarily through the issuance and sale of our preferred units and convertible preferred stock and through our collaboration with AbbVie. The issuance and sale of our preferred units and convertible preferred stock provided net proceeds of $210.2 million through September 30, 2018.</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Components of Results of Operations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Revenue</w:t>
      </w:r>
    </w:p>
    <w:p>
      <w:pPr>
        <w:spacing w:after="0" w:line="124" w:lineRule="exact"/>
        <w:rPr>
          <w:sz w:val="20"/>
          <w:szCs w:val="20"/>
          <w:color w:val="auto"/>
        </w:rPr>
      </w:pPr>
    </w:p>
    <w:p>
      <w:pPr>
        <w:ind w:left="180" w:right="100" w:firstLine="465"/>
        <w:spacing w:after="0" w:line="269" w:lineRule="auto"/>
        <w:rPr>
          <w:sz w:val="20"/>
          <w:szCs w:val="20"/>
          <w:color w:val="auto"/>
        </w:rPr>
      </w:pPr>
      <w:r>
        <w:rPr>
          <w:rFonts w:ascii="Arial" w:cs="Arial" w:eastAsia="Arial" w:hAnsi="Arial"/>
          <w:sz w:val="18"/>
          <w:szCs w:val="18"/>
          <w:color w:val="auto"/>
        </w:rPr>
        <w:t>We have not generated any revenue from product sales and do not expect to do so in the near future. Our revenue to date has been primarily related to our research and development grant from the U.S. government and the AbbVie Agreement to co-develop product candidates in two programs in clinical development with AbbVie. We recognize revenue related to our research and development grant as the related research services are performed. We recognize revenue from the upfront payments under the AbbVie Agreement over time as the services are provided. Revenues are recognized as the program costs are incurred by measuring actual costs incurred to date compared to the overall total expected costs to satisfy the performance obligation. In addition to receiving the upfront payments, we may also be entitled to development and regulatory milestone payments, opt-in payments for continued development after proof-of-concept for AL002 and AL003, and other future payments from profit sharing or royalties after commercialization of product candidates from such programs. For additional details regarding the AbbVie Agreement, see the section titled “Business— Strategic Alliance with AbbVie.”</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expect that our revenue for the next several years will be derived primarily from the AbbVie Agreement. We recorded deferred revenue of</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$183.8 million as of September 30, 2018. The deferred revenue is expected to be recognized over the research and development period of the programs</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through the completion of proof-of-concept for AL002 and AL003.</w:t>
      </w:r>
    </w:p>
    <w:p>
      <w:pPr>
        <w:spacing w:after="0" w:line="33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Research and Development Expenses</w:t>
      </w:r>
    </w:p>
    <w:p>
      <w:pPr>
        <w:spacing w:after="0" w:line="124" w:lineRule="exact"/>
        <w:rPr>
          <w:sz w:val="20"/>
          <w:szCs w:val="20"/>
          <w:color w:val="auto"/>
        </w:rPr>
      </w:pPr>
    </w:p>
    <w:p>
      <w:pPr>
        <w:ind w:left="180" w:right="40" w:firstLine="465"/>
        <w:spacing w:after="0" w:line="263" w:lineRule="auto"/>
        <w:rPr>
          <w:sz w:val="20"/>
          <w:szCs w:val="20"/>
          <w:color w:val="auto"/>
        </w:rPr>
      </w:pPr>
      <w:r>
        <w:rPr>
          <w:rFonts w:ascii="Arial" w:cs="Arial" w:eastAsia="Arial" w:hAnsi="Arial"/>
          <w:sz w:val="19"/>
          <w:szCs w:val="19"/>
          <w:color w:val="auto"/>
        </w:rPr>
        <w:t>Research and development expenses account for a significant portion of our operating expenses. We record research and development expenses as incurred. Research and development expenses consist primarily of costs incurred for the discovery and development of our product candidates, which include:</w:t>
      </w:r>
    </w:p>
    <w:p>
      <w:pPr>
        <w:spacing w:after="0" w:line="95" w:lineRule="exact"/>
        <w:rPr>
          <w:sz w:val="20"/>
          <w:szCs w:val="20"/>
          <w:color w:val="auto"/>
        </w:rPr>
      </w:pPr>
    </w:p>
    <w:p>
      <w:pPr>
        <w:ind w:left="1100" w:hanging="350"/>
        <w:spacing w:after="0"/>
        <w:tabs>
          <w:tab w:leader="none" w:pos="11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expenses incurred under agreements with third-party contract organizations, preclinical testing organizations, and consultants;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costs related to production of clinical materials, including fees paid to contract manufacturers;</w:t>
      </w:r>
    </w:p>
    <w:p>
      <w:pPr>
        <w:spacing w:after="0" w:line="167"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75</w:t>
      </w:r>
    </w:p>
    <w:p>
      <w:pPr>
        <w:sectPr>
          <w:pgSz w:w="12240" w:h="15840" w:orient="portrait"/>
          <w:cols w:equalWidth="0" w:num="1">
            <w:col w:w="11800"/>
          </w:cols>
          <w:pgMar w:left="120" w:top="336" w:right="320" w:bottom="1440" w:gutter="0" w:footer="0" w:header="0"/>
        </w:sectPr>
      </w:pPr>
    </w:p>
    <w:bookmarkStart w:id="83" w:name="page84"/>
    <w:bookmarkEnd w:id="8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hanging="350"/>
        <w:spacing w:after="0"/>
        <w:tabs>
          <w:tab w:leader="none" w:pos="1100" w:val="left"/>
        </w:tabs>
        <w:numPr>
          <w:ilvl w:val="0"/>
          <w:numId w:val="55"/>
        </w:numPr>
        <w:rPr>
          <w:rFonts w:ascii="Arial" w:cs="Arial" w:eastAsia="Arial" w:hAnsi="Arial"/>
          <w:sz w:val="19"/>
          <w:szCs w:val="19"/>
          <w:color w:val="auto"/>
        </w:rPr>
      </w:pPr>
      <w:r>
        <w:rPr>
          <w:rFonts w:ascii="Arial" w:cs="Arial" w:eastAsia="Arial" w:hAnsi="Arial"/>
          <w:sz w:val="19"/>
          <w:szCs w:val="19"/>
          <w:color w:val="auto"/>
        </w:rPr>
        <w:t>laboratory and vendor expenses related to the execution of preclinical studies and clinical trials;</w:t>
      </w:r>
    </w:p>
    <w:p>
      <w:pPr>
        <w:spacing w:after="0" w:line="138" w:lineRule="exact"/>
        <w:rPr>
          <w:rFonts w:ascii="Arial" w:cs="Arial" w:eastAsia="Arial" w:hAnsi="Arial"/>
          <w:sz w:val="19"/>
          <w:szCs w:val="19"/>
          <w:color w:val="auto"/>
        </w:rPr>
      </w:pPr>
    </w:p>
    <w:p>
      <w:pPr>
        <w:ind w:left="1100" w:right="160" w:hanging="350"/>
        <w:spacing w:after="0" w:line="275" w:lineRule="auto"/>
        <w:tabs>
          <w:tab w:leader="none" w:pos="1100" w:val="left"/>
        </w:tabs>
        <w:numPr>
          <w:ilvl w:val="0"/>
          <w:numId w:val="55"/>
        </w:numPr>
        <w:rPr>
          <w:rFonts w:ascii="Arial" w:cs="Arial" w:eastAsia="Arial" w:hAnsi="Arial"/>
          <w:sz w:val="19"/>
          <w:szCs w:val="19"/>
          <w:color w:val="auto"/>
        </w:rPr>
      </w:pPr>
      <w:r>
        <w:rPr>
          <w:rFonts w:ascii="Arial" w:cs="Arial" w:eastAsia="Arial" w:hAnsi="Arial"/>
          <w:sz w:val="19"/>
          <w:szCs w:val="19"/>
          <w:color w:val="auto"/>
        </w:rPr>
        <w:t>personnel-related expenses, including salaries, benefits, and stock-based compensation for personnel engaged in research and development functions;</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55"/>
        </w:numPr>
        <w:rPr>
          <w:rFonts w:ascii="Arial" w:cs="Arial" w:eastAsia="Arial" w:hAnsi="Arial"/>
          <w:sz w:val="19"/>
          <w:szCs w:val="19"/>
          <w:color w:val="auto"/>
        </w:rPr>
      </w:pPr>
      <w:r>
        <w:rPr>
          <w:rFonts w:ascii="Arial" w:cs="Arial" w:eastAsia="Arial" w:hAnsi="Arial"/>
          <w:sz w:val="19"/>
          <w:szCs w:val="19"/>
          <w:color w:val="auto"/>
        </w:rPr>
        <w:t>costs related to the preparation of regulatory submissions;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third-party license fees; and</w:t>
      </w:r>
    </w:p>
    <w:p>
      <w:pPr>
        <w:spacing w:after="0" w:line="138" w:lineRule="exact"/>
        <w:rPr>
          <w:rFonts w:ascii="Arial" w:cs="Arial" w:eastAsia="Arial" w:hAnsi="Arial"/>
          <w:sz w:val="19"/>
          <w:szCs w:val="19"/>
          <w:color w:val="auto"/>
        </w:rPr>
      </w:pPr>
    </w:p>
    <w:p>
      <w:pPr>
        <w:ind w:left="1100" w:right="440" w:hanging="350"/>
        <w:spacing w:after="0" w:line="275" w:lineRule="auto"/>
        <w:tabs>
          <w:tab w:leader="none" w:pos="1100" w:val="left"/>
        </w:tabs>
        <w:numPr>
          <w:ilvl w:val="0"/>
          <w:numId w:val="55"/>
        </w:numPr>
        <w:rPr>
          <w:rFonts w:ascii="Arial" w:cs="Arial" w:eastAsia="Arial" w:hAnsi="Arial"/>
          <w:sz w:val="19"/>
          <w:szCs w:val="19"/>
          <w:color w:val="auto"/>
        </w:rPr>
      </w:pPr>
      <w:r>
        <w:rPr>
          <w:rFonts w:ascii="Arial" w:cs="Arial" w:eastAsia="Arial" w:hAnsi="Arial"/>
          <w:sz w:val="19"/>
          <w:szCs w:val="19"/>
          <w:color w:val="auto"/>
        </w:rPr>
        <w:t>facilities and other expenses, which include expenses for rent and maintenance of facilities, depreciation and amortization expense, and other supplies.</w:t>
      </w:r>
    </w:p>
    <w:p>
      <w:pPr>
        <w:spacing w:after="0" w:line="184" w:lineRule="exact"/>
        <w:rPr>
          <w:sz w:val="20"/>
          <w:szCs w:val="20"/>
          <w:color w:val="auto"/>
        </w:rPr>
      </w:pPr>
    </w:p>
    <w:p>
      <w:pPr>
        <w:ind w:left="180" w:right="20" w:firstLine="465"/>
        <w:spacing w:after="0" w:line="298" w:lineRule="auto"/>
        <w:rPr>
          <w:sz w:val="20"/>
          <w:szCs w:val="20"/>
          <w:color w:val="auto"/>
        </w:rPr>
      </w:pPr>
      <w:r>
        <w:rPr>
          <w:rFonts w:ascii="Arial" w:cs="Arial" w:eastAsia="Arial" w:hAnsi="Arial"/>
          <w:sz w:val="17"/>
          <w:szCs w:val="17"/>
          <w:color w:val="auto"/>
        </w:rPr>
        <w:t>We expense all research and development costs in the periods in which they are incurred. Costs for certain development activities are recognized based on an evaluation of the progress to completion of specific tasks using information and data provided to us by our vendors, collaborators, and third-party service providers. Nonrefundable advance payments for goods or services to be received in future periods for use in research and development activities are deferred and capitalized. The capitalized amounts are then expensed as the related goods are delivered and as services are performed.</w:t>
      </w:r>
    </w:p>
    <w:p>
      <w:pPr>
        <w:spacing w:after="0" w:line="170" w:lineRule="exact"/>
        <w:rPr>
          <w:sz w:val="20"/>
          <w:szCs w:val="20"/>
          <w:color w:val="auto"/>
        </w:rPr>
      </w:pPr>
    </w:p>
    <w:p>
      <w:pPr>
        <w:ind w:left="180" w:right="80" w:firstLine="465"/>
        <w:spacing w:after="0" w:line="274" w:lineRule="auto"/>
        <w:rPr>
          <w:sz w:val="20"/>
          <w:szCs w:val="20"/>
          <w:color w:val="auto"/>
        </w:rPr>
      </w:pPr>
      <w:r>
        <w:rPr>
          <w:rFonts w:ascii="Arial" w:cs="Arial" w:eastAsia="Arial" w:hAnsi="Arial"/>
          <w:sz w:val="18"/>
          <w:szCs w:val="18"/>
          <w:color w:val="auto"/>
        </w:rPr>
        <w:t>Specific program expenses include expenses associated with the development of our most advanced product candidate, AL001, which is in Phase 1 clinical trials. We also have expenses related to the discovery and development of future product candidates and separately tracked expenses related to programs that we expect to move out of preclinical studies and into Phase 1 clinical trials. We do not track personnel or other operating expenses incurred for our research and development programs on a program-specific basis. These expenses primarily relate to salaries and benefits, stock-based compensation, facility expenses, including depreciation, and lab consumables.</w:t>
      </w:r>
    </w:p>
    <w:p>
      <w:pPr>
        <w:spacing w:after="0" w:line="188" w:lineRule="exact"/>
        <w:rPr>
          <w:sz w:val="20"/>
          <w:szCs w:val="20"/>
          <w:color w:val="auto"/>
        </w:rPr>
      </w:pPr>
    </w:p>
    <w:p>
      <w:pPr>
        <w:ind w:left="180" w:right="160" w:firstLine="465"/>
        <w:spacing w:after="0" w:line="271"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and obtain regulatory approval for, any of our product candidates. We expect our research and development expenses to increase substantially for the foreseeable future as we continue to invest in research and development activities related to developing our product candidates, as our product candidates advance into later stages of development, as we begin to conduct larger clinical trials, as we seek regulatory approvals for any product candidates that successfully complete clinical trials, and incur expenses associated with hiring additional personnel to support our research and development efforts. The process of conducting the necessary clinical research to obtain regulatory approval is costly and time-consuming, and the successful development of our product candidates is highly uncertain.</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General and Administrative Expenses</w:t>
      </w:r>
    </w:p>
    <w:p>
      <w:pPr>
        <w:spacing w:after="0" w:line="124" w:lineRule="exact"/>
        <w:rPr>
          <w:sz w:val="20"/>
          <w:szCs w:val="20"/>
          <w:color w:val="auto"/>
        </w:rPr>
      </w:pPr>
    </w:p>
    <w:p>
      <w:pPr>
        <w:ind w:left="180" w:right="120" w:firstLine="465"/>
        <w:spacing w:after="0" w:line="259" w:lineRule="auto"/>
        <w:rPr>
          <w:sz w:val="20"/>
          <w:szCs w:val="20"/>
          <w:color w:val="auto"/>
        </w:rPr>
      </w:pPr>
      <w:r>
        <w:rPr>
          <w:rFonts w:ascii="Arial" w:cs="Arial" w:eastAsia="Arial" w:hAnsi="Arial"/>
          <w:sz w:val="19"/>
          <w:szCs w:val="19"/>
          <w:color w:val="auto"/>
        </w:rPr>
        <w:t>General and administrative expenses consist primarily of personnel-related costs, including stock-based compensation, for our personnel in executive, legal, finance and accounting, human resources, and other administrative functions. General and administrative expenses also include legal fees relating to intellectual property and corporate matters, professional fees paid for accounting, auditing, consulting, and tax services, insurance costs, and facility costs not otherwise included in research and development expenses.</w:t>
      </w:r>
    </w:p>
    <w:p>
      <w:pPr>
        <w:spacing w:after="0" w:line="198" w:lineRule="exact"/>
        <w:rPr>
          <w:sz w:val="20"/>
          <w:szCs w:val="20"/>
          <w:color w:val="auto"/>
        </w:rPr>
      </w:pPr>
    </w:p>
    <w:p>
      <w:pPr>
        <w:ind w:left="180" w:firstLine="465"/>
        <w:spacing w:after="0" w:line="298"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programs. We also anticipate that we will incur increased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w:t>
      </w:r>
    </w:p>
    <w:p>
      <w:pPr>
        <w:spacing w:after="0" w:line="28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Other Income, Net</w:t>
      </w:r>
    </w:p>
    <w:p>
      <w:pPr>
        <w:spacing w:after="0" w:line="124" w:lineRule="exact"/>
        <w:rPr>
          <w:sz w:val="20"/>
          <w:szCs w:val="20"/>
          <w:color w:val="auto"/>
        </w:rPr>
      </w:pPr>
    </w:p>
    <w:p>
      <w:pPr>
        <w:ind w:left="180" w:right="200" w:firstLine="465"/>
        <w:spacing w:after="0" w:line="275" w:lineRule="auto"/>
        <w:rPr>
          <w:sz w:val="20"/>
          <w:szCs w:val="20"/>
          <w:color w:val="auto"/>
        </w:rPr>
      </w:pPr>
      <w:r>
        <w:rPr>
          <w:rFonts w:ascii="Arial" w:cs="Arial" w:eastAsia="Arial" w:hAnsi="Arial"/>
          <w:sz w:val="19"/>
          <w:szCs w:val="19"/>
          <w:color w:val="auto"/>
        </w:rPr>
        <w:t>Other income, net consists of interest earned on our cash equivalents and marketable securities and foreign currency transaction gains and losses incurred during the period.</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76</w:t>
      </w:r>
    </w:p>
    <w:p>
      <w:pPr>
        <w:sectPr>
          <w:pgSz w:w="12240" w:h="15840" w:orient="portrait"/>
          <w:cols w:equalWidth="0" w:num="1">
            <w:col w:w="11820"/>
          </w:cols>
          <w:pgMar w:left="120" w:top="336" w:right="300" w:bottom="1440" w:gutter="0" w:footer="0" w:header="0"/>
        </w:sectPr>
      </w:pPr>
    </w:p>
    <w:bookmarkStart w:id="84" w:name="page85"/>
    <w:bookmarkEnd w:id="8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Results of Operations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Comparison of the Nine Months Ended September 30, 2017 and 2018</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right"/>
              <w:ind w:right="580"/>
              <w:spacing w:after="0"/>
              <w:rPr>
                <w:sz w:val="20"/>
                <w:szCs w:val="20"/>
                <w:color w:val="auto"/>
              </w:rPr>
            </w:pPr>
            <w:r>
              <w:rPr>
                <w:rFonts w:ascii="Arial" w:cs="Arial" w:eastAsia="Arial" w:hAnsi="Arial"/>
                <w:sz w:val="15"/>
                <w:szCs w:val="15"/>
                <w:b w:val="1"/>
                <w:bCs w:val="1"/>
                <w:color w:val="auto"/>
              </w:rPr>
              <w:t>Nine Months Ended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6"/>
          </w:tcPr>
          <w:p>
            <w:pPr>
              <w:jc w:val="right"/>
              <w:ind w:right="76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Dollar</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10"/>
              <w:spacing w:after="0" w:line="151" w:lineRule="exact"/>
              <w:rPr>
                <w:sz w:val="20"/>
                <w:szCs w:val="20"/>
                <w:color w:val="auto"/>
              </w:rPr>
            </w:pPr>
            <w:r>
              <w:rPr>
                <w:rFonts w:ascii="Arial" w:cs="Arial" w:eastAsia="Arial" w:hAnsi="Arial"/>
                <w:sz w:val="15"/>
                <w:szCs w:val="15"/>
                <w:b w:val="1"/>
                <w:bCs w:val="1"/>
                <w:color w:val="auto"/>
              </w:rPr>
              <w:t>2017</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47"/>
              <w:spacing w:after="0" w:line="151" w:lineRule="exact"/>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220"/>
              <w:spacing w:after="0" w:line="151" w:lineRule="exact"/>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4"/>
          </w:tcPr>
          <w:p>
            <w:pPr>
              <w:jc w:val="right"/>
              <w:ind w:right="180"/>
              <w:spacing w:after="0" w:line="128"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5"/>
                <w:szCs w:val="15"/>
                <w:b w:val="1"/>
                <w:bCs w:val="1"/>
                <w:color w:val="auto"/>
              </w:rPr>
              <w:t>(Unaudited)</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9"/>
                <w:szCs w:val="19"/>
                <w:color w:val="auto"/>
              </w:rPr>
              <w:t>Revenue:</w:t>
            </w:r>
          </w:p>
        </w:tc>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ind w:left="360"/>
              <w:spacing w:after="0"/>
              <w:rPr>
                <w:sz w:val="20"/>
                <w:szCs w:val="20"/>
                <w:color w:val="auto"/>
              </w:rPr>
            </w:pPr>
            <w:r>
              <w:rPr>
                <w:rFonts w:ascii="Arial" w:cs="Arial" w:eastAsia="Arial" w:hAnsi="Arial"/>
                <w:sz w:val="19"/>
                <w:szCs w:val="19"/>
                <w:color w:val="auto"/>
              </w:rPr>
              <w:t>Collaboration revenue</w:t>
            </w:r>
          </w:p>
        </w:tc>
        <w:tc>
          <w:tcPr>
            <w:tcW w:w="30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380" w:type="dxa"/>
            <w:vAlign w:val="bottom"/>
            <w:gridSpan w:val="2"/>
          </w:tcPr>
          <w:p>
            <w:pPr>
              <w:ind w:left="220"/>
              <w:spacing w:after="0"/>
              <w:rPr>
                <w:sz w:val="20"/>
                <w:szCs w:val="20"/>
                <w:color w:val="auto"/>
              </w:rPr>
            </w:pPr>
            <w:r>
              <w:rPr>
                <w:rFonts w:ascii="Arial" w:cs="Arial" w:eastAsia="Arial" w:hAnsi="Arial"/>
                <w:sz w:val="19"/>
                <w:szCs w:val="19"/>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9"/>
                <w:szCs w:val="19"/>
                <w:color w:val="auto"/>
              </w:rPr>
              <w:t>18,363</w:t>
            </w:r>
          </w:p>
        </w:tc>
        <w:tc>
          <w:tcPr>
            <w:tcW w:w="1000" w:type="dxa"/>
            <w:vAlign w:val="bottom"/>
            <w:gridSpan w:val="3"/>
          </w:tcPr>
          <w:p>
            <w:pPr>
              <w:jc w:val="right"/>
              <w:ind w:right="120"/>
              <w:spacing w:after="0"/>
              <w:rPr>
                <w:sz w:val="20"/>
                <w:szCs w:val="20"/>
                <w:color w:val="auto"/>
              </w:rPr>
            </w:pPr>
            <w:r>
              <w:rPr>
                <w:rFonts w:ascii="Arial" w:cs="Arial" w:eastAsia="Arial" w:hAnsi="Arial"/>
                <w:sz w:val="19"/>
                <w:szCs w:val="19"/>
                <w:color w:val="auto"/>
              </w:rPr>
              <w:t>$ 18,363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shd w:val="clear" w:color="auto" w:fill="CCEEFF"/>
          </w:tcPr>
          <w:p>
            <w:pPr>
              <w:ind w:left="360"/>
              <w:spacing w:after="0"/>
              <w:rPr>
                <w:sz w:val="20"/>
                <w:szCs w:val="20"/>
                <w:color w:val="auto"/>
              </w:rPr>
            </w:pPr>
            <w:r>
              <w:rPr>
                <w:rFonts w:ascii="Arial" w:cs="Arial" w:eastAsia="Arial" w:hAnsi="Arial"/>
                <w:sz w:val="19"/>
                <w:szCs w:val="19"/>
                <w:color w:val="auto"/>
              </w:rPr>
              <w:t>Grant revenue</w:t>
            </w:r>
          </w:p>
        </w:tc>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676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169</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color w:val="auto"/>
              </w:rPr>
              <w:t>(507)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740"/>
              <w:spacing w:after="0"/>
              <w:rPr>
                <w:sz w:val="20"/>
                <w:szCs w:val="20"/>
                <w:color w:val="auto"/>
              </w:rPr>
            </w:pPr>
            <w:r>
              <w:rPr>
                <w:rFonts w:ascii="Arial" w:cs="Arial" w:eastAsia="Arial" w:hAnsi="Arial"/>
                <w:sz w:val="19"/>
                <w:szCs w:val="19"/>
                <w:color w:val="auto"/>
              </w:rPr>
              <w:t>Total revenue</w:t>
            </w:r>
          </w:p>
        </w:tc>
        <w:tc>
          <w:tcPr>
            <w:tcW w:w="2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520" w:type="dxa"/>
            <w:vAlign w:val="bottom"/>
            <w:vMerge w:val="continue"/>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9"/>
                <w:szCs w:val="19"/>
                <w:color w:val="auto"/>
              </w:rPr>
              <w:t>676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9"/>
                <w:szCs w:val="19"/>
                <w:color w:val="auto"/>
              </w:rPr>
              <w:t>18,532</w:t>
            </w:r>
          </w:p>
        </w:tc>
        <w:tc>
          <w:tcPr>
            <w:tcW w:w="1000" w:type="dxa"/>
            <w:vAlign w:val="bottom"/>
            <w:gridSpan w:val="3"/>
          </w:tcPr>
          <w:p>
            <w:pPr>
              <w:jc w:val="right"/>
              <w:ind w:right="120"/>
              <w:spacing w:after="0"/>
              <w:rPr>
                <w:sz w:val="20"/>
                <w:szCs w:val="20"/>
                <w:color w:val="auto"/>
              </w:rPr>
            </w:pPr>
            <w:r>
              <w:rPr>
                <w:rFonts w:ascii="Arial" w:cs="Arial" w:eastAsia="Arial" w:hAnsi="Arial"/>
                <w:sz w:val="19"/>
                <w:szCs w:val="19"/>
                <w:color w:val="auto"/>
              </w:rPr>
              <w:t>17,856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9"/>
                <w:szCs w:val="19"/>
                <w:color w:val="auto"/>
              </w:rPr>
              <w:t>Operating expenses:</w:t>
            </w:r>
          </w:p>
        </w:tc>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ind w:left="360"/>
              <w:spacing w:after="0"/>
              <w:rPr>
                <w:sz w:val="20"/>
                <w:szCs w:val="20"/>
                <w:color w:val="auto"/>
              </w:rPr>
            </w:pPr>
            <w:r>
              <w:rPr>
                <w:rFonts w:ascii="Arial" w:cs="Arial" w:eastAsia="Arial" w:hAnsi="Arial"/>
                <w:sz w:val="19"/>
                <w:szCs w:val="19"/>
                <w:color w:val="auto"/>
              </w:rPr>
              <w:t>Research and development</w:t>
            </w: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9"/>
                <w:szCs w:val="19"/>
                <w:color w:val="auto"/>
                <w:w w:val="99"/>
              </w:rPr>
              <w:t>19,073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9"/>
                <w:szCs w:val="19"/>
                <w:color w:val="auto"/>
              </w:rPr>
              <w:t>48,934</w:t>
            </w:r>
          </w:p>
        </w:tc>
        <w:tc>
          <w:tcPr>
            <w:tcW w:w="1000" w:type="dxa"/>
            <w:vAlign w:val="bottom"/>
            <w:gridSpan w:val="3"/>
          </w:tcPr>
          <w:p>
            <w:pPr>
              <w:jc w:val="right"/>
              <w:ind w:right="120"/>
              <w:spacing w:after="0"/>
              <w:rPr>
                <w:sz w:val="20"/>
                <w:szCs w:val="20"/>
                <w:color w:val="auto"/>
              </w:rPr>
            </w:pPr>
            <w:r>
              <w:rPr>
                <w:rFonts w:ascii="Arial" w:cs="Arial" w:eastAsia="Arial" w:hAnsi="Arial"/>
                <w:sz w:val="19"/>
                <w:szCs w:val="19"/>
                <w:color w:val="auto"/>
              </w:rPr>
              <w:t>29,861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shd w:val="clear" w:color="auto" w:fill="CCEEFF"/>
          </w:tcPr>
          <w:p>
            <w:pPr>
              <w:ind w:left="360"/>
              <w:spacing w:after="0"/>
              <w:rPr>
                <w:sz w:val="20"/>
                <w:szCs w:val="20"/>
                <w:color w:val="auto"/>
              </w:rPr>
            </w:pPr>
            <w:r>
              <w:rPr>
                <w:rFonts w:ascii="Arial" w:cs="Arial" w:eastAsia="Arial" w:hAnsi="Arial"/>
                <w:sz w:val="19"/>
                <w:szCs w:val="19"/>
                <w:color w:val="auto"/>
              </w:rPr>
              <w:t>General and administrative</w:t>
            </w:r>
          </w:p>
        </w:tc>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4,475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7,869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3,394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740"/>
              <w:spacing w:after="0"/>
              <w:rPr>
                <w:sz w:val="20"/>
                <w:szCs w:val="20"/>
                <w:color w:val="auto"/>
              </w:rPr>
            </w:pPr>
            <w:r>
              <w:rPr>
                <w:rFonts w:ascii="Arial" w:cs="Arial" w:eastAsia="Arial" w:hAnsi="Arial"/>
                <w:sz w:val="19"/>
                <w:szCs w:val="19"/>
                <w:color w:val="auto"/>
              </w:rPr>
              <w:t>Total operating expenses</w:t>
            </w:r>
          </w:p>
        </w:tc>
        <w:tc>
          <w:tcPr>
            <w:tcW w:w="2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520" w:type="dxa"/>
            <w:vAlign w:val="bottom"/>
            <w:vMerge w:val="continue"/>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9"/>
                <w:szCs w:val="19"/>
                <w:color w:val="auto"/>
                <w:w w:val="99"/>
              </w:rPr>
              <w:t>23,548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9"/>
                <w:szCs w:val="19"/>
                <w:color w:val="auto"/>
              </w:rPr>
              <w:t>56,803</w:t>
            </w:r>
          </w:p>
        </w:tc>
        <w:tc>
          <w:tcPr>
            <w:tcW w:w="1000" w:type="dxa"/>
            <w:vAlign w:val="bottom"/>
            <w:gridSpan w:val="3"/>
          </w:tcPr>
          <w:p>
            <w:pPr>
              <w:jc w:val="right"/>
              <w:ind w:right="120"/>
              <w:spacing w:after="0"/>
              <w:rPr>
                <w:sz w:val="20"/>
                <w:szCs w:val="20"/>
                <w:color w:val="auto"/>
              </w:rPr>
            </w:pPr>
            <w:r>
              <w:rPr>
                <w:rFonts w:ascii="Arial" w:cs="Arial" w:eastAsia="Arial" w:hAnsi="Arial"/>
                <w:sz w:val="19"/>
                <w:szCs w:val="19"/>
                <w:color w:val="auto"/>
              </w:rPr>
              <w:t>33,255</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9"/>
                <w:szCs w:val="19"/>
                <w:color w:val="auto"/>
              </w:rPr>
              <w:t>Loss from operations</w:t>
            </w:r>
          </w:p>
        </w:tc>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w w:val="90"/>
              </w:rPr>
              <w:t>(22,872)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w w:val="96"/>
              </w:rPr>
              <w:t>(38,271)</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color w:val="auto"/>
              </w:rPr>
              <w:t>(15,399)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9"/>
                <w:szCs w:val="19"/>
                <w:color w:val="auto"/>
              </w:rPr>
              <w:t>Other income, net</w:t>
            </w: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9"/>
                <w:szCs w:val="19"/>
                <w:color w:val="auto"/>
              </w:rPr>
              <w:t>170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9"/>
                <w:szCs w:val="19"/>
                <w:color w:val="auto"/>
              </w:rPr>
              <w:t>3,396</w:t>
            </w: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3,226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9"/>
                <w:szCs w:val="19"/>
                <w:color w:val="auto"/>
              </w:rPr>
              <w:t>Net loss</w:t>
            </w:r>
          </w:p>
        </w:tc>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u w:val="single" w:color="auto"/>
                <w:color w:val="auto"/>
                <w:w w:val="75"/>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w w:val="90"/>
              </w:rPr>
              <w:t>(22,702)</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9"/>
                <w:szCs w:val="19"/>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w w:val="96"/>
              </w:rPr>
              <w:t>(34,875)</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(12,173)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Revenue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Total revenue was $0.7 million for the nine months ended September 30, 2017, compared to $18.5 million for the nine months ended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September 30, 2018. The increase of $17.9 million was primarily due to collaboration revenue recognized from the upfront payments under the AbbVie</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Agreement, which was entered into in the fourth quarter of 2017, offset by a $0.5 million reduction related to grant revenue from the U.S. government.</w:t>
      </w:r>
    </w:p>
    <w:p>
      <w:pPr>
        <w:spacing w:after="0" w:line="36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Research and Development Expenses</w:t>
      </w:r>
    </w:p>
    <w:p>
      <w:pPr>
        <w:spacing w:after="0" w:line="124" w:lineRule="exact"/>
        <w:rPr>
          <w:sz w:val="20"/>
          <w:szCs w:val="20"/>
          <w:color w:val="auto"/>
        </w:rPr>
      </w:pPr>
    </w:p>
    <w:p>
      <w:pPr>
        <w:ind w:left="180" w:right="260" w:firstLine="465"/>
        <w:spacing w:after="0" w:line="285" w:lineRule="auto"/>
        <w:rPr>
          <w:sz w:val="20"/>
          <w:szCs w:val="20"/>
          <w:color w:val="auto"/>
        </w:rPr>
      </w:pPr>
      <w:r>
        <w:rPr>
          <w:rFonts w:ascii="Arial" w:cs="Arial" w:eastAsia="Arial" w:hAnsi="Arial"/>
          <w:sz w:val="17"/>
          <w:szCs w:val="17"/>
          <w:color w:val="auto"/>
        </w:rPr>
        <w:t>Research and development expenses were $19.1 million for the nine months ended September 30, 2017, compared to $48.9 million for the nine months ended September 30, 2018. The increase of $29.9 million was driven by an increase in expenses for four product candidates that we are preparing for or have entered into Phase 1 clinical trials and related increase in activities for the manufacturing of clinical materials, including</w:t>
      </w:r>
    </w:p>
    <w:p>
      <w:pPr>
        <w:spacing w:after="0" w:line="1" w:lineRule="exact"/>
        <w:rPr>
          <w:sz w:val="20"/>
          <w:szCs w:val="20"/>
          <w:color w:val="auto"/>
        </w:rPr>
      </w:pPr>
    </w:p>
    <w:p>
      <w:pPr>
        <w:ind w:left="180" w:right="60"/>
        <w:spacing w:after="0" w:line="272" w:lineRule="auto"/>
        <w:rPr>
          <w:sz w:val="20"/>
          <w:szCs w:val="20"/>
          <w:color w:val="auto"/>
        </w:rPr>
      </w:pPr>
      <w:r>
        <w:rPr>
          <w:rFonts w:ascii="Arial" w:cs="Arial" w:eastAsia="Arial" w:hAnsi="Arial"/>
          <w:sz w:val="18"/>
          <w:szCs w:val="18"/>
          <w:color w:val="auto"/>
        </w:rPr>
        <w:t>$7.9 million for AL001, $1.5 million for AL101, $7.6 million for AL002, and $7.0 million for AL003. In addition, we had an increase in research and development expenses of $4.4 million related to other preclinical programs currently in development. Personnel-related expenses, including stock-based compensation, increased by $0.7 million due to an increase in headcount, partially offset by a large number of restricted stock awards held by non-employee founders that fully vested in the third quarter of 2017, which had no related expense in 2018.</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6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6"/>
          </w:tcPr>
          <w:p>
            <w:pPr>
              <w:ind w:left="80"/>
              <w:spacing w:after="0"/>
              <w:rPr>
                <w:sz w:val="20"/>
                <w:szCs w:val="20"/>
                <w:color w:val="auto"/>
              </w:rPr>
            </w:pPr>
            <w:r>
              <w:rPr>
                <w:rFonts w:ascii="Arial" w:cs="Arial" w:eastAsia="Arial" w:hAnsi="Arial"/>
                <w:sz w:val="15"/>
                <w:szCs w:val="15"/>
                <w:b w:val="1"/>
                <w:bCs w:val="1"/>
                <w:color w:val="auto"/>
              </w:rPr>
              <w:t>Nine Months Ended</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6"/>
          </w:tcPr>
          <w:p>
            <w:pPr>
              <w:ind w:left="260"/>
              <w:spacing w:after="0"/>
              <w:rPr>
                <w:sz w:val="20"/>
                <w:szCs w:val="20"/>
                <w:color w:val="auto"/>
              </w:rPr>
            </w:pPr>
            <w:r>
              <w:rPr>
                <w:rFonts w:ascii="Arial" w:cs="Arial" w:eastAsia="Arial" w:hAnsi="Arial"/>
                <w:sz w:val="15"/>
                <w:szCs w:val="15"/>
                <w:b w:val="1"/>
                <w:bCs w:val="1"/>
                <w:color w:val="auto"/>
              </w:rPr>
              <w:t>September 30,</w:t>
            </w:r>
          </w:p>
        </w:tc>
        <w:tc>
          <w:tcPr>
            <w:tcW w:w="100" w:type="dxa"/>
            <w:vAlign w:val="bottom"/>
          </w:tcPr>
          <w:p>
            <w:pPr>
              <w:spacing w:after="0"/>
              <w:rPr>
                <w:sz w:val="15"/>
                <w:szCs w:val="15"/>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8"/>
              </w:rPr>
              <w:t>Dollar</w:t>
            </w:r>
          </w:p>
        </w:tc>
        <w:tc>
          <w:tcPr>
            <w:tcW w:w="0" w:type="dxa"/>
            <w:vAlign w:val="bottom"/>
          </w:tcPr>
          <w:p>
            <w:pPr>
              <w:spacing w:after="0"/>
              <w:rPr>
                <w:sz w:val="1"/>
                <w:szCs w:val="1"/>
                <w:color w:val="auto"/>
              </w:rPr>
            </w:pPr>
          </w:p>
        </w:tc>
      </w:tr>
      <w:tr>
        <w:trPr>
          <w:trHeight w:val="151"/>
        </w:trPr>
        <w:tc>
          <w:tcPr>
            <w:tcW w:w="56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ind w:left="60"/>
              <w:spacing w:after="0" w:line="151" w:lineRule="exact"/>
              <w:rPr>
                <w:sz w:val="20"/>
                <w:szCs w:val="20"/>
                <w:color w:val="auto"/>
              </w:rPr>
            </w:pPr>
            <w:r>
              <w:rPr>
                <w:rFonts w:ascii="Arial" w:cs="Arial" w:eastAsia="Arial" w:hAnsi="Arial"/>
                <w:sz w:val="15"/>
                <w:szCs w:val="15"/>
                <w:b w:val="1"/>
                <w:bCs w:val="1"/>
                <w:color w:val="auto"/>
              </w:rPr>
              <w:t>2017</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center"/>
              <w:ind w:right="7"/>
              <w:spacing w:after="0" w:line="151" w:lineRule="exact"/>
              <w:rPr>
                <w:sz w:val="20"/>
                <w:szCs w:val="20"/>
                <w:color w:val="auto"/>
              </w:rPr>
            </w:pPr>
            <w:r>
              <w:rPr>
                <w:rFonts w:ascii="Arial" w:cs="Arial" w:eastAsia="Arial" w:hAnsi="Arial"/>
                <w:sz w:val="15"/>
                <w:szCs w:val="15"/>
                <w:b w:val="1"/>
                <w:bCs w:val="1"/>
                <w:color w:val="auto"/>
                <w:w w:val="95"/>
              </w:rPr>
              <w:t>2018</w:t>
            </w:r>
          </w:p>
        </w:tc>
        <w:tc>
          <w:tcPr>
            <w:tcW w:w="400" w:type="dxa"/>
            <w:vAlign w:val="bottom"/>
          </w:tcPr>
          <w:p>
            <w:pPr>
              <w:spacing w:after="0"/>
              <w:rPr>
                <w:sz w:val="13"/>
                <w:szCs w:val="13"/>
                <w:color w:val="auto"/>
              </w:rPr>
            </w:pPr>
          </w:p>
        </w:tc>
        <w:tc>
          <w:tcPr>
            <w:tcW w:w="680" w:type="dxa"/>
            <w:vAlign w:val="bottom"/>
            <w:gridSpan w:val="3"/>
          </w:tcPr>
          <w:p>
            <w:pPr>
              <w:jc w:val="center"/>
              <w:ind w:right="60"/>
              <w:spacing w:after="0" w:line="151" w:lineRule="exact"/>
              <w:rPr>
                <w:sz w:val="20"/>
                <w:szCs w:val="20"/>
                <w:color w:val="auto"/>
              </w:rPr>
            </w:pPr>
            <w:r>
              <w:rPr>
                <w:rFonts w:ascii="Arial" w:cs="Arial" w:eastAsia="Arial" w:hAnsi="Arial"/>
                <w:sz w:val="15"/>
                <w:szCs w:val="15"/>
                <w:b w:val="1"/>
                <w:bCs w:val="1"/>
                <w:color w:val="auto"/>
                <w:w w:val="90"/>
              </w:rPr>
              <w:t>Change</w:t>
            </w:r>
          </w:p>
        </w:tc>
        <w:tc>
          <w:tcPr>
            <w:tcW w:w="0" w:type="dxa"/>
            <w:vAlign w:val="bottom"/>
          </w:tcPr>
          <w:p>
            <w:pPr>
              <w:spacing w:after="0"/>
              <w:rPr>
                <w:sz w:val="1"/>
                <w:szCs w:val="1"/>
                <w:color w:val="auto"/>
              </w:rPr>
            </w:pPr>
          </w:p>
        </w:tc>
      </w:tr>
      <w:tr>
        <w:trPr>
          <w:trHeight w:val="128"/>
        </w:trPr>
        <w:tc>
          <w:tcPr>
            <w:tcW w:w="56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4"/>
          </w:tcPr>
          <w:p>
            <w:pPr>
              <w:jc w:val="center"/>
              <w:ind w:right="120"/>
              <w:spacing w:after="0" w:line="128"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56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4"/>
          </w:tcPr>
          <w:p>
            <w:pPr>
              <w:jc w:val="center"/>
              <w:ind w:right="120"/>
              <w:spacing w:after="0"/>
              <w:rPr>
                <w:sz w:val="20"/>
                <w:szCs w:val="20"/>
                <w:color w:val="auto"/>
              </w:rPr>
            </w:pPr>
            <w:r>
              <w:rPr>
                <w:rFonts w:ascii="Arial" w:cs="Arial" w:eastAsia="Arial" w:hAnsi="Arial"/>
                <w:sz w:val="15"/>
                <w:szCs w:val="15"/>
                <w:b w:val="1"/>
                <w:bCs w:val="1"/>
                <w:color w:val="auto"/>
                <w:w w:val="95"/>
              </w:rPr>
              <w:t>(Unaudited)</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20" w:type="dxa"/>
            <w:vAlign w:val="bottom"/>
            <w:shd w:val="clear" w:color="auto" w:fill="CCEEFF"/>
          </w:tcPr>
          <w:p>
            <w:pPr>
              <w:spacing w:after="0"/>
              <w:rPr>
                <w:sz w:val="20"/>
                <w:szCs w:val="20"/>
                <w:color w:val="auto"/>
              </w:rPr>
            </w:pPr>
            <w:r>
              <w:rPr>
                <w:rFonts w:ascii="Arial" w:cs="Arial" w:eastAsia="Arial" w:hAnsi="Arial"/>
                <w:sz w:val="19"/>
                <w:szCs w:val="19"/>
                <w:i w:val="1"/>
                <w:iCs w:val="1"/>
                <w:color w:val="auto"/>
              </w:rPr>
              <w:t>Direct research and development expenses</w:t>
            </w:r>
          </w:p>
        </w:tc>
        <w:tc>
          <w:tcPr>
            <w:tcW w:w="3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tcPr>
          <w:p>
            <w:pPr>
              <w:ind w:left="380"/>
              <w:spacing w:after="0"/>
              <w:rPr>
                <w:sz w:val="20"/>
                <w:szCs w:val="20"/>
                <w:color w:val="auto"/>
              </w:rPr>
            </w:pPr>
            <w:r>
              <w:rPr>
                <w:rFonts w:ascii="Arial" w:cs="Arial" w:eastAsia="Arial" w:hAnsi="Arial"/>
                <w:sz w:val="19"/>
                <w:szCs w:val="19"/>
                <w:color w:val="auto"/>
              </w:rPr>
              <w:t>AL001</w:t>
            </w:r>
          </w:p>
        </w:tc>
        <w:tc>
          <w:tcPr>
            <w:tcW w:w="3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9"/>
                <w:szCs w:val="19"/>
                <w:color w:val="auto"/>
              </w:rPr>
              <w:t>1,939</w:t>
            </w: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9"/>
                <w:szCs w:val="19"/>
                <w:color w:val="auto"/>
              </w:rPr>
              <w:t>9,849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7,910</w:t>
            </w:r>
          </w:p>
        </w:tc>
        <w:tc>
          <w:tcPr>
            <w:tcW w:w="0" w:type="dxa"/>
            <w:vAlign w:val="bottom"/>
          </w:tcPr>
          <w:p>
            <w:pPr>
              <w:spacing w:after="0"/>
              <w:rPr>
                <w:sz w:val="1"/>
                <w:szCs w:val="1"/>
                <w:color w:val="auto"/>
              </w:rPr>
            </w:pPr>
          </w:p>
        </w:tc>
      </w:tr>
      <w:tr>
        <w:trPr>
          <w:trHeight w:val="228"/>
        </w:trPr>
        <w:tc>
          <w:tcPr>
            <w:tcW w:w="56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AL101</w:t>
            </w:r>
          </w:p>
        </w:tc>
        <w:tc>
          <w:tcPr>
            <w:tcW w:w="3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1,473</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1,473</w:t>
            </w:r>
          </w:p>
        </w:tc>
        <w:tc>
          <w:tcPr>
            <w:tcW w:w="0" w:type="dxa"/>
            <w:vAlign w:val="bottom"/>
          </w:tcPr>
          <w:p>
            <w:pPr>
              <w:spacing w:after="0"/>
              <w:rPr>
                <w:sz w:val="1"/>
                <w:szCs w:val="1"/>
                <w:color w:val="auto"/>
              </w:rPr>
            </w:pPr>
          </w:p>
        </w:tc>
      </w:tr>
      <w:tr>
        <w:trPr>
          <w:trHeight w:val="228"/>
        </w:trPr>
        <w:tc>
          <w:tcPr>
            <w:tcW w:w="5620" w:type="dxa"/>
            <w:vAlign w:val="bottom"/>
          </w:tcPr>
          <w:p>
            <w:pPr>
              <w:ind w:left="380"/>
              <w:spacing w:after="0"/>
              <w:rPr>
                <w:sz w:val="20"/>
                <w:szCs w:val="20"/>
                <w:color w:val="auto"/>
              </w:rPr>
            </w:pPr>
            <w:r>
              <w:rPr>
                <w:rFonts w:ascii="Arial" w:cs="Arial" w:eastAsia="Arial" w:hAnsi="Arial"/>
                <w:sz w:val="19"/>
                <w:szCs w:val="19"/>
                <w:color w:val="auto"/>
              </w:rPr>
              <w:t>AL002</w:t>
            </w:r>
          </w:p>
        </w:tc>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9"/>
                <w:szCs w:val="19"/>
                <w:color w:val="auto"/>
              </w:rPr>
              <w:t>1,952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9"/>
                <w:szCs w:val="19"/>
                <w:color w:val="auto"/>
              </w:rPr>
              <w:t>9,584</w:t>
            </w: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7,632</w:t>
            </w:r>
          </w:p>
        </w:tc>
        <w:tc>
          <w:tcPr>
            <w:tcW w:w="0" w:type="dxa"/>
            <w:vAlign w:val="bottom"/>
          </w:tcPr>
          <w:p>
            <w:pPr>
              <w:spacing w:after="0"/>
              <w:rPr>
                <w:sz w:val="1"/>
                <w:szCs w:val="1"/>
                <w:color w:val="auto"/>
              </w:rPr>
            </w:pPr>
          </w:p>
        </w:tc>
      </w:tr>
      <w:tr>
        <w:trPr>
          <w:trHeight w:val="228"/>
        </w:trPr>
        <w:tc>
          <w:tcPr>
            <w:tcW w:w="56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AL003</w:t>
            </w:r>
          </w:p>
        </w:tc>
        <w:tc>
          <w:tcPr>
            <w:tcW w:w="3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1,537</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8,577</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7,040</w:t>
            </w:r>
          </w:p>
        </w:tc>
        <w:tc>
          <w:tcPr>
            <w:tcW w:w="0" w:type="dxa"/>
            <w:vAlign w:val="bottom"/>
          </w:tcPr>
          <w:p>
            <w:pPr>
              <w:spacing w:after="0"/>
              <w:rPr>
                <w:sz w:val="1"/>
                <w:szCs w:val="1"/>
                <w:color w:val="auto"/>
              </w:rPr>
            </w:pPr>
          </w:p>
        </w:tc>
      </w:tr>
      <w:tr>
        <w:trPr>
          <w:trHeight w:val="228"/>
        </w:trPr>
        <w:tc>
          <w:tcPr>
            <w:tcW w:w="5620" w:type="dxa"/>
            <w:vAlign w:val="bottom"/>
          </w:tcPr>
          <w:p>
            <w:pPr>
              <w:ind w:left="380"/>
              <w:spacing w:after="0"/>
              <w:rPr>
                <w:sz w:val="20"/>
                <w:szCs w:val="20"/>
                <w:color w:val="auto"/>
              </w:rPr>
            </w:pPr>
            <w:r>
              <w:rPr>
                <w:rFonts w:ascii="Arial" w:cs="Arial" w:eastAsia="Arial" w:hAnsi="Arial"/>
                <w:sz w:val="19"/>
                <w:szCs w:val="19"/>
                <w:color w:val="auto"/>
              </w:rPr>
              <w:t>Other early stage programs</w:t>
            </w:r>
          </w:p>
        </w:tc>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9"/>
                <w:szCs w:val="19"/>
                <w:color w:val="auto"/>
              </w:rPr>
              <w:t>4,270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9"/>
                <w:szCs w:val="19"/>
                <w:color w:val="auto"/>
              </w:rPr>
              <w:t>8,647</w:t>
            </w: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4,377</w:t>
            </w:r>
          </w:p>
        </w:tc>
        <w:tc>
          <w:tcPr>
            <w:tcW w:w="0" w:type="dxa"/>
            <w:vAlign w:val="bottom"/>
          </w:tcPr>
          <w:p>
            <w:pPr>
              <w:spacing w:after="0"/>
              <w:rPr>
                <w:sz w:val="1"/>
                <w:szCs w:val="1"/>
                <w:color w:val="auto"/>
              </w:rPr>
            </w:pPr>
          </w:p>
        </w:tc>
      </w:tr>
      <w:tr>
        <w:trPr>
          <w:trHeight w:val="228"/>
        </w:trPr>
        <w:tc>
          <w:tcPr>
            <w:tcW w:w="5620" w:type="dxa"/>
            <w:vAlign w:val="bottom"/>
            <w:shd w:val="clear" w:color="auto" w:fill="CCEEFF"/>
          </w:tcPr>
          <w:p>
            <w:pPr>
              <w:spacing w:after="0"/>
              <w:rPr>
                <w:sz w:val="20"/>
                <w:szCs w:val="20"/>
                <w:color w:val="auto"/>
              </w:rPr>
            </w:pPr>
            <w:r>
              <w:rPr>
                <w:rFonts w:ascii="Arial" w:cs="Arial" w:eastAsia="Arial" w:hAnsi="Arial"/>
                <w:sz w:val="19"/>
                <w:szCs w:val="19"/>
                <w:i w:val="1"/>
                <w:iCs w:val="1"/>
                <w:color w:val="auto"/>
              </w:rPr>
              <w:t>Indirect research and development expenses</w:t>
            </w:r>
          </w:p>
        </w:tc>
        <w:tc>
          <w:tcPr>
            <w:tcW w:w="3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tcPr>
          <w:p>
            <w:pPr>
              <w:ind w:left="380"/>
              <w:spacing w:after="0"/>
              <w:rPr>
                <w:sz w:val="20"/>
                <w:szCs w:val="20"/>
                <w:color w:val="auto"/>
              </w:rPr>
            </w:pPr>
            <w:r>
              <w:rPr>
                <w:rFonts w:ascii="Arial" w:cs="Arial" w:eastAsia="Arial" w:hAnsi="Arial"/>
                <w:sz w:val="19"/>
                <w:szCs w:val="19"/>
                <w:color w:val="auto"/>
              </w:rPr>
              <w:t>Personnel related (including stock-based compensation)</w:t>
            </w:r>
          </w:p>
        </w:tc>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9"/>
                <w:szCs w:val="19"/>
                <w:color w:val="auto"/>
              </w:rPr>
              <w:t>7,556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9"/>
                <w:szCs w:val="19"/>
                <w:color w:val="auto"/>
              </w:rPr>
              <w:t>8,258</w:t>
            </w: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702</w:t>
            </w:r>
          </w:p>
        </w:tc>
        <w:tc>
          <w:tcPr>
            <w:tcW w:w="0" w:type="dxa"/>
            <w:vAlign w:val="bottom"/>
          </w:tcPr>
          <w:p>
            <w:pPr>
              <w:spacing w:after="0"/>
              <w:rPr>
                <w:sz w:val="1"/>
                <w:szCs w:val="1"/>
                <w:color w:val="auto"/>
              </w:rPr>
            </w:pPr>
          </w:p>
        </w:tc>
      </w:tr>
      <w:tr>
        <w:trPr>
          <w:trHeight w:val="228"/>
        </w:trPr>
        <w:tc>
          <w:tcPr>
            <w:tcW w:w="5620" w:type="dxa"/>
            <w:vAlign w:val="bottom"/>
            <w:shd w:val="clear" w:color="auto" w:fill="CCEEFF"/>
          </w:tcPr>
          <w:p>
            <w:pPr>
              <w:ind w:left="380"/>
              <w:spacing w:after="0"/>
              <w:rPr>
                <w:sz w:val="20"/>
                <w:szCs w:val="20"/>
                <w:color w:val="auto"/>
              </w:rPr>
            </w:pPr>
            <w:r>
              <w:rPr>
                <w:rFonts w:ascii="Arial" w:cs="Arial" w:eastAsia="Arial" w:hAnsi="Arial"/>
                <w:sz w:val="19"/>
                <w:szCs w:val="19"/>
                <w:color w:val="auto"/>
                <w:w w:val="90"/>
              </w:rPr>
              <w:t>Facilities and other unallocated research and development expenses</w:t>
            </w:r>
          </w:p>
        </w:tc>
        <w:tc>
          <w:tcPr>
            <w:tcW w:w="3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1,819</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2,546</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727</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9"/>
                <w:szCs w:val="19"/>
                <w:color w:val="auto"/>
              </w:rPr>
              <w:t>Total research and development expenses</w:t>
            </w:r>
          </w:p>
        </w:tc>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20" w:type="dxa"/>
            <w:vAlign w:val="bottom"/>
            <w:vMerge w:val="continue"/>
          </w:tcPr>
          <w:p>
            <w:pPr>
              <w:spacing w:after="0"/>
              <w:rPr>
                <w:sz w:val="20"/>
                <w:szCs w:val="20"/>
                <w:color w:val="auto"/>
              </w:rPr>
            </w:pPr>
          </w:p>
        </w:tc>
        <w:tc>
          <w:tcPr>
            <w:tcW w:w="3380" w:type="dxa"/>
            <w:vAlign w:val="bottom"/>
            <w:gridSpan w:val="2"/>
          </w:tcPr>
          <w:p>
            <w:pPr>
              <w:jc w:val="right"/>
              <w:spacing w:after="0"/>
              <w:rPr>
                <w:sz w:val="20"/>
                <w:szCs w:val="20"/>
                <w:color w:val="auto"/>
              </w:rPr>
            </w:pPr>
            <w:r>
              <w:rPr>
                <w:rFonts w:ascii="Arial" w:cs="Arial" w:eastAsia="Arial" w:hAnsi="Arial"/>
                <w:sz w:val="19"/>
                <w:szCs w:val="19"/>
                <w:u w:val="single" w:color="auto"/>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9"/>
                <w:szCs w:val="19"/>
                <w:color w:val="auto"/>
                <w:w w:val="85"/>
              </w:rPr>
              <w:t>19,073</w:t>
            </w:r>
          </w:p>
        </w:tc>
        <w:tc>
          <w:tcPr>
            <w:tcW w:w="380" w:type="dxa"/>
            <w:vAlign w:val="bottom"/>
            <w:gridSpan w:val="2"/>
          </w:tcPr>
          <w:p>
            <w:pPr>
              <w:jc w:val="right"/>
              <w:spacing w:after="0"/>
              <w:rPr>
                <w:sz w:val="20"/>
                <w:szCs w:val="20"/>
                <w:color w:val="auto"/>
              </w:rPr>
            </w:pPr>
            <w:r>
              <w:rPr>
                <w:rFonts w:ascii="Arial" w:cs="Arial" w:eastAsia="Arial" w:hAnsi="Arial"/>
                <w:sz w:val="19"/>
                <w:szCs w:val="19"/>
                <w:u w:val="single" w:color="auto"/>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9"/>
                <w:szCs w:val="19"/>
                <w:color w:val="auto"/>
                <w:w w:val="89"/>
              </w:rPr>
              <w:t>48,934</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w w:val="85"/>
              </w:rPr>
              <w:t>29,861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80" w:type="dxa"/>
            <w:vAlign w:val="bottom"/>
            <w:vMerge w:val="restart"/>
          </w:tcPr>
          <w:p>
            <w:pPr>
              <w:jc w:val="right"/>
              <w:ind w:right="2885"/>
              <w:spacing w:after="0"/>
              <w:rPr>
                <w:sz w:val="20"/>
                <w:szCs w:val="20"/>
                <w:color w:val="auto"/>
              </w:rPr>
            </w:pPr>
            <w:r>
              <w:rPr>
                <w:rFonts w:ascii="Arial" w:cs="Arial" w:eastAsia="Arial" w:hAnsi="Arial"/>
                <w:sz w:val="19"/>
                <w:szCs w:val="19"/>
                <w:color w:val="auto"/>
              </w:rPr>
              <w:t>77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562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820"/>
          </w:cols>
          <w:pgMar w:left="120" w:top="336" w:right="300" w:bottom="1440" w:gutter="0" w:footer="0" w:header="0"/>
        </w:sectPr>
      </w:pPr>
    </w:p>
    <w:bookmarkStart w:id="85" w:name="page86"/>
    <w:bookmarkEnd w:id="8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General and Administrative Expenses</w:t>
      </w:r>
    </w:p>
    <w:p>
      <w:pPr>
        <w:spacing w:after="0" w:line="124" w:lineRule="exact"/>
        <w:rPr>
          <w:sz w:val="20"/>
          <w:szCs w:val="20"/>
          <w:color w:val="auto"/>
        </w:rPr>
      </w:pPr>
    </w:p>
    <w:p>
      <w:pPr>
        <w:ind w:left="180" w:right="120" w:firstLine="465"/>
        <w:spacing w:after="0" w:line="256" w:lineRule="auto"/>
        <w:rPr>
          <w:sz w:val="20"/>
          <w:szCs w:val="20"/>
          <w:color w:val="auto"/>
        </w:rPr>
      </w:pPr>
      <w:r>
        <w:rPr>
          <w:rFonts w:ascii="Arial" w:cs="Arial" w:eastAsia="Arial" w:hAnsi="Arial"/>
          <w:sz w:val="19"/>
          <w:szCs w:val="19"/>
          <w:color w:val="auto"/>
        </w:rPr>
        <w:t>General and administrative expenses were $4.5 million for the nine months ended September 30, 2017, compared to $7.9 million for the nine months ended September 30, 2018. The increase of $3.4 million was primarily due to a $2.5 million increase in personnel-related expenses, including stock-based compensation, as a result of an increase in headcount and issuance of option grants to employees in July 2018. The increase is also due to a $0.5 million increase in consulting expense to support the growth of the business related to information technology, human resources, and other administrative functions.</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Other Income, Net</w:t>
      </w:r>
    </w:p>
    <w:p>
      <w:pPr>
        <w:spacing w:after="0" w:line="124" w:lineRule="exact"/>
        <w:rPr>
          <w:sz w:val="20"/>
          <w:szCs w:val="20"/>
          <w:color w:val="auto"/>
        </w:rPr>
      </w:pPr>
    </w:p>
    <w:p>
      <w:pPr>
        <w:ind w:left="180" w:right="660" w:firstLine="465"/>
        <w:spacing w:after="0" w:line="259" w:lineRule="auto"/>
        <w:rPr>
          <w:sz w:val="20"/>
          <w:szCs w:val="20"/>
          <w:color w:val="auto"/>
        </w:rPr>
      </w:pPr>
      <w:r>
        <w:rPr>
          <w:rFonts w:ascii="Arial" w:cs="Arial" w:eastAsia="Arial" w:hAnsi="Arial"/>
          <w:sz w:val="19"/>
          <w:szCs w:val="19"/>
          <w:color w:val="auto"/>
        </w:rPr>
        <w:t>Other income, net was $0.2 million for the nine months ended September 30, 2017, compared to $3.4 million for the nine months ended September 30, 2018. The increase of $3.2 million was due to interest income earned after we invested the majority of the $205.0 million upfront payments from the AbbVie Agreement and the proceeds from our issuance and sale in April and July 2018 of 9,349,012 shares of our Series E convertible preferred stock into short-term marketable securities.</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Comparison of the Years Ended December 31, 2016 and 2017</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840"/>
              <w:spacing w:after="0"/>
              <w:rPr>
                <w:sz w:val="20"/>
                <w:szCs w:val="20"/>
                <w:color w:val="auto"/>
              </w:rPr>
            </w:pPr>
            <w:r>
              <w:rPr>
                <w:rFonts w:ascii="Arial" w:cs="Arial" w:eastAsia="Arial" w:hAnsi="Arial"/>
                <w:sz w:val="15"/>
                <w:szCs w:val="15"/>
                <w:b w:val="1"/>
                <w:bCs w:val="1"/>
                <w:color w:val="auto"/>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6"/>
          </w:tcPr>
          <w:p>
            <w:pPr>
              <w:jc w:val="right"/>
              <w:ind w:right="780"/>
              <w:spacing w:after="0"/>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Dollar</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10"/>
              <w:spacing w:after="0" w:line="151" w:lineRule="exact"/>
              <w:rPr>
                <w:sz w:val="20"/>
                <w:szCs w:val="20"/>
                <w:color w:val="auto"/>
              </w:rPr>
            </w:pPr>
            <w:r>
              <w:rPr>
                <w:rFonts w:ascii="Arial" w:cs="Arial" w:eastAsia="Arial" w:hAnsi="Arial"/>
                <w:sz w:val="15"/>
                <w:szCs w:val="15"/>
                <w:b w:val="1"/>
                <w:bCs w:val="1"/>
                <w:color w:val="auto"/>
              </w:rPr>
              <w:t>2016</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07"/>
              <w:spacing w:after="0" w:line="151" w:lineRule="exact"/>
              <w:rPr>
                <w:sz w:val="20"/>
                <w:szCs w:val="20"/>
                <w:color w:val="auto"/>
              </w:rPr>
            </w:pPr>
            <w:r>
              <w:rPr>
                <w:rFonts w:ascii="Arial" w:cs="Arial" w:eastAsia="Arial" w:hAnsi="Arial"/>
                <w:sz w:val="15"/>
                <w:szCs w:val="15"/>
                <w:b w:val="1"/>
                <w:bCs w:val="1"/>
                <w:color w:val="auto"/>
              </w:rPr>
              <w:t>2017</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20"/>
              <w:spacing w:after="0" w:line="151" w:lineRule="exact"/>
              <w:rPr>
                <w:sz w:val="20"/>
                <w:szCs w:val="20"/>
                <w:color w:val="auto"/>
              </w:rPr>
            </w:pPr>
            <w:r>
              <w:rPr>
                <w:rFonts w:ascii="Arial" w:cs="Arial" w:eastAsia="Arial" w:hAnsi="Arial"/>
                <w:sz w:val="15"/>
                <w:szCs w:val="15"/>
                <w:b w:val="1"/>
                <w:bCs w:val="1"/>
                <w:color w:val="auto"/>
                <w:w w:val="87"/>
              </w:rPr>
              <w:t>Change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4"/>
          </w:tcPr>
          <w:p>
            <w:pPr>
              <w:jc w:val="right"/>
              <w:ind w:right="180"/>
              <w:spacing w:after="0" w:line="151" w:lineRule="exact"/>
              <w:rPr>
                <w:sz w:val="20"/>
                <w:szCs w:val="20"/>
                <w:color w:val="auto"/>
              </w:rPr>
            </w:pPr>
            <w:r>
              <w:rPr>
                <w:rFonts w:ascii="Arial" w:cs="Arial" w:eastAsia="Arial" w:hAnsi="Arial"/>
                <w:sz w:val="15"/>
                <w:szCs w:val="15"/>
                <w:b w:val="1"/>
                <w:bCs w:val="1"/>
                <w:color w:val="auto"/>
              </w:rPr>
              <w:t>(In thousands)</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9"/>
                <w:szCs w:val="19"/>
                <w:color w:val="auto"/>
              </w:rPr>
              <w:t>Revenue:</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ind w:left="360"/>
              <w:spacing w:after="0"/>
              <w:rPr>
                <w:sz w:val="20"/>
                <w:szCs w:val="20"/>
                <w:color w:val="auto"/>
              </w:rPr>
            </w:pPr>
            <w:r>
              <w:rPr>
                <w:rFonts w:ascii="Arial" w:cs="Arial" w:eastAsia="Arial" w:hAnsi="Arial"/>
                <w:sz w:val="19"/>
                <w:szCs w:val="19"/>
                <w:color w:val="auto"/>
              </w:rPr>
              <w:t>Collaboration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9"/>
                <w:szCs w:val="19"/>
                <w:color w:val="auto"/>
              </w:rPr>
              <w:t>2,872</w:t>
            </w: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2,872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Grant revenue</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416</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863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vMerge w:val="restart"/>
          </w:tcPr>
          <w:p>
            <w:pPr>
              <w:ind w:left="740"/>
              <w:spacing w:after="0"/>
              <w:rPr>
                <w:sz w:val="20"/>
                <w:szCs w:val="20"/>
                <w:color w:val="auto"/>
              </w:rPr>
            </w:pPr>
            <w:r>
              <w:rPr>
                <w:rFonts w:ascii="Arial" w:cs="Arial" w:eastAsia="Arial" w:hAnsi="Arial"/>
                <w:sz w:val="19"/>
                <w:szCs w:val="19"/>
                <w:color w:val="auto"/>
              </w:rPr>
              <w:t>Total revenue</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416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9"/>
                <w:szCs w:val="19"/>
                <w:color w:val="auto"/>
              </w:rPr>
              <w:t>3,735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3,319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9"/>
                <w:szCs w:val="19"/>
                <w:color w:val="auto"/>
              </w:rPr>
              <w:t>Operating expenses:</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ind w:left="360"/>
              <w:spacing w:after="0"/>
              <w:rPr>
                <w:sz w:val="20"/>
                <w:szCs w:val="20"/>
                <w:color w:val="auto"/>
              </w:rPr>
            </w:pPr>
            <w:r>
              <w:rPr>
                <w:rFonts w:ascii="Arial" w:cs="Arial" w:eastAsia="Arial" w:hAnsi="Arial"/>
                <w:sz w:val="19"/>
                <w:szCs w:val="19"/>
                <w:color w:val="auto"/>
              </w:rPr>
              <w:t>Research and development</w:t>
            </w: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9"/>
                <w:szCs w:val="19"/>
                <w:color w:val="auto"/>
                <w:w w:val="99"/>
              </w:rPr>
              <w:t>13,674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9"/>
                <w:szCs w:val="19"/>
                <w:color w:val="auto"/>
                <w:w w:val="96"/>
              </w:rPr>
              <w:t>29,911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9"/>
                <w:szCs w:val="19"/>
                <w:color w:val="auto"/>
                <w:w w:val="99"/>
              </w:rPr>
              <w:t>16,237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General and administrative</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1,874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6,503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4,629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vMerge w:val="restart"/>
          </w:tcPr>
          <w:p>
            <w:pPr>
              <w:ind w:left="740"/>
              <w:spacing w:after="0"/>
              <w:rPr>
                <w:sz w:val="20"/>
                <w:szCs w:val="20"/>
                <w:color w:val="auto"/>
              </w:rPr>
            </w:pPr>
            <w:r>
              <w:rPr>
                <w:rFonts w:ascii="Arial" w:cs="Arial" w:eastAsia="Arial" w:hAnsi="Arial"/>
                <w:sz w:val="19"/>
                <w:szCs w:val="19"/>
                <w:color w:val="auto"/>
              </w:rPr>
              <w:t>Total operating expenses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w w:val="99"/>
              </w:rPr>
              <w:t>15,548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9"/>
                <w:szCs w:val="19"/>
                <w:color w:val="auto"/>
                <w:w w:val="96"/>
              </w:rPr>
              <w:t>36,414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9"/>
                <w:szCs w:val="19"/>
                <w:color w:val="auto"/>
                <w:w w:val="99"/>
              </w:rPr>
              <w:t>20,866</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9"/>
                <w:szCs w:val="19"/>
                <w:color w:val="auto"/>
              </w:rPr>
              <w:t>Loss from operations</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w w:val="90"/>
              </w:rPr>
              <w:t>(15,132)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w w:val="90"/>
              </w:rPr>
              <w:t>(32,679)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0"/>
              </w:rPr>
              <w:t>(17,547)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9"/>
                <w:szCs w:val="19"/>
                <w:color w:val="auto"/>
              </w:rPr>
              <w:t>Other income, net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9"/>
                <w:szCs w:val="19"/>
                <w:color w:val="auto"/>
              </w:rPr>
              <w:t>199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9"/>
                <w:szCs w:val="19"/>
                <w:color w:val="auto"/>
              </w:rPr>
              <w:t>177</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9"/>
                <w:szCs w:val="19"/>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w w:val="90"/>
              </w:rPr>
              <w:t>(15,110)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u w:val="single" w:color="auto"/>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w w:val="90"/>
              </w:rPr>
              <w:t>(32,480)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0"/>
              </w:rPr>
              <w:t>(17,370)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Revenue</w:t>
      </w:r>
    </w:p>
    <w:p>
      <w:pPr>
        <w:spacing w:after="0" w:line="124" w:lineRule="exact"/>
        <w:rPr>
          <w:sz w:val="20"/>
          <w:szCs w:val="20"/>
          <w:color w:val="auto"/>
        </w:rPr>
      </w:pPr>
    </w:p>
    <w:p>
      <w:pPr>
        <w:ind w:left="180" w:right="100" w:firstLine="465"/>
        <w:spacing w:after="0" w:line="308" w:lineRule="auto"/>
        <w:rPr>
          <w:sz w:val="20"/>
          <w:szCs w:val="20"/>
          <w:color w:val="auto"/>
        </w:rPr>
      </w:pPr>
      <w:r>
        <w:rPr>
          <w:rFonts w:ascii="Arial" w:cs="Arial" w:eastAsia="Arial" w:hAnsi="Arial"/>
          <w:sz w:val="17"/>
          <w:szCs w:val="17"/>
          <w:color w:val="auto"/>
        </w:rPr>
        <w:t>Total revenue was $0.4 million for the year ended December 31, 2016, compared to $3.7 million for the year ended December 31, 2017. The increase of $3.3 million was primarily due to collaboration revenue recognized from the upfront payment under the AbbVie Agreement. In addition, we received grant revenue from the U.S. government starting in the second quarter of 2016 compared to a full year of grant revenue in 2017.</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Research and Development Expenses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Research and development expenses were $13.7 million for the year ended December 31, 2016, compared to $29.9 million for the year ended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December 31, 2017. The increase of $16.2 million was driven by an increase in expenses for four product candidates that we are preparing for or have</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entered into Phase 1 clinical trials and related increase in activities for the manufacturing of clinical materials, including $2.6 million for AL001,</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$0.8 million for AL002, and $0.6 million for AL003. Prior to 2017, the costs for AL002 and AL003 were tracked as a single program. In addition, we</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had an increase in research and development expenses of $5.2 million related to other preclinical programs. Personnel-related expenses, including stock-</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based compensation, increased by</w:t>
      </w:r>
    </w:p>
    <w:p>
      <w:pPr>
        <w:spacing w:after="0" w:line="15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78</w:t>
      </w:r>
    </w:p>
    <w:p>
      <w:pPr>
        <w:sectPr>
          <w:pgSz w:w="12240" w:h="15840" w:orient="portrait"/>
          <w:cols w:equalWidth="0" w:num="1">
            <w:col w:w="11820"/>
          </w:cols>
          <w:pgMar w:left="120" w:top="336" w:right="300" w:bottom="1440" w:gutter="0" w:footer="0" w:header="0"/>
        </w:sectPr>
      </w:pPr>
    </w:p>
    <w:bookmarkStart w:id="86" w:name="page87"/>
    <w:bookmarkEnd w:id="8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right="220"/>
        <w:spacing w:after="0" w:line="263" w:lineRule="auto"/>
        <w:rPr>
          <w:sz w:val="20"/>
          <w:szCs w:val="20"/>
          <w:color w:val="auto"/>
        </w:rPr>
      </w:pPr>
      <w:r>
        <w:rPr>
          <w:rFonts w:ascii="Arial" w:cs="Arial" w:eastAsia="Arial" w:hAnsi="Arial"/>
          <w:sz w:val="19"/>
          <w:szCs w:val="19"/>
          <w:color w:val="auto"/>
        </w:rPr>
        <w:t>$5.6 million due to an increase in headcount. Facilities and other unallocated research and development expenses increased by $1.5 million due to our move into new office headquarters at the end of 2016 and depreciation expense related to the purchase of additional property and equipment for use in our new office headquarters.</w:t>
      </w:r>
    </w:p>
    <w:p>
      <w:pPr>
        <w:spacing w:after="0" w:line="19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center"/>
              <w:ind w:right="520"/>
              <w:spacing w:after="0"/>
              <w:rPr>
                <w:sz w:val="20"/>
                <w:szCs w:val="20"/>
                <w:color w:val="auto"/>
              </w:rPr>
            </w:pPr>
            <w:r>
              <w:rPr>
                <w:rFonts w:ascii="Arial" w:cs="Arial" w:eastAsia="Arial" w:hAnsi="Arial"/>
                <w:sz w:val="15"/>
                <w:szCs w:val="15"/>
                <w:b w:val="1"/>
                <w:bCs w:val="1"/>
                <w:color w:val="auto"/>
                <w:w w:val="92"/>
              </w:rPr>
              <w:t>Year Ended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6"/>
          </w:tcPr>
          <w:p>
            <w:pPr>
              <w:jc w:val="center"/>
              <w:ind w:right="520"/>
              <w:spacing w:after="0"/>
              <w:rPr>
                <w:sz w:val="20"/>
                <w:szCs w:val="20"/>
                <w:color w:val="auto"/>
              </w:rPr>
            </w:pPr>
            <w:r>
              <w:rPr>
                <w:rFonts w:ascii="Arial" w:cs="Arial" w:eastAsia="Arial" w:hAnsi="Arial"/>
                <w:sz w:val="15"/>
                <w:szCs w:val="15"/>
                <w:b w:val="1"/>
                <w:bCs w:val="1"/>
                <w:color w:val="auto"/>
                <w:w w:val="90"/>
              </w:rPr>
              <w:t>December 31,</w:t>
            </w:r>
          </w:p>
        </w:tc>
        <w:tc>
          <w:tcPr>
            <w:tcW w:w="100" w:type="dxa"/>
            <w:vAlign w:val="bottom"/>
          </w:tcPr>
          <w:p>
            <w:pPr>
              <w:spacing w:after="0"/>
              <w:rPr>
                <w:sz w:val="15"/>
                <w:szCs w:val="15"/>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8"/>
              </w:rPr>
              <w:t>Dollar</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8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71"/>
              <w:spacing w:after="0" w:line="151" w:lineRule="exact"/>
              <w:rPr>
                <w:sz w:val="20"/>
                <w:szCs w:val="20"/>
                <w:color w:val="auto"/>
              </w:rPr>
            </w:pPr>
            <w:r>
              <w:rPr>
                <w:rFonts w:ascii="Arial" w:cs="Arial" w:eastAsia="Arial" w:hAnsi="Arial"/>
                <w:sz w:val="15"/>
                <w:szCs w:val="15"/>
                <w:b w:val="1"/>
                <w:bCs w:val="1"/>
                <w:color w:val="auto"/>
              </w:rPr>
              <w:t>2016</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67"/>
              <w:spacing w:after="0" w:line="151" w:lineRule="exact"/>
              <w:rPr>
                <w:sz w:val="20"/>
                <w:szCs w:val="20"/>
                <w:color w:val="auto"/>
              </w:rPr>
            </w:pPr>
            <w:r>
              <w:rPr>
                <w:rFonts w:ascii="Arial" w:cs="Arial" w:eastAsia="Arial" w:hAnsi="Arial"/>
                <w:sz w:val="15"/>
                <w:szCs w:val="15"/>
                <w:b w:val="1"/>
                <w:bCs w:val="1"/>
                <w:color w:val="auto"/>
              </w:rPr>
              <w:t>2017</w:t>
            </w:r>
          </w:p>
        </w:tc>
        <w:tc>
          <w:tcPr>
            <w:tcW w:w="400" w:type="dxa"/>
            <w:vAlign w:val="bottom"/>
          </w:tcPr>
          <w:p>
            <w:pPr>
              <w:spacing w:after="0"/>
              <w:rPr>
                <w:sz w:val="13"/>
                <w:szCs w:val="13"/>
                <w:color w:val="auto"/>
              </w:rPr>
            </w:pPr>
          </w:p>
        </w:tc>
        <w:tc>
          <w:tcPr>
            <w:tcW w:w="680" w:type="dxa"/>
            <w:vAlign w:val="bottom"/>
            <w:gridSpan w:val="3"/>
          </w:tcPr>
          <w:p>
            <w:pPr>
              <w:jc w:val="center"/>
              <w:ind w:right="60"/>
              <w:spacing w:after="0" w:line="151" w:lineRule="exact"/>
              <w:rPr>
                <w:sz w:val="20"/>
                <w:szCs w:val="20"/>
                <w:color w:val="auto"/>
              </w:rPr>
            </w:pPr>
            <w:r>
              <w:rPr>
                <w:rFonts w:ascii="Arial" w:cs="Arial" w:eastAsia="Arial" w:hAnsi="Arial"/>
                <w:sz w:val="15"/>
                <w:szCs w:val="15"/>
                <w:b w:val="1"/>
                <w:bCs w:val="1"/>
                <w:color w:val="auto"/>
                <w:w w:val="90"/>
              </w:rPr>
              <w:t>Change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8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4"/>
          </w:tcPr>
          <w:p>
            <w:pPr>
              <w:ind w:left="120"/>
              <w:spacing w:after="0" w:line="151" w:lineRule="exact"/>
              <w:rPr>
                <w:sz w:val="20"/>
                <w:szCs w:val="20"/>
                <w:color w:val="auto"/>
              </w:rPr>
            </w:pPr>
            <w:r>
              <w:rPr>
                <w:rFonts w:ascii="Arial" w:cs="Arial" w:eastAsia="Arial" w:hAnsi="Arial"/>
                <w:sz w:val="15"/>
                <w:szCs w:val="15"/>
                <w:b w:val="1"/>
                <w:bCs w:val="1"/>
                <w:color w:val="auto"/>
              </w:rPr>
              <w:t>(In thousands)</w:t>
            </w: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9"/>
                <w:szCs w:val="19"/>
                <w:i w:val="1"/>
                <w:iCs w:val="1"/>
                <w:color w:val="auto"/>
              </w:rPr>
              <w:t>Direct research and development expenses</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tcPr>
          <w:p>
            <w:pPr>
              <w:ind w:left="360"/>
              <w:spacing w:after="0"/>
              <w:rPr>
                <w:sz w:val="20"/>
                <w:szCs w:val="20"/>
                <w:color w:val="auto"/>
              </w:rPr>
            </w:pPr>
            <w:r>
              <w:rPr>
                <w:rFonts w:ascii="Arial" w:cs="Arial" w:eastAsia="Arial" w:hAnsi="Arial"/>
                <w:sz w:val="19"/>
                <w:szCs w:val="19"/>
                <w:color w:val="auto"/>
              </w:rPr>
              <w:t>AL001</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640" w:type="dxa"/>
            <w:vAlign w:val="bottom"/>
            <w:gridSpan w:val="2"/>
          </w:tcPr>
          <w:p>
            <w:pPr>
              <w:jc w:val="right"/>
              <w:ind w:right="120"/>
              <w:spacing w:after="0"/>
              <w:rPr>
                <w:sz w:val="20"/>
                <w:szCs w:val="20"/>
                <w:color w:val="auto"/>
              </w:rPr>
            </w:pPr>
            <w:r>
              <w:rPr>
                <w:rFonts w:ascii="Arial" w:cs="Arial" w:eastAsia="Arial" w:hAnsi="Arial"/>
                <w:sz w:val="19"/>
                <w:szCs w:val="19"/>
                <w:color w:val="auto"/>
              </w:rPr>
              <w:t>1,358</w:t>
            </w: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9"/>
                <w:szCs w:val="19"/>
                <w:color w:val="auto"/>
              </w:rPr>
              <w:t>3,942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2,584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AL002</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2,347</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3,098</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751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tcPr>
          <w:p>
            <w:pPr>
              <w:ind w:left="360"/>
              <w:spacing w:after="0"/>
              <w:rPr>
                <w:sz w:val="20"/>
                <w:szCs w:val="20"/>
                <w:color w:val="auto"/>
              </w:rPr>
            </w:pPr>
            <w:r>
              <w:rPr>
                <w:rFonts w:ascii="Arial" w:cs="Arial" w:eastAsia="Arial" w:hAnsi="Arial"/>
                <w:sz w:val="19"/>
                <w:szCs w:val="19"/>
                <w:color w:val="auto"/>
              </w:rPr>
              <w:t>AL003</w:t>
            </w: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9"/>
                <w:szCs w:val="19"/>
                <w:color w:val="auto"/>
              </w:rPr>
              <w:t>2,347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9"/>
                <w:szCs w:val="19"/>
                <w:color w:val="auto"/>
              </w:rPr>
              <w:t>2,934</w:t>
            </w: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587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Other early stage programs</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2,524</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7,729</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5,205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9"/>
                <w:szCs w:val="19"/>
                <w:i w:val="1"/>
                <w:iCs w:val="1"/>
                <w:color w:val="auto"/>
              </w:rPr>
              <w:t>Indirect research and development expenses</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Personnel related (including stock-based compensation)</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4,128</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9,691</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5,563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tcPr>
          <w:p>
            <w:pPr>
              <w:ind w:left="360"/>
              <w:spacing w:after="0"/>
              <w:rPr>
                <w:sz w:val="20"/>
                <w:szCs w:val="20"/>
                <w:color w:val="auto"/>
              </w:rPr>
            </w:pPr>
            <w:r>
              <w:rPr>
                <w:rFonts w:ascii="Arial" w:cs="Arial" w:eastAsia="Arial" w:hAnsi="Arial"/>
                <w:sz w:val="19"/>
                <w:szCs w:val="19"/>
                <w:color w:val="auto"/>
              </w:rPr>
              <w:t>Facilities and other unallocated research and development expenses</w:t>
            </w: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9"/>
                <w:szCs w:val="19"/>
                <w:color w:val="auto"/>
              </w:rPr>
              <w:t>970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9"/>
                <w:szCs w:val="19"/>
                <w:color w:val="auto"/>
              </w:rPr>
              <w:t>2,517</w:t>
            </w: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1,547</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9"/>
                <w:szCs w:val="19"/>
                <w:color w:val="auto"/>
              </w:rPr>
              <w:t>Total research and development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u w:val="single" w:color="auto"/>
                <w:color w:val="auto"/>
                <w:w w:val="75"/>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85"/>
              </w:rPr>
              <w:t>13,674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w w:val="89"/>
              </w:rPr>
              <w:t>29,911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5"/>
              </w:rPr>
              <w:t>16,237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General and Administrative Expenses</w:t>
      </w:r>
    </w:p>
    <w:p>
      <w:pPr>
        <w:spacing w:after="0" w:line="124"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General and administrative expenses were $1.9 million for the year ended December 31, 2016, compared to $6.5 million for the year ended December 31, 2017. The increase of $4.6 million was primarily due to a $2.4 million increase in legal and accounting professional service fees related to the Conversion, AbbVie Agreement, and the growth in our operations, a $1.8 million increase in personnel-related expenses, including stock-based compensation, due to the increase in headcount, and a $0.3 million increase in consulting expense to support our information technology, human resources, and other administrative functions.</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Other Income, Net</w:t>
      </w:r>
    </w:p>
    <w:p>
      <w:pPr>
        <w:spacing w:after="0" w:line="124"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Other income, net was $22,000 for the year ended December 31, 2016, compared to $0.2 million for the year ended December 31, 2017. The increase of $0.2 million was due to interest income earned on investments made from the proceeds of our Series D convertible preferred stock financing, in the fourth quarter of 2016.</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Liquidity and Capital Resources</w:t>
      </w:r>
    </w:p>
    <w:p>
      <w:pPr>
        <w:spacing w:after="0" w:line="130" w:lineRule="exact"/>
        <w:rPr>
          <w:sz w:val="20"/>
          <w:szCs w:val="20"/>
          <w:color w:val="auto"/>
        </w:rPr>
      </w:pPr>
    </w:p>
    <w:p>
      <w:pPr>
        <w:ind w:left="180" w:right="80" w:firstLine="465"/>
        <w:spacing w:after="0" w:line="259" w:lineRule="auto"/>
        <w:rPr>
          <w:sz w:val="20"/>
          <w:szCs w:val="20"/>
          <w:color w:val="auto"/>
        </w:rPr>
      </w:pPr>
      <w:r>
        <w:rPr>
          <w:rFonts w:ascii="Arial" w:cs="Arial" w:eastAsia="Arial" w:hAnsi="Arial"/>
          <w:sz w:val="19"/>
          <w:szCs w:val="19"/>
          <w:color w:val="auto"/>
        </w:rPr>
        <w:t>Since our inception through September 30, 2018, our operations have been financed primarily by net proceeds of $210.2 million from sales of our preferred units and convertible preferred stock and through the $205.0 million in upfront payments from the AbbVie Agreement. As of September 30, 2018, we had $308.7 million of cash, cash equivalents, and marketable securities. As of September 30, 2018, we had an accumulated deficit of $97.1 million.</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Future Funding Requirements</w:t>
      </w:r>
    </w:p>
    <w:p>
      <w:pPr>
        <w:spacing w:after="0" w:line="124" w:lineRule="exact"/>
        <w:rPr>
          <w:sz w:val="20"/>
          <w:szCs w:val="20"/>
          <w:color w:val="auto"/>
        </w:rPr>
      </w:pPr>
    </w:p>
    <w:p>
      <w:pPr>
        <w:ind w:left="180" w:right="20" w:firstLine="465"/>
        <w:spacing w:after="0" w:line="259" w:lineRule="auto"/>
        <w:rPr>
          <w:sz w:val="20"/>
          <w:szCs w:val="20"/>
          <w:color w:val="auto"/>
        </w:rPr>
      </w:pPr>
      <w:r>
        <w:rPr>
          <w:rFonts w:ascii="Arial" w:cs="Arial" w:eastAsia="Arial" w:hAnsi="Arial"/>
          <w:sz w:val="19"/>
          <w:szCs w:val="19"/>
          <w:color w:val="auto"/>
        </w:rPr>
        <w:t>Our primary uses of cash are to fund our operations, which consist primarily of research and development expenditures related to our programs, and to a lesser extent, general and administrative expenditures. We expect our expenses to continue to increase in connection with our ongoing activities, in particular as we continue to advance our product candidates and our discovery programs. In addition, upon the completion of this offering, we expect to incur additional costs associated with operating as a public company.</w:t>
      </w:r>
    </w:p>
    <w:p>
      <w:pPr>
        <w:spacing w:after="0" w:line="198" w:lineRule="exact"/>
        <w:rPr>
          <w:sz w:val="20"/>
          <w:szCs w:val="20"/>
          <w:color w:val="auto"/>
        </w:rPr>
      </w:pPr>
    </w:p>
    <w:p>
      <w:pPr>
        <w:ind w:left="180" w:right="140" w:firstLine="465"/>
        <w:spacing w:after="0" w:line="263" w:lineRule="auto"/>
        <w:rPr>
          <w:sz w:val="20"/>
          <w:szCs w:val="20"/>
          <w:color w:val="auto"/>
        </w:rPr>
      </w:pPr>
      <w:r>
        <w:rPr>
          <w:rFonts w:ascii="Arial" w:cs="Arial" w:eastAsia="Arial" w:hAnsi="Arial"/>
          <w:sz w:val="19"/>
          <w:szCs w:val="19"/>
          <w:color w:val="auto"/>
        </w:rPr>
        <w:t>Based on our current operating plan, we believe that our existing cash, cash equivalents, and marketable securities will enable us to fund our operating expenses and capital expenditure requirements through at least the next 12 months from the date of this offering. We have based this estimate on assumptions that may prove to be</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79</w:t>
      </w:r>
    </w:p>
    <w:p>
      <w:pPr>
        <w:sectPr>
          <w:pgSz w:w="12240" w:h="15840" w:orient="portrait"/>
          <w:cols w:equalWidth="0" w:num="1">
            <w:col w:w="11820"/>
          </w:cols>
          <w:pgMar w:left="120" w:top="336" w:right="300" w:bottom="1440" w:gutter="0" w:footer="0" w:header="0"/>
        </w:sectPr>
      </w:pPr>
    </w:p>
    <w:bookmarkStart w:id="87" w:name="page88"/>
    <w:bookmarkEnd w:id="8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360"/>
        <w:spacing w:after="0" w:line="259" w:lineRule="auto"/>
        <w:rPr>
          <w:sz w:val="20"/>
          <w:szCs w:val="20"/>
          <w:color w:val="auto"/>
        </w:rPr>
      </w:pPr>
      <w:r>
        <w:rPr>
          <w:rFonts w:ascii="Arial" w:cs="Arial" w:eastAsia="Arial" w:hAnsi="Arial"/>
          <w:sz w:val="19"/>
          <w:szCs w:val="19"/>
          <w:color w:val="auto"/>
        </w:rPr>
        <w:t>wrong, and we could utilize our available capital resources sooner than we currently expect. We may also choose to seek additional financing opportunistically. We expect to need to obtain substantial additional funding in the future for our research and development activities and continuing operations. If we were unable to raise capital when needed or on favorable terms, we would be forced to delay, reduce, or eliminate our research and development programs or future commercialization efforts.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Our future capital requirements will depend on many factors, including:</w:t>
      </w:r>
    </w:p>
    <w:p>
      <w:pPr>
        <w:spacing w:after="0" w:line="138" w:lineRule="exact"/>
        <w:rPr>
          <w:sz w:val="20"/>
          <w:szCs w:val="20"/>
          <w:color w:val="auto"/>
        </w:rPr>
      </w:pPr>
    </w:p>
    <w:p>
      <w:pPr>
        <w:ind w:left="1100" w:hanging="350"/>
        <w:spacing w:after="0"/>
        <w:tabs>
          <w:tab w:leader="none" w:pos="11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timing and progress of preclinical and clinical development activities;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number and scope of preclinical and clinical programs we decide to pursue;</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successful enrollment in and completion of clinical trials;</w:t>
      </w:r>
    </w:p>
    <w:p>
      <w:pPr>
        <w:spacing w:after="0" w:line="138" w:lineRule="exact"/>
        <w:rPr>
          <w:rFonts w:ascii="Arial" w:cs="Arial" w:eastAsia="Arial" w:hAnsi="Arial"/>
          <w:sz w:val="19"/>
          <w:szCs w:val="19"/>
          <w:color w:val="auto"/>
        </w:rPr>
      </w:pPr>
    </w:p>
    <w:p>
      <w:pPr>
        <w:ind w:left="1100" w:right="120" w:hanging="350"/>
        <w:spacing w:after="0" w:line="275" w:lineRule="auto"/>
        <w:tabs>
          <w:tab w:leader="none" w:pos="11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our ability to establish agreements with third-party manufacturers for clinical supply for our clinical trials and, if our product candidates are approved, commercial manufacturing;</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our ability to maintain our current research and development programs and establish new research and development programs;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addition and retention of key research and development personnel;</w:t>
      </w:r>
    </w:p>
    <w:p>
      <w:pPr>
        <w:spacing w:after="0" w:line="138" w:lineRule="exact"/>
        <w:rPr>
          <w:rFonts w:ascii="Arial" w:cs="Arial" w:eastAsia="Arial" w:hAnsi="Arial"/>
          <w:sz w:val="19"/>
          <w:szCs w:val="19"/>
          <w:color w:val="auto"/>
        </w:rPr>
      </w:pPr>
    </w:p>
    <w:p>
      <w:pPr>
        <w:ind w:left="1100" w:right="320" w:hanging="350"/>
        <w:spacing w:after="0" w:line="275" w:lineRule="auto"/>
        <w:tabs>
          <w:tab w:leader="none" w:pos="11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our efforts to enhance operational, financial, and information management systems, and hire additional personnel, including personnel to support development of our product candidates;</w:t>
      </w:r>
    </w:p>
    <w:p>
      <w:pPr>
        <w:spacing w:after="0" w:line="84" w:lineRule="exact"/>
        <w:rPr>
          <w:rFonts w:ascii="Arial" w:cs="Arial" w:eastAsia="Arial" w:hAnsi="Arial"/>
          <w:sz w:val="19"/>
          <w:szCs w:val="19"/>
          <w:color w:val="auto"/>
        </w:rPr>
      </w:pPr>
    </w:p>
    <w:p>
      <w:pPr>
        <w:ind w:left="1100" w:right="180" w:hanging="350"/>
        <w:spacing w:after="0" w:line="275" w:lineRule="auto"/>
        <w:tabs>
          <w:tab w:leader="none" w:pos="11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negotiating favorable terms in any collaboration, licensing, or other arrangements into which we may enter and performing our obligations in such collaborations;</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timing and amount of milestone and other payments we may receive under our collaboration arrangements;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our eventual commercialization plans for our product candidates;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costs involved in prosecuting, defending, and enforcing patent claims and other intellectual property claims; and</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costs and timing of regulatory approvals.</w:t>
      </w:r>
    </w:p>
    <w:p>
      <w:pPr>
        <w:spacing w:after="0" w:line="238" w:lineRule="exact"/>
        <w:rPr>
          <w:sz w:val="20"/>
          <w:szCs w:val="20"/>
          <w:color w:val="auto"/>
        </w:rPr>
      </w:pPr>
    </w:p>
    <w:p>
      <w:pPr>
        <w:ind w:left="180" w:right="140" w:firstLine="465"/>
        <w:spacing w:after="0" w:line="308" w:lineRule="auto"/>
        <w:rPr>
          <w:sz w:val="20"/>
          <w:szCs w:val="20"/>
          <w:color w:val="auto"/>
        </w:rPr>
      </w:pPr>
      <w:r>
        <w:rPr>
          <w:rFonts w:ascii="Arial" w:cs="Arial" w:eastAsia="Arial" w:hAnsi="Arial"/>
          <w:sz w:val="17"/>
          <w:szCs w:val="17"/>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may need additional funds to meet operational needs and capital requirements associated with such operating plans.</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Cash Flows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table summarizes our cash flows for the periods indicated (in thousands):</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280" w:type="dxa"/>
            <w:vAlign w:val="bottom"/>
            <w:gridSpan w:val="3"/>
          </w:tcPr>
          <w:p>
            <w:pPr>
              <w:jc w:val="right"/>
              <w:ind w:right="980"/>
              <w:spacing w:after="0"/>
              <w:rPr>
                <w:sz w:val="20"/>
                <w:szCs w:val="20"/>
                <w:color w:val="auto"/>
              </w:rPr>
            </w:pPr>
            <w:r>
              <w:rPr>
                <w:rFonts w:ascii="Arial" w:cs="Arial" w:eastAsia="Arial" w:hAnsi="Arial"/>
                <w:sz w:val="15"/>
                <w:szCs w:val="15"/>
                <w:b w:val="1"/>
                <w:bCs w:val="1"/>
                <w:color w:val="auto"/>
              </w:rPr>
              <w:t>Year Ended</w:t>
            </w:r>
          </w:p>
        </w:tc>
        <w:tc>
          <w:tcPr>
            <w:tcW w:w="20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4"/>
              </w:rPr>
              <w:t>Nine Months Ended</w:t>
            </w:r>
          </w:p>
        </w:tc>
      </w:tr>
      <w:tr>
        <w:trPr>
          <w:trHeight w:val="180"/>
        </w:trPr>
        <w:tc>
          <w:tcPr>
            <w:tcW w:w="5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280" w:type="dxa"/>
            <w:vAlign w:val="bottom"/>
            <w:gridSpan w:val="3"/>
          </w:tcPr>
          <w:p>
            <w:pPr>
              <w:jc w:val="right"/>
              <w:ind w:right="920"/>
              <w:spacing w:after="0"/>
              <w:rPr>
                <w:sz w:val="20"/>
                <w:szCs w:val="20"/>
                <w:color w:val="auto"/>
              </w:rPr>
            </w:pPr>
            <w:r>
              <w:rPr>
                <w:rFonts w:ascii="Arial" w:cs="Arial" w:eastAsia="Arial" w:hAnsi="Arial"/>
                <w:sz w:val="15"/>
                <w:szCs w:val="15"/>
                <w:b w:val="1"/>
                <w:bCs w:val="1"/>
                <w:color w:val="auto"/>
              </w:rPr>
              <w:t>December 31,</w:t>
            </w:r>
          </w:p>
        </w:tc>
        <w:tc>
          <w:tcPr>
            <w:tcW w:w="20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9"/>
              </w:rPr>
              <w:t>September 30,</w:t>
            </w:r>
          </w:p>
        </w:tc>
      </w:tr>
      <w:tr>
        <w:trPr>
          <w:trHeight w:val="151"/>
        </w:trPr>
        <w:tc>
          <w:tcPr>
            <w:tcW w:w="5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ind w:right="364"/>
              <w:spacing w:after="0" w:line="151" w:lineRule="exact"/>
              <w:rPr>
                <w:sz w:val="20"/>
                <w:szCs w:val="20"/>
                <w:color w:val="auto"/>
              </w:rPr>
            </w:pPr>
            <w:r>
              <w:rPr>
                <w:rFonts w:ascii="Arial" w:cs="Arial" w:eastAsia="Arial" w:hAnsi="Arial"/>
                <w:sz w:val="15"/>
                <w:szCs w:val="15"/>
                <w:b w:val="1"/>
                <w:bCs w:val="1"/>
                <w:color w:val="auto"/>
              </w:rPr>
              <w:t>2016</w:t>
            </w:r>
          </w:p>
        </w:tc>
        <w:tc>
          <w:tcPr>
            <w:tcW w:w="90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5"/>
                <w:szCs w:val="15"/>
                <w:b w:val="1"/>
                <w:bCs w:val="1"/>
                <w:color w:val="auto"/>
              </w:rPr>
              <w:t>2017</w:t>
            </w:r>
          </w:p>
        </w:tc>
        <w:tc>
          <w:tcPr>
            <w:tcW w:w="44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line="151" w:lineRule="exact"/>
              <w:rPr>
                <w:sz w:val="20"/>
                <w:szCs w:val="20"/>
                <w:color w:val="auto"/>
              </w:rPr>
            </w:pPr>
            <w:r>
              <w:rPr>
                <w:rFonts w:ascii="Arial" w:cs="Arial" w:eastAsia="Arial" w:hAnsi="Arial"/>
                <w:sz w:val="15"/>
                <w:szCs w:val="15"/>
                <w:b w:val="1"/>
                <w:bCs w:val="1"/>
                <w:color w:val="auto"/>
              </w:rPr>
              <w:t>2017</w:t>
            </w:r>
          </w:p>
        </w:tc>
        <w:tc>
          <w:tcPr>
            <w:tcW w:w="980" w:type="dxa"/>
            <w:vAlign w:val="bottom"/>
            <w:tcBorders>
              <w:top w:val="single" w:sz="8" w:color="auto"/>
              <w:bottom w:val="single" w:sz="8" w:color="auto"/>
            </w:tcBorders>
          </w:tcPr>
          <w:p>
            <w:pPr>
              <w:jc w:val="right"/>
              <w:ind w:right="150"/>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3"/>
                <w:szCs w:val="13"/>
                <w:color w:val="auto"/>
              </w:rPr>
            </w:pPr>
          </w:p>
        </w:tc>
      </w:tr>
      <w:tr>
        <w:trPr>
          <w:trHeight w:val="151"/>
        </w:trPr>
        <w:tc>
          <w:tcPr>
            <w:tcW w:w="5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20" w:type="dxa"/>
            <w:vAlign w:val="bottom"/>
            <w:gridSpan w:val="2"/>
          </w:tcPr>
          <w:p>
            <w:pPr>
              <w:jc w:val="center"/>
              <w:spacing w:after="0" w:line="151" w:lineRule="exact"/>
              <w:rPr>
                <w:sz w:val="20"/>
                <w:szCs w:val="20"/>
                <w:color w:val="auto"/>
              </w:rPr>
            </w:pPr>
            <w:r>
              <w:rPr>
                <w:rFonts w:ascii="Arial" w:cs="Arial" w:eastAsia="Arial" w:hAnsi="Arial"/>
                <w:sz w:val="15"/>
                <w:szCs w:val="15"/>
                <w:b w:val="1"/>
                <w:bCs w:val="1"/>
                <w:color w:val="auto"/>
                <w:w w:val="95"/>
              </w:rPr>
              <w:t>(Unaudited)</w:t>
            </w:r>
          </w:p>
        </w:tc>
        <w:tc>
          <w:tcPr>
            <w:tcW w:w="120" w:type="dxa"/>
            <w:vAlign w:val="bottom"/>
          </w:tcPr>
          <w:p>
            <w:pPr>
              <w:spacing w:after="0"/>
              <w:rPr>
                <w:sz w:val="13"/>
                <w:szCs w:val="13"/>
                <w:color w:val="auto"/>
              </w:rPr>
            </w:pPr>
          </w:p>
        </w:tc>
      </w:tr>
      <w:tr>
        <w:trPr>
          <w:trHeight w:val="228"/>
        </w:trPr>
        <w:tc>
          <w:tcPr>
            <w:tcW w:w="5440" w:type="dxa"/>
            <w:vAlign w:val="bottom"/>
            <w:shd w:val="clear" w:color="auto" w:fill="CCEEFF"/>
          </w:tcPr>
          <w:p>
            <w:pPr>
              <w:spacing w:after="0"/>
              <w:rPr>
                <w:sz w:val="20"/>
                <w:szCs w:val="20"/>
                <w:color w:val="auto"/>
              </w:rPr>
            </w:pPr>
            <w:r>
              <w:rPr>
                <w:rFonts w:ascii="Arial" w:cs="Arial" w:eastAsia="Arial" w:hAnsi="Arial"/>
                <w:sz w:val="19"/>
                <w:szCs w:val="19"/>
                <w:color w:val="auto"/>
              </w:rPr>
              <w:t>Cash provided by (used in) operating activities</w:t>
            </w:r>
          </w:p>
        </w:tc>
        <w:tc>
          <w:tcPr>
            <w:tcW w:w="2820" w:type="dxa"/>
            <w:vAlign w:val="bottom"/>
            <w:gridSpan w:val="2"/>
            <w:shd w:val="clear" w:color="auto" w:fill="CCEEFF"/>
          </w:tcPr>
          <w:p>
            <w:pPr>
              <w:jc w:val="right"/>
              <w:ind w:right="104"/>
              <w:spacing w:after="0"/>
              <w:rPr>
                <w:sz w:val="20"/>
                <w:szCs w:val="20"/>
                <w:color w:val="auto"/>
              </w:rPr>
            </w:pPr>
            <w:r>
              <w:rPr>
                <w:rFonts w:ascii="Arial" w:cs="Arial" w:eastAsia="Arial" w:hAnsi="Arial"/>
                <w:sz w:val="19"/>
                <w:szCs w:val="19"/>
                <w:color w:val="auto"/>
              </w:rPr>
              <w:t>$(12,993)</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$(17,771)</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9"/>
                <w:szCs w:val="19"/>
                <w:color w:val="auto"/>
                <w:w w:val="90"/>
              </w:rPr>
              <w:t>$(15,312)</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$ 145,118</w:t>
            </w:r>
          </w:p>
        </w:tc>
      </w:tr>
      <w:tr>
        <w:trPr>
          <w:trHeight w:val="228"/>
        </w:trPr>
        <w:tc>
          <w:tcPr>
            <w:tcW w:w="5440" w:type="dxa"/>
            <w:vAlign w:val="bottom"/>
          </w:tcPr>
          <w:p>
            <w:pPr>
              <w:spacing w:after="0"/>
              <w:rPr>
                <w:sz w:val="20"/>
                <w:szCs w:val="20"/>
                <w:color w:val="auto"/>
              </w:rPr>
            </w:pPr>
            <w:r>
              <w:rPr>
                <w:rFonts w:ascii="Arial" w:cs="Arial" w:eastAsia="Arial" w:hAnsi="Arial"/>
                <w:sz w:val="19"/>
                <w:szCs w:val="19"/>
                <w:color w:val="auto"/>
              </w:rPr>
              <w:t>Cash used in investing activities</w:t>
            </w:r>
          </w:p>
        </w:tc>
        <w:tc>
          <w:tcPr>
            <w:tcW w:w="2820" w:type="dxa"/>
            <w:vAlign w:val="bottom"/>
            <w:gridSpan w:val="2"/>
          </w:tcPr>
          <w:p>
            <w:pPr>
              <w:jc w:val="right"/>
              <w:ind w:right="104"/>
              <w:spacing w:after="0"/>
              <w:rPr>
                <w:sz w:val="20"/>
                <w:szCs w:val="20"/>
                <w:color w:val="auto"/>
              </w:rPr>
            </w:pPr>
            <w:r>
              <w:rPr>
                <w:rFonts w:ascii="Arial" w:cs="Arial" w:eastAsia="Arial" w:hAnsi="Arial"/>
                <w:sz w:val="19"/>
                <w:szCs w:val="19"/>
                <w:color w:val="auto"/>
              </w:rPr>
              <w:t>(2,250)</w:t>
            </w:r>
          </w:p>
        </w:tc>
        <w:tc>
          <w:tcPr>
            <w:tcW w:w="1340" w:type="dxa"/>
            <w:vAlign w:val="bottom"/>
            <w:gridSpan w:val="2"/>
          </w:tcPr>
          <w:p>
            <w:pPr>
              <w:jc w:val="right"/>
              <w:ind w:right="380"/>
              <w:spacing w:after="0"/>
              <w:rPr>
                <w:sz w:val="20"/>
                <w:szCs w:val="20"/>
                <w:color w:val="auto"/>
              </w:rPr>
            </w:pPr>
            <w:r>
              <w:rPr>
                <w:rFonts w:ascii="Arial" w:cs="Arial" w:eastAsia="Arial" w:hAnsi="Arial"/>
                <w:sz w:val="19"/>
                <w:szCs w:val="19"/>
                <w:color w:val="auto"/>
              </w:rPr>
              <w:t>(801)</w:t>
            </w:r>
          </w:p>
        </w:tc>
        <w:tc>
          <w:tcPr>
            <w:tcW w:w="940" w:type="dxa"/>
            <w:vAlign w:val="bottom"/>
          </w:tcPr>
          <w:p>
            <w:pPr>
              <w:jc w:val="right"/>
              <w:ind w:right="96"/>
              <w:spacing w:after="0"/>
              <w:rPr>
                <w:sz w:val="20"/>
                <w:szCs w:val="20"/>
                <w:color w:val="auto"/>
              </w:rPr>
            </w:pPr>
            <w:r>
              <w:rPr>
                <w:rFonts w:ascii="Arial" w:cs="Arial" w:eastAsia="Arial" w:hAnsi="Arial"/>
                <w:sz w:val="19"/>
                <w:szCs w:val="19"/>
                <w:color w:val="auto"/>
              </w:rPr>
              <w:t>(691)</w:t>
            </w:r>
          </w:p>
        </w:tc>
        <w:tc>
          <w:tcPr>
            <w:tcW w:w="1100" w:type="dxa"/>
            <w:vAlign w:val="bottom"/>
            <w:gridSpan w:val="2"/>
          </w:tcPr>
          <w:p>
            <w:pPr>
              <w:jc w:val="right"/>
              <w:ind w:right="60"/>
              <w:spacing w:after="0"/>
              <w:rPr>
                <w:sz w:val="20"/>
                <w:szCs w:val="20"/>
                <w:color w:val="auto"/>
              </w:rPr>
            </w:pPr>
            <w:r>
              <w:rPr>
                <w:rFonts w:ascii="Arial" w:cs="Arial" w:eastAsia="Arial" w:hAnsi="Arial"/>
                <w:sz w:val="19"/>
                <w:szCs w:val="19"/>
                <w:color w:val="auto"/>
              </w:rPr>
              <w:t>(266,584)</w:t>
            </w:r>
          </w:p>
        </w:tc>
      </w:tr>
      <w:tr>
        <w:trPr>
          <w:trHeight w:val="228"/>
        </w:trPr>
        <w:tc>
          <w:tcPr>
            <w:tcW w:w="5440" w:type="dxa"/>
            <w:vAlign w:val="bottom"/>
            <w:shd w:val="clear" w:color="auto" w:fill="CCEEFF"/>
          </w:tcPr>
          <w:p>
            <w:pPr>
              <w:spacing w:after="0"/>
              <w:rPr>
                <w:sz w:val="20"/>
                <w:szCs w:val="20"/>
                <w:color w:val="auto"/>
              </w:rPr>
            </w:pPr>
            <w:r>
              <w:rPr>
                <w:rFonts w:ascii="Arial" w:cs="Arial" w:eastAsia="Arial" w:hAnsi="Arial"/>
                <w:sz w:val="19"/>
                <w:szCs w:val="19"/>
                <w:color w:val="auto"/>
              </w:rPr>
              <w:t>Cash provided by (used in) financing activities</w:t>
            </w:r>
          </w:p>
        </w:tc>
        <w:tc>
          <w:tcPr>
            <w:tcW w:w="2820" w:type="dxa"/>
            <w:vAlign w:val="bottom"/>
            <w:gridSpan w:val="2"/>
            <w:shd w:val="clear" w:color="auto" w:fill="CCEEFF"/>
          </w:tcPr>
          <w:p>
            <w:pPr>
              <w:jc w:val="right"/>
              <w:ind w:right="104"/>
              <w:spacing w:after="0"/>
              <w:rPr>
                <w:sz w:val="20"/>
                <w:szCs w:val="20"/>
                <w:color w:val="auto"/>
              </w:rPr>
            </w:pPr>
            <w:r>
              <w:rPr>
                <w:rFonts w:ascii="Arial" w:cs="Arial" w:eastAsia="Arial" w:hAnsi="Arial"/>
                <w:sz w:val="19"/>
                <w:szCs w:val="19"/>
                <w:color w:val="auto"/>
              </w:rPr>
              <w:t>(77)</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(15)</w:t>
            </w:r>
          </w:p>
        </w:tc>
        <w:tc>
          <w:tcPr>
            <w:tcW w:w="940" w:type="dxa"/>
            <w:vAlign w:val="bottom"/>
            <w:shd w:val="clear" w:color="auto" w:fill="CCEEFF"/>
          </w:tcPr>
          <w:p>
            <w:pPr>
              <w:jc w:val="right"/>
              <w:ind w:right="156"/>
              <w:spacing w:after="0"/>
              <w:rPr>
                <w:sz w:val="20"/>
                <w:szCs w:val="20"/>
                <w:color w:val="auto"/>
              </w:rPr>
            </w:pPr>
            <w:r>
              <w:rPr>
                <w:rFonts w:ascii="Arial" w:cs="Arial" w:eastAsia="Arial" w:hAnsi="Arial"/>
                <w:sz w:val="19"/>
                <w:szCs w:val="19"/>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132,426</w:t>
            </w:r>
          </w:p>
        </w:tc>
        <w:tc>
          <w:tcPr>
            <w:tcW w:w="120" w:type="dxa"/>
            <w:vAlign w:val="bottom"/>
            <w:shd w:val="clear" w:color="auto" w:fill="CCEEFF"/>
          </w:tcPr>
          <w:p>
            <w:pPr>
              <w:spacing w:after="0"/>
              <w:rPr>
                <w:sz w:val="19"/>
                <w:szCs w:val="19"/>
                <w:color w:val="auto"/>
              </w:rPr>
            </w:pPr>
          </w:p>
        </w:tc>
      </w:tr>
    </w:tbl>
    <w:p>
      <w:pPr>
        <w:spacing w:after="0" w:line="32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Operating Activities</w:t>
      </w:r>
    </w:p>
    <w:p>
      <w:pPr>
        <w:spacing w:after="0" w:line="124" w:lineRule="exact"/>
        <w:rPr>
          <w:sz w:val="20"/>
          <w:szCs w:val="20"/>
          <w:color w:val="auto"/>
        </w:rPr>
      </w:pPr>
    </w:p>
    <w:p>
      <w:pPr>
        <w:ind w:left="180" w:right="320" w:firstLine="465"/>
        <w:spacing w:after="0" w:line="263" w:lineRule="auto"/>
        <w:rPr>
          <w:sz w:val="20"/>
          <w:szCs w:val="20"/>
          <w:color w:val="auto"/>
        </w:rPr>
      </w:pPr>
      <w:r>
        <w:rPr>
          <w:rFonts w:ascii="Arial" w:cs="Arial" w:eastAsia="Arial" w:hAnsi="Arial"/>
          <w:sz w:val="19"/>
          <w:szCs w:val="19"/>
          <w:color w:val="auto"/>
        </w:rPr>
        <w:t>For the nine months ended September 30, 2018, cash provided by operating activities was $145.1 million. The net cash inflow from operations primarily resulted from the receipt of a $200.0 million upfront payment from AbbVie, in January 2018, that was reflected as an increase in deferred revenue during the period. This was partially offset by net loss of $34.9 million.</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80</w:t>
      </w:r>
    </w:p>
    <w:p>
      <w:pPr>
        <w:sectPr>
          <w:pgSz w:w="12240" w:h="15840" w:orient="portrait"/>
          <w:cols w:equalWidth="0" w:num="1">
            <w:col w:w="11820"/>
          </w:cols>
          <w:pgMar w:left="120" w:top="336" w:right="300" w:bottom="1440" w:gutter="0" w:footer="0" w:header="0"/>
        </w:sectPr>
      </w:pPr>
    </w:p>
    <w:bookmarkStart w:id="88" w:name="page89"/>
    <w:bookmarkEnd w:id="8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77" w:lineRule="auto"/>
        <w:rPr>
          <w:sz w:val="20"/>
          <w:szCs w:val="20"/>
          <w:color w:val="auto"/>
        </w:rPr>
      </w:pPr>
      <w:r>
        <w:rPr>
          <w:rFonts w:ascii="Arial" w:cs="Arial" w:eastAsia="Arial" w:hAnsi="Arial"/>
          <w:sz w:val="18"/>
          <w:szCs w:val="18"/>
          <w:color w:val="auto"/>
        </w:rPr>
        <w:t>For the nine months ended September 30, 2017, cash used in operating activities was $15.3 million. The net cash outflow from operations primarily resulted from our net loss of $22.7 million offset by a non-cash charge of $4.3 million for stock-based compensation and an increase in our net operating assets and liabilities of $2.6 million. The increase in net operating assets and liabilities was primarily due to the $2.3 million increase in accrued liabilities and accrued clinical supply costs caused by the growth of our business as well as timing of payments.</w:t>
      </w:r>
    </w:p>
    <w:p>
      <w:pPr>
        <w:spacing w:after="0" w:line="185" w:lineRule="exact"/>
        <w:rPr>
          <w:sz w:val="20"/>
          <w:szCs w:val="20"/>
          <w:color w:val="auto"/>
        </w:rPr>
      </w:pPr>
    </w:p>
    <w:p>
      <w:pPr>
        <w:ind w:left="180" w:right="540" w:firstLine="465"/>
        <w:spacing w:after="0" w:line="288" w:lineRule="auto"/>
        <w:rPr>
          <w:sz w:val="20"/>
          <w:szCs w:val="20"/>
          <w:color w:val="auto"/>
        </w:rPr>
      </w:pPr>
      <w:r>
        <w:rPr>
          <w:rFonts w:ascii="Arial" w:cs="Arial" w:eastAsia="Arial" w:hAnsi="Arial"/>
          <w:sz w:val="17"/>
          <w:szCs w:val="17"/>
          <w:color w:val="auto"/>
        </w:rPr>
        <w:t>For the year ended December 31, 2017, cash used in operating activities was $17.8 million. The net cash outflow from operations primarily resulted from our net loss of $32.5 million offset by a non-cash charge of $6.0 million and an increase in net operating assets and liabilities of</w:t>
      </w:r>
    </w:p>
    <w:p>
      <w:pPr>
        <w:ind w:left="180" w:right="100"/>
        <w:spacing w:after="0" w:line="254" w:lineRule="auto"/>
        <w:rPr>
          <w:sz w:val="20"/>
          <w:szCs w:val="20"/>
          <w:color w:val="auto"/>
        </w:rPr>
      </w:pPr>
      <w:r>
        <w:rPr>
          <w:rFonts w:ascii="Arial" w:cs="Arial" w:eastAsia="Arial" w:hAnsi="Arial"/>
          <w:sz w:val="19"/>
          <w:szCs w:val="19"/>
          <w:color w:val="auto"/>
        </w:rPr>
        <w:t>$8.7 million. The non-cash charge consisted primarily of $5.4 million for stock-based compensation. The increase in net operating assets and liabilities of $8.7 million was primarily due to the $6.7 million increase in accrued liabilities and accrued clinical supply costs from growth of our business and commencement of manufacturing activities in 2017 and $2.1 million increase in deferred revenue from receiving an upfront payment of $5.0 million in October 2017 from our collaboration with AbbVie offset by the revenue recognized.</w:t>
      </w:r>
    </w:p>
    <w:p>
      <w:pPr>
        <w:spacing w:after="0" w:line="203" w:lineRule="exact"/>
        <w:rPr>
          <w:sz w:val="20"/>
          <w:szCs w:val="20"/>
          <w:color w:val="auto"/>
        </w:rPr>
      </w:pPr>
    </w:p>
    <w:p>
      <w:pPr>
        <w:ind w:left="180" w:right="40" w:firstLine="465"/>
        <w:spacing w:after="0" w:line="284" w:lineRule="auto"/>
        <w:rPr>
          <w:sz w:val="20"/>
          <w:szCs w:val="20"/>
          <w:color w:val="auto"/>
        </w:rPr>
      </w:pPr>
      <w:r>
        <w:rPr>
          <w:rFonts w:ascii="Arial" w:cs="Arial" w:eastAsia="Arial" w:hAnsi="Arial"/>
          <w:sz w:val="18"/>
          <w:szCs w:val="18"/>
          <w:color w:val="auto"/>
        </w:rPr>
        <w:t>For the year ended December 31, 2016, cash used in operating activities was $13.0 million. The net cash outflow from operations primarily resulted from our net loss of $15.1 million offset by a non-cash charge of $2.0 million for stock-based compensation. Net operating assets and liabilities did not change significantly during the period due to offsetting small increases and decreases in the operating accounts.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Investing Activities</w:t>
      </w:r>
    </w:p>
    <w:p>
      <w:pPr>
        <w:spacing w:after="0" w:line="124" w:lineRule="exact"/>
        <w:rPr>
          <w:sz w:val="20"/>
          <w:szCs w:val="20"/>
          <w:color w:val="auto"/>
        </w:rPr>
      </w:pPr>
    </w:p>
    <w:p>
      <w:pPr>
        <w:jc w:val="both"/>
        <w:ind w:left="180" w:right="20" w:firstLine="465"/>
        <w:spacing w:after="0" w:line="263" w:lineRule="auto"/>
        <w:rPr>
          <w:sz w:val="20"/>
          <w:szCs w:val="20"/>
          <w:color w:val="auto"/>
        </w:rPr>
      </w:pPr>
      <w:r>
        <w:rPr>
          <w:rFonts w:ascii="Arial" w:cs="Arial" w:eastAsia="Arial" w:hAnsi="Arial"/>
          <w:sz w:val="19"/>
          <w:szCs w:val="19"/>
          <w:color w:val="auto"/>
        </w:rPr>
        <w:t>For the nine months ended September 30, 2018, cash used in investing activities of $266.6 million was primarily related to the purchase of short-term marketable securities of $395.1 million offset by the proceeds from maturities of marketable securities of $130.0 million. In addition, we used cash for the purchase of $1.5 million of property and equipment.</w:t>
      </w:r>
    </w:p>
    <w:p>
      <w:pPr>
        <w:spacing w:after="0" w:line="194" w:lineRule="exact"/>
        <w:rPr>
          <w:sz w:val="20"/>
          <w:szCs w:val="20"/>
          <w:color w:val="auto"/>
        </w:rPr>
      </w:pPr>
    </w:p>
    <w:p>
      <w:pPr>
        <w:ind w:left="180" w:right="520" w:firstLine="465"/>
        <w:spacing w:after="0" w:line="275" w:lineRule="auto"/>
        <w:rPr>
          <w:sz w:val="20"/>
          <w:szCs w:val="20"/>
          <w:color w:val="auto"/>
        </w:rPr>
      </w:pPr>
      <w:r>
        <w:rPr>
          <w:rFonts w:ascii="Arial" w:cs="Arial" w:eastAsia="Arial" w:hAnsi="Arial"/>
          <w:sz w:val="19"/>
          <w:szCs w:val="19"/>
          <w:color w:val="auto"/>
        </w:rPr>
        <w:t>For the nine months ended September 30, 2017, cash used in investing activities of $0.7 million was related to the purchase of property and equipment.</w:t>
      </w:r>
    </w:p>
    <w:p>
      <w:pPr>
        <w:spacing w:after="0" w:line="184" w:lineRule="exact"/>
        <w:rPr>
          <w:sz w:val="20"/>
          <w:szCs w:val="20"/>
          <w:color w:val="auto"/>
        </w:rPr>
      </w:pPr>
    </w:p>
    <w:p>
      <w:pPr>
        <w:ind w:left="180" w:right="220" w:firstLine="465"/>
        <w:spacing w:after="0" w:line="275" w:lineRule="auto"/>
        <w:rPr>
          <w:sz w:val="20"/>
          <w:szCs w:val="20"/>
          <w:color w:val="auto"/>
        </w:rPr>
      </w:pPr>
      <w:r>
        <w:rPr>
          <w:rFonts w:ascii="Arial" w:cs="Arial" w:eastAsia="Arial" w:hAnsi="Arial"/>
          <w:sz w:val="19"/>
          <w:szCs w:val="19"/>
          <w:color w:val="auto"/>
        </w:rPr>
        <w:t>For the years ended December 31, 2016 and 2017, cash used in investing activities of $2.3 million and $0.8 million, respectively, was related to the purchase of property and equipment.</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Financing Activities</w:t>
      </w:r>
    </w:p>
    <w:p>
      <w:pPr>
        <w:spacing w:after="0" w:line="124" w:lineRule="exact"/>
        <w:rPr>
          <w:sz w:val="20"/>
          <w:szCs w:val="20"/>
          <w:color w:val="auto"/>
        </w:rPr>
      </w:pPr>
    </w:p>
    <w:p>
      <w:pPr>
        <w:ind w:left="180" w:right="60" w:firstLine="465"/>
        <w:spacing w:after="0" w:line="275" w:lineRule="auto"/>
        <w:rPr>
          <w:sz w:val="20"/>
          <w:szCs w:val="20"/>
          <w:color w:val="auto"/>
        </w:rPr>
      </w:pPr>
      <w:r>
        <w:rPr>
          <w:rFonts w:ascii="Arial" w:cs="Arial" w:eastAsia="Arial" w:hAnsi="Arial"/>
          <w:sz w:val="19"/>
          <w:szCs w:val="19"/>
          <w:color w:val="auto"/>
        </w:rPr>
        <w:t>For the nine months ended September 30, 2018, cash provided by financing activities of $132.7 million was from the net proceeds of the issuance of 9,349,012 shares of our Series E convertible preferred stock in April 2018 and July 2018.</w:t>
      </w:r>
    </w:p>
    <w:p>
      <w:pPr>
        <w:spacing w:after="0" w:line="184" w:lineRule="exact"/>
        <w:rPr>
          <w:sz w:val="20"/>
          <w:szCs w:val="20"/>
          <w:color w:val="auto"/>
        </w:rPr>
      </w:pPr>
    </w:p>
    <w:p>
      <w:pPr>
        <w:ind w:left="180" w:firstLine="465"/>
        <w:spacing w:after="0" w:line="275" w:lineRule="auto"/>
        <w:rPr>
          <w:sz w:val="20"/>
          <w:szCs w:val="20"/>
          <w:color w:val="auto"/>
        </w:rPr>
      </w:pPr>
      <w:r>
        <w:rPr>
          <w:rFonts w:ascii="Arial" w:cs="Arial" w:eastAsia="Arial" w:hAnsi="Arial"/>
          <w:sz w:val="19"/>
          <w:szCs w:val="19"/>
          <w:color w:val="auto"/>
        </w:rPr>
        <w:t>For the year ended December 31, 2017, cash used in financing activities was less than $0.1 million for payments of issuance costs for our Series E convertible preferred stock.</w:t>
      </w:r>
    </w:p>
    <w:p>
      <w:pPr>
        <w:spacing w:after="0" w:line="184" w:lineRule="exact"/>
        <w:rPr>
          <w:sz w:val="20"/>
          <w:szCs w:val="20"/>
          <w:color w:val="auto"/>
        </w:rPr>
      </w:pPr>
    </w:p>
    <w:p>
      <w:pPr>
        <w:ind w:left="180" w:right="700" w:firstLine="465"/>
        <w:spacing w:after="0" w:line="275" w:lineRule="auto"/>
        <w:rPr>
          <w:sz w:val="20"/>
          <w:szCs w:val="20"/>
          <w:color w:val="auto"/>
        </w:rPr>
      </w:pPr>
      <w:r>
        <w:rPr>
          <w:rFonts w:ascii="Arial" w:cs="Arial" w:eastAsia="Arial" w:hAnsi="Arial"/>
          <w:sz w:val="19"/>
          <w:szCs w:val="19"/>
          <w:color w:val="auto"/>
        </w:rPr>
        <w:t>For the year ended December 31, 2016, cash used in financing activities was $0.1 million for payments of issuance costs for our Series D convertible preferred units, which subsequently converted into convertible preferred stock.</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81</w:t>
      </w:r>
    </w:p>
    <w:p>
      <w:pPr>
        <w:sectPr>
          <w:pgSz w:w="12240" w:h="15840" w:orient="portrait"/>
          <w:cols w:equalWidth="0" w:num="1">
            <w:col w:w="11780"/>
          </w:cols>
          <w:pgMar w:left="120" w:top="336" w:right="340" w:bottom="1440" w:gutter="0" w:footer="0" w:header="0"/>
        </w:sectPr>
      </w:pPr>
    </w:p>
    <w:bookmarkStart w:id="89" w:name="page90"/>
    <w:bookmarkEnd w:id="8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Contractual Obligations and Other Commitments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table summarizes our commitments and contractual obligations as of September 30, 2018 (in thousands):</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16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5"/>
          </w:tcPr>
          <w:p>
            <w:pPr>
              <w:ind w:left="20"/>
              <w:spacing w:after="0"/>
              <w:rPr>
                <w:sz w:val="20"/>
                <w:szCs w:val="20"/>
                <w:color w:val="auto"/>
              </w:rPr>
            </w:pPr>
            <w:r>
              <w:rPr>
                <w:rFonts w:ascii="Arial" w:cs="Arial" w:eastAsia="Arial" w:hAnsi="Arial"/>
                <w:sz w:val="15"/>
                <w:szCs w:val="15"/>
                <w:b w:val="1"/>
                <w:bCs w:val="1"/>
                <w:color w:val="auto"/>
              </w:rPr>
              <w:t>Payments Due by Period</w:t>
            </w: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2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Contractual Obligations:</w:t>
            </w:r>
          </w:p>
        </w:tc>
        <w:tc>
          <w:tcPr>
            <w:tcW w:w="2120" w:type="dxa"/>
            <w:vAlign w:val="bottom"/>
          </w:tcPr>
          <w:p>
            <w:pPr>
              <w:spacing w:after="0"/>
              <w:rPr>
                <w:sz w:val="11"/>
                <w:szCs w:val="11"/>
                <w:color w:val="auto"/>
              </w:rPr>
            </w:pPr>
          </w:p>
        </w:tc>
        <w:tc>
          <w:tcPr>
            <w:tcW w:w="1160" w:type="dxa"/>
            <w:vAlign w:val="bottom"/>
            <w:gridSpan w:val="2"/>
          </w:tcPr>
          <w:p>
            <w:pPr>
              <w:jc w:val="center"/>
              <w:ind w:right="480"/>
              <w:spacing w:after="0" w:line="128" w:lineRule="exact"/>
              <w:rPr>
                <w:sz w:val="20"/>
                <w:szCs w:val="20"/>
                <w:color w:val="auto"/>
              </w:rPr>
            </w:pPr>
            <w:r>
              <w:rPr>
                <w:rFonts w:ascii="Arial" w:cs="Arial" w:eastAsia="Arial" w:hAnsi="Arial"/>
                <w:sz w:val="14"/>
                <w:szCs w:val="14"/>
                <w:b w:val="1"/>
                <w:bCs w:val="1"/>
                <w:color w:val="auto"/>
                <w:w w:val="98"/>
              </w:rPr>
              <w:t>Less Than</w:t>
            </w:r>
          </w:p>
        </w:tc>
        <w:tc>
          <w:tcPr>
            <w:tcW w:w="640" w:type="dxa"/>
            <w:vAlign w:val="bottom"/>
            <w:gridSpan w:val="2"/>
          </w:tcPr>
          <w:p>
            <w:pPr>
              <w:jc w:val="center"/>
              <w:spacing w:after="0" w:line="128" w:lineRule="exact"/>
              <w:rPr>
                <w:sz w:val="20"/>
                <w:szCs w:val="20"/>
                <w:color w:val="auto"/>
              </w:rPr>
            </w:pPr>
            <w:r>
              <w:rPr>
                <w:rFonts w:ascii="Arial" w:cs="Arial" w:eastAsia="Arial" w:hAnsi="Arial"/>
                <w:sz w:val="14"/>
                <w:szCs w:val="14"/>
                <w:b w:val="1"/>
                <w:bCs w:val="1"/>
                <w:color w:val="auto"/>
                <w:w w:val="98"/>
              </w:rPr>
              <w:t>1 to 3</w:t>
            </w:r>
          </w:p>
        </w:tc>
        <w:tc>
          <w:tcPr>
            <w:tcW w:w="480" w:type="dxa"/>
            <w:vAlign w:val="bottom"/>
          </w:tcPr>
          <w:p>
            <w:pPr>
              <w:spacing w:after="0"/>
              <w:rPr>
                <w:sz w:val="11"/>
                <w:szCs w:val="11"/>
                <w:color w:val="auto"/>
              </w:rPr>
            </w:pPr>
          </w:p>
        </w:tc>
        <w:tc>
          <w:tcPr>
            <w:tcW w:w="1100" w:type="dxa"/>
            <w:vAlign w:val="bottom"/>
            <w:gridSpan w:val="2"/>
          </w:tcPr>
          <w:p>
            <w:pPr>
              <w:jc w:val="center"/>
              <w:ind w:right="500"/>
              <w:spacing w:after="0" w:line="128" w:lineRule="exact"/>
              <w:rPr>
                <w:sz w:val="20"/>
                <w:szCs w:val="20"/>
                <w:color w:val="auto"/>
              </w:rPr>
            </w:pPr>
            <w:r>
              <w:rPr>
                <w:rFonts w:ascii="Arial" w:cs="Arial" w:eastAsia="Arial" w:hAnsi="Arial"/>
                <w:sz w:val="14"/>
                <w:szCs w:val="14"/>
                <w:b w:val="1"/>
                <w:bCs w:val="1"/>
                <w:color w:val="auto"/>
                <w:w w:val="98"/>
              </w:rPr>
              <w:t>3 to 5</w:t>
            </w:r>
          </w:p>
        </w:tc>
        <w:tc>
          <w:tcPr>
            <w:tcW w:w="1240" w:type="dxa"/>
            <w:vAlign w:val="bottom"/>
            <w:gridSpan w:val="2"/>
          </w:tcPr>
          <w:p>
            <w:pPr>
              <w:jc w:val="center"/>
              <w:ind w:right="500"/>
              <w:spacing w:after="0" w:line="128" w:lineRule="exact"/>
              <w:rPr>
                <w:sz w:val="20"/>
                <w:szCs w:val="20"/>
                <w:color w:val="auto"/>
              </w:rPr>
            </w:pPr>
            <w:r>
              <w:rPr>
                <w:rFonts w:ascii="Arial" w:cs="Arial" w:eastAsia="Arial" w:hAnsi="Arial"/>
                <w:sz w:val="14"/>
                <w:szCs w:val="14"/>
                <w:b w:val="1"/>
                <w:bCs w:val="1"/>
                <w:color w:val="auto"/>
              </w:rPr>
              <w:t>More Than</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220" w:type="dxa"/>
            <w:vAlign w:val="bottom"/>
            <w:gridSpan w:val="2"/>
            <w:vMerge w:val="continue"/>
          </w:tcPr>
          <w:p>
            <w:pPr>
              <w:spacing w:after="0"/>
              <w:rPr>
                <w:sz w:val="14"/>
                <w:szCs w:val="14"/>
                <w:color w:val="auto"/>
              </w:rPr>
            </w:pPr>
          </w:p>
        </w:tc>
        <w:tc>
          <w:tcPr>
            <w:tcW w:w="2120" w:type="dxa"/>
            <w:vAlign w:val="bottom"/>
          </w:tcPr>
          <w:p>
            <w:pPr>
              <w:spacing w:after="0"/>
              <w:rPr>
                <w:sz w:val="14"/>
                <w:szCs w:val="14"/>
                <w:color w:val="auto"/>
              </w:rPr>
            </w:pPr>
          </w:p>
        </w:tc>
        <w:tc>
          <w:tcPr>
            <w:tcW w:w="1160" w:type="dxa"/>
            <w:vAlign w:val="bottom"/>
            <w:gridSpan w:val="2"/>
          </w:tcPr>
          <w:p>
            <w:pPr>
              <w:jc w:val="center"/>
              <w:ind w:right="480"/>
              <w:spacing w:after="0" w:line="166" w:lineRule="exact"/>
              <w:rPr>
                <w:sz w:val="20"/>
                <w:szCs w:val="20"/>
                <w:color w:val="auto"/>
              </w:rPr>
            </w:pPr>
            <w:r>
              <w:rPr>
                <w:rFonts w:ascii="Arial" w:cs="Arial" w:eastAsia="Arial" w:hAnsi="Arial"/>
                <w:sz w:val="15"/>
                <w:szCs w:val="15"/>
                <w:b w:val="1"/>
                <w:bCs w:val="1"/>
                <w:color w:val="auto"/>
                <w:w w:val="88"/>
              </w:rPr>
              <w:t>1 Year</w:t>
            </w:r>
          </w:p>
        </w:tc>
        <w:tc>
          <w:tcPr>
            <w:tcW w:w="640" w:type="dxa"/>
            <w:vAlign w:val="bottom"/>
            <w:gridSpan w:val="2"/>
          </w:tcPr>
          <w:p>
            <w:pPr>
              <w:jc w:val="center"/>
              <w:spacing w:after="0" w:line="166" w:lineRule="exact"/>
              <w:rPr>
                <w:sz w:val="20"/>
                <w:szCs w:val="20"/>
                <w:color w:val="auto"/>
              </w:rPr>
            </w:pPr>
            <w:r>
              <w:rPr>
                <w:rFonts w:ascii="Arial" w:cs="Arial" w:eastAsia="Arial" w:hAnsi="Arial"/>
                <w:sz w:val="15"/>
                <w:szCs w:val="15"/>
                <w:b w:val="1"/>
                <w:bCs w:val="1"/>
                <w:color w:val="auto"/>
                <w:w w:val="87"/>
              </w:rPr>
              <w:t>Years</w:t>
            </w:r>
          </w:p>
        </w:tc>
        <w:tc>
          <w:tcPr>
            <w:tcW w:w="480" w:type="dxa"/>
            <w:vAlign w:val="bottom"/>
          </w:tcPr>
          <w:p>
            <w:pPr>
              <w:spacing w:after="0"/>
              <w:rPr>
                <w:sz w:val="14"/>
                <w:szCs w:val="14"/>
                <w:color w:val="auto"/>
              </w:rPr>
            </w:pPr>
          </w:p>
        </w:tc>
        <w:tc>
          <w:tcPr>
            <w:tcW w:w="1100" w:type="dxa"/>
            <w:vAlign w:val="bottom"/>
            <w:gridSpan w:val="2"/>
          </w:tcPr>
          <w:p>
            <w:pPr>
              <w:jc w:val="center"/>
              <w:ind w:right="500"/>
              <w:spacing w:after="0" w:line="166" w:lineRule="exact"/>
              <w:rPr>
                <w:sz w:val="20"/>
                <w:szCs w:val="20"/>
                <w:color w:val="auto"/>
              </w:rPr>
            </w:pPr>
            <w:r>
              <w:rPr>
                <w:rFonts w:ascii="Arial" w:cs="Arial" w:eastAsia="Arial" w:hAnsi="Arial"/>
                <w:sz w:val="15"/>
                <w:szCs w:val="15"/>
                <w:b w:val="1"/>
                <w:bCs w:val="1"/>
                <w:color w:val="auto"/>
                <w:w w:val="87"/>
              </w:rPr>
              <w:t>Years</w:t>
            </w:r>
          </w:p>
        </w:tc>
        <w:tc>
          <w:tcPr>
            <w:tcW w:w="1240" w:type="dxa"/>
            <w:vAlign w:val="bottom"/>
            <w:gridSpan w:val="2"/>
          </w:tcPr>
          <w:p>
            <w:pPr>
              <w:jc w:val="center"/>
              <w:ind w:right="480"/>
              <w:spacing w:after="0" w:line="166" w:lineRule="exact"/>
              <w:rPr>
                <w:sz w:val="20"/>
                <w:szCs w:val="20"/>
                <w:color w:val="auto"/>
              </w:rPr>
            </w:pPr>
            <w:r>
              <w:rPr>
                <w:rFonts w:ascii="Arial" w:cs="Arial" w:eastAsia="Arial" w:hAnsi="Arial"/>
                <w:sz w:val="15"/>
                <w:szCs w:val="15"/>
                <w:b w:val="1"/>
                <w:bCs w:val="1"/>
                <w:color w:val="auto"/>
                <w:w w:val="89"/>
              </w:rPr>
              <w:t>5 Years</w:t>
            </w:r>
          </w:p>
        </w:tc>
        <w:tc>
          <w:tcPr>
            <w:tcW w:w="680" w:type="dxa"/>
            <w:vAlign w:val="bottom"/>
            <w:gridSpan w:val="2"/>
          </w:tcPr>
          <w:p>
            <w:pPr>
              <w:jc w:val="center"/>
              <w:ind w:right="60"/>
              <w:spacing w:after="0" w:line="166" w:lineRule="exact"/>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shd w:val="clear" w:color="auto" w:fill="000000"/>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20" w:type="dxa"/>
            <w:vAlign w:val="bottom"/>
            <w:gridSpan w:val="2"/>
            <w:shd w:val="clear" w:color="auto" w:fill="CCEEFF"/>
          </w:tcPr>
          <w:p>
            <w:pPr>
              <w:spacing w:after="0" w:line="217" w:lineRule="exact"/>
              <w:rPr>
                <w:sz w:val="20"/>
                <w:szCs w:val="20"/>
                <w:color w:val="auto"/>
              </w:rPr>
            </w:pPr>
            <w:r>
              <w:rPr>
                <w:rFonts w:ascii="Arial" w:cs="Arial" w:eastAsia="Arial" w:hAnsi="Arial"/>
                <w:sz w:val="19"/>
                <w:szCs w:val="19"/>
                <w:color w:val="auto"/>
              </w:rPr>
              <w:t>Operating lease obligations</w:t>
            </w:r>
          </w:p>
        </w:tc>
        <w:tc>
          <w:tcPr>
            <w:tcW w:w="2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line="217" w:lineRule="exact"/>
              <w:rPr>
                <w:sz w:val="20"/>
                <w:szCs w:val="20"/>
                <w:color w:val="auto"/>
              </w:rPr>
            </w:pPr>
            <w:r>
              <w:rPr>
                <w:rFonts w:ascii="Arial" w:cs="Arial" w:eastAsia="Arial" w:hAnsi="Arial"/>
                <w:sz w:val="19"/>
                <w:szCs w:val="19"/>
                <w:color w:val="auto"/>
                <w:w w:val="98"/>
              </w:rPr>
              <w:t>$  2,377</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line="217" w:lineRule="exact"/>
              <w:rPr>
                <w:sz w:val="20"/>
                <w:szCs w:val="20"/>
                <w:color w:val="auto"/>
              </w:rPr>
            </w:pPr>
            <w:r>
              <w:rPr>
                <w:rFonts w:ascii="Arial" w:cs="Arial" w:eastAsia="Arial" w:hAnsi="Arial"/>
                <w:sz w:val="19"/>
                <w:szCs w:val="19"/>
                <w:color w:val="auto"/>
                <w:w w:val="90"/>
              </w:rPr>
              <w:t>$13,345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line="217" w:lineRule="exact"/>
              <w:rPr>
                <w:sz w:val="20"/>
                <w:szCs w:val="20"/>
                <w:color w:val="auto"/>
              </w:rPr>
            </w:pPr>
            <w:r>
              <w:rPr>
                <w:rFonts w:ascii="Arial" w:cs="Arial" w:eastAsia="Arial" w:hAnsi="Arial"/>
                <w:sz w:val="19"/>
                <w:szCs w:val="19"/>
                <w:color w:val="auto"/>
                <w:w w:val="90"/>
              </w:rPr>
              <w:t>$14,458</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line="217" w:lineRule="exact"/>
              <w:rPr>
                <w:sz w:val="20"/>
                <w:szCs w:val="20"/>
                <w:color w:val="auto"/>
              </w:rPr>
            </w:pPr>
            <w:r>
              <w:rPr>
                <w:rFonts w:ascii="Arial" w:cs="Arial" w:eastAsia="Arial" w:hAnsi="Arial"/>
                <w:sz w:val="19"/>
                <w:szCs w:val="19"/>
                <w:color w:val="auto"/>
                <w:w w:val="93"/>
              </w:rPr>
              <w:t>$  45,005</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line="217" w:lineRule="exact"/>
              <w:rPr>
                <w:sz w:val="20"/>
                <w:szCs w:val="20"/>
                <w:color w:val="auto"/>
              </w:rPr>
            </w:pPr>
            <w:r>
              <w:rPr>
                <w:rFonts w:ascii="Arial" w:cs="Arial" w:eastAsia="Arial" w:hAnsi="Arial"/>
                <w:sz w:val="19"/>
                <w:szCs w:val="19"/>
                <w:color w:val="auto"/>
                <w:w w:val="87"/>
              </w:rPr>
              <w:t>$75,185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0" w:right="280" w:firstLine="465"/>
        <w:spacing w:after="0" w:line="263" w:lineRule="auto"/>
        <w:rPr>
          <w:sz w:val="20"/>
          <w:szCs w:val="20"/>
          <w:color w:val="auto"/>
        </w:rPr>
      </w:pPr>
      <w:r>
        <w:rPr>
          <w:rFonts w:ascii="Arial" w:cs="Arial" w:eastAsia="Arial" w:hAnsi="Arial"/>
          <w:sz w:val="19"/>
          <w:szCs w:val="19"/>
          <w:color w:val="auto"/>
        </w:rPr>
        <w:t>In June 2018, we signed a lease agreement to lease approximately 105,000 square feet in a new office in South San Francisco at a cost of approximately $73.9 million over a ten-year term. This will serve as the location of our new headquarters when the lease for our current headquarters location ends in April 2019.</w:t>
      </w:r>
    </w:p>
    <w:p>
      <w:pPr>
        <w:spacing w:after="0" w:line="194" w:lineRule="exact"/>
        <w:rPr>
          <w:sz w:val="20"/>
          <w:szCs w:val="20"/>
          <w:color w:val="auto"/>
        </w:rPr>
      </w:pPr>
    </w:p>
    <w:p>
      <w:pPr>
        <w:jc w:val="both"/>
        <w:ind w:left="180" w:right="440" w:firstLine="465"/>
        <w:spacing w:after="0" w:line="259" w:lineRule="auto"/>
        <w:rPr>
          <w:sz w:val="20"/>
          <w:szCs w:val="20"/>
          <w:color w:val="auto"/>
        </w:rPr>
      </w:pPr>
      <w:r>
        <w:rPr>
          <w:rFonts w:ascii="Arial" w:cs="Arial" w:eastAsia="Arial" w:hAnsi="Arial"/>
          <w:sz w:val="19"/>
          <w:szCs w:val="19"/>
          <w:color w:val="auto"/>
        </w:rPr>
        <w:t>Pursuant to our license agreement with Adimab, we have obligations to make future milestone and royalty payments. We will owe up to $3.5 million in milestone payments per program to Adimab for our product candidates. We will also owe low- to mid- single-digit royalty payments for commercial sales of such product candidates. Due to the contingent nature of the milestone and royalty payments, they are not included in the table above.</w:t>
      </w:r>
    </w:p>
    <w:p>
      <w:pPr>
        <w:spacing w:after="0" w:line="198" w:lineRule="exact"/>
        <w:rPr>
          <w:sz w:val="20"/>
          <w:szCs w:val="20"/>
          <w:color w:val="auto"/>
        </w:rPr>
      </w:pPr>
    </w:p>
    <w:p>
      <w:pPr>
        <w:ind w:left="180" w:right="380" w:firstLine="465"/>
        <w:spacing w:after="0" w:line="275" w:lineRule="auto"/>
        <w:rPr>
          <w:sz w:val="20"/>
          <w:szCs w:val="20"/>
          <w:color w:val="auto"/>
        </w:rPr>
      </w:pPr>
      <w:r>
        <w:rPr>
          <w:rFonts w:ascii="Arial" w:cs="Arial" w:eastAsia="Arial" w:hAnsi="Arial"/>
          <w:sz w:val="19"/>
          <w:szCs w:val="19"/>
          <w:color w:val="auto"/>
        </w:rPr>
        <w:t>We have also entered into development and manufacturing services agreements with multiple contract manufacturers for the development and manufacture of biologic products, the amount and timing of which may vary based on the timing of services.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Off-Balance Sheet Arrangements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We have not entered into any off-balance sheet arrangements and do not have any holdings in variable interest entities.</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Critical Accounting Polices and Estimates</w:t>
      </w:r>
    </w:p>
    <w:p>
      <w:pPr>
        <w:spacing w:after="0" w:line="130" w:lineRule="exact"/>
        <w:rPr>
          <w:sz w:val="20"/>
          <w:szCs w:val="20"/>
          <w:color w:val="auto"/>
        </w:rPr>
      </w:pPr>
    </w:p>
    <w:p>
      <w:pPr>
        <w:ind w:left="180" w:right="20" w:firstLine="465"/>
        <w:spacing w:after="0" w:line="269" w:lineRule="auto"/>
        <w:rPr>
          <w:sz w:val="20"/>
          <w:szCs w:val="20"/>
          <w:color w:val="auto"/>
        </w:rPr>
      </w:pPr>
      <w:r>
        <w:rPr>
          <w:rFonts w:ascii="Arial" w:cs="Arial" w:eastAsia="Arial" w:hAnsi="Arial"/>
          <w:sz w:val="18"/>
          <w:szCs w:val="18"/>
          <w:color w:val="auto"/>
        </w:rPr>
        <w:t>Management’s discussion and analysis of our financial condition and results of operations is based on our consolidated financial statements, which have been prepared in accordance with generally accepted accounting principles in the United States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30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124" w:lineRule="exact"/>
        <w:rPr>
          <w:sz w:val="20"/>
          <w:szCs w:val="20"/>
          <w:color w:val="auto"/>
        </w:rPr>
      </w:pPr>
    </w:p>
    <w:p>
      <w:pPr>
        <w:ind w:left="180" w:right="40" w:firstLine="465"/>
        <w:spacing w:after="0" w:line="255" w:lineRule="auto"/>
        <w:rPr>
          <w:sz w:val="20"/>
          <w:szCs w:val="20"/>
          <w:color w:val="auto"/>
        </w:rPr>
      </w:pPr>
      <w:r>
        <w:rPr>
          <w:rFonts w:ascii="Arial" w:cs="Arial" w:eastAsia="Arial" w:hAnsi="Arial"/>
          <w:sz w:val="19"/>
          <w:szCs w:val="19"/>
          <w:color w:val="auto"/>
        </w:rPr>
        <w:t xml:space="preserve">In May 2014, the Financial Accounting Standards Board (FASB) issued ASU No. 2014-09, </w:t>
      </w:r>
      <w:r>
        <w:rPr>
          <w:rFonts w:ascii="Arial" w:cs="Arial" w:eastAsia="Arial" w:hAnsi="Arial"/>
          <w:sz w:val="19"/>
          <w:szCs w:val="19"/>
          <w:i w:val="1"/>
          <w:iCs w:val="1"/>
          <w:color w:val="auto"/>
        </w:rPr>
        <w:t>Revenue from Contracts with Customers</w:t>
      </w:r>
      <w:r>
        <w:rPr>
          <w:rFonts w:ascii="Arial" w:cs="Arial" w:eastAsia="Arial" w:hAnsi="Arial"/>
          <w:sz w:val="19"/>
          <w:szCs w:val="19"/>
          <w:color w:val="auto"/>
        </w:rPr>
        <w:t xml:space="preserve"> (ASC 606). This new standard replaces most of the existing revenue recognition guidance in GAAP. We have early adopted the new standard using the full retrospective method as of January 1, 2017. Prior to January 1, 2017, our revenues were derived from a government grant. The adoption of ASC 606 did not affect our accounting for our government grant. Under ASC 606, an entity recognizes revenue when control of promised goods or services are transferred to customers in an amount that reflects the consideration that is expected to be received for those goods or services. In determining the appropriate amount of revenue to</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82</w:t>
      </w:r>
    </w:p>
    <w:p>
      <w:pPr>
        <w:sectPr>
          <w:pgSz w:w="12240" w:h="15840" w:orient="portrait"/>
          <w:cols w:equalWidth="0" w:num="1">
            <w:col w:w="11820"/>
          </w:cols>
          <w:pgMar w:left="120" w:top="336" w:right="300" w:bottom="1440" w:gutter="0" w:footer="0" w:header="0"/>
        </w:sectPr>
      </w:pPr>
    </w:p>
    <w:bookmarkStart w:id="90" w:name="page91"/>
    <w:bookmarkEnd w:id="9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right="120"/>
        <w:spacing w:after="0" w:line="263" w:lineRule="auto"/>
        <w:rPr>
          <w:sz w:val="20"/>
          <w:szCs w:val="20"/>
          <w:color w:val="auto"/>
        </w:rPr>
      </w:pPr>
      <w:r>
        <w:rPr>
          <w:rFonts w:ascii="Arial" w:cs="Arial" w:eastAsia="Arial" w:hAnsi="Arial"/>
          <w:sz w:val="19"/>
          <w:szCs w:val="19"/>
          <w:color w:val="auto"/>
        </w:rPr>
        <w:t>be recognized as we fulfill our obligations under arrangements, we perform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the performance obligation.</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Collaboration Revenue</w:t>
      </w:r>
    </w:p>
    <w:p>
      <w:pPr>
        <w:spacing w:after="0" w:line="124"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We signed the AbbVie Agreement to co-develop antibodies to two program targets in preclinical development. Under the terms of the AbbVie Agreement, AbbVie made $205.0 million in upfront payments, of which $5.0 million and $200.0 million was received by us in October 2017 and January 2018, respectively. We will perform research and development services for the antibodies in the two programs through the end of Phase 2 clinical trials. AbbVie will then have the exclusive right to exercise an option to enter into a license and collaboration agreement with us for one or both programs. If AbbVie exercises its option for a program, AbbVie will take over the development of the product candidates for such program and costs will be split between the parties. We will also share in profits and losses upon commercialization of any products from such program. However, following AbbVie’s exercise of its option for a program, we may opt out of sharing in development costs and profits or losses for that program and instead receive a tiered royalty. Additionally, under the terms of the AbbVie Agreement, if AbbVie exercises both of its options, and both programs meet all milestones, we are eligible to earn up to an additional $985.6 million in milestone payments and option-exercise fees. We assessed the AbbVie Agreement in accordance with ASC 606 and concluded that AbbVie is a customer.</w:t>
      </w:r>
    </w:p>
    <w:p>
      <w:pPr>
        <w:spacing w:after="0" w:line="190" w:lineRule="exact"/>
        <w:rPr>
          <w:sz w:val="20"/>
          <w:szCs w:val="20"/>
          <w:color w:val="auto"/>
        </w:rPr>
      </w:pPr>
    </w:p>
    <w:p>
      <w:pPr>
        <w:ind w:left="180" w:right="20" w:firstLine="465"/>
        <w:spacing w:after="0" w:line="270" w:lineRule="auto"/>
        <w:rPr>
          <w:sz w:val="20"/>
          <w:szCs w:val="20"/>
          <w:color w:val="auto"/>
        </w:rPr>
      </w:pPr>
      <w:r>
        <w:rPr>
          <w:rFonts w:ascii="Arial" w:cs="Arial" w:eastAsia="Arial" w:hAnsi="Arial"/>
          <w:sz w:val="18"/>
          <w:szCs w:val="18"/>
          <w:color w:val="auto"/>
        </w:rPr>
        <w:t>We have determined that there are two research and development performance obligations as part of the agreement with AbbVie, one research and development performance obligation for each of the two programs. The non-refundable upfront cash payment of $5.0 million and $200.0 million received in October 2017 and January 2018, respectively, was included in the transaction price. None of the remaining development and regulatory milestone and program opt-in payment amounts have been included in the transaction price, as all these amounts were fully constrained as of December 31, 2017. As part of our evaluation of the constraint, we considered numerous factors, including that receipt of the milestone amounts is outside of our control and contingent upon success in future clinical trials. Any consideration related to royalties on net product sales will be recognized when the related sales occur and therefore have also been excluded from the transaction price. We will re-evaluate the transaction price in each reporting period and as uncertain events are resolved or other changes in circumstances occur.</w:t>
      </w:r>
    </w:p>
    <w:p>
      <w:pPr>
        <w:spacing w:after="0" w:line="191" w:lineRule="exact"/>
        <w:rPr>
          <w:sz w:val="20"/>
          <w:szCs w:val="20"/>
          <w:color w:val="auto"/>
        </w:rPr>
      </w:pPr>
    </w:p>
    <w:p>
      <w:pPr>
        <w:ind w:left="180" w:right="20" w:firstLine="465"/>
        <w:spacing w:after="0" w:line="272" w:lineRule="auto"/>
        <w:rPr>
          <w:sz w:val="20"/>
          <w:szCs w:val="20"/>
          <w:color w:val="auto"/>
        </w:rPr>
      </w:pPr>
      <w:r>
        <w:rPr>
          <w:rFonts w:ascii="Arial" w:cs="Arial" w:eastAsia="Arial" w:hAnsi="Arial"/>
          <w:sz w:val="18"/>
          <w:szCs w:val="18"/>
          <w:color w:val="auto"/>
        </w:rPr>
        <w:t>We recognize collaboration revenue by measuring the progress toward complete satisfaction of the performance obligation using an input measure. In order to recognize revenue over the research and development period, we measure actual costs incurred to date compared to the overall total expected costs to satisfy the performance obligation. Revenues are recognized as the program costs are incurred. We will re-evaluate the estimate of expected costs to satisfy the performance obligation each reporting period and make adjustments for any significant changes. We recorded deferred revenue of $183.8 million as of September 30, 2018. The deferred revenue is expected to be recognized over the research and development period of the programs through the completion of Phase 2 clinical trials.</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Accrued Research and Development Expenses</w:t>
      </w:r>
    </w:p>
    <w:p>
      <w:pPr>
        <w:spacing w:after="0" w:line="124" w:lineRule="exact"/>
        <w:rPr>
          <w:sz w:val="20"/>
          <w:szCs w:val="20"/>
          <w:color w:val="auto"/>
        </w:rPr>
      </w:pPr>
    </w:p>
    <w:p>
      <w:pPr>
        <w:ind w:left="180" w:right="120" w:firstLine="465"/>
        <w:spacing w:after="0" w:line="291" w:lineRule="auto"/>
        <w:rPr>
          <w:sz w:val="20"/>
          <w:szCs w:val="20"/>
          <w:color w:val="auto"/>
        </w:rPr>
      </w:pPr>
      <w:r>
        <w:rPr>
          <w:rFonts w:ascii="Arial" w:cs="Arial" w:eastAsia="Arial" w:hAnsi="Arial"/>
          <w:sz w:val="17"/>
          <w:szCs w:val="17"/>
          <w:color w:val="auto"/>
        </w:rPr>
        <w:t>We record accrued expenses for estimated preclinical study and clinical trial expenses. Estimates are based on the services performed pursuant to contracts with research institutions, contract research organizations in connection with clinical studies, investigative sites in connection with clinical studies, vendors in connection with preclinical development activities, and contract manufacturing organizations in connection with the production of materials for clinical trials. Further, we accrue expenses related to clinical trials based on the level of patient enrollment and activity according to the related agreement. We monitor patient enrollment levels and related activity to the extent reasonably possible and make judgments and estimates in determining the accrued balance in each reporting period. If we underestimate or overestimate the level of services performed or the costs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83</w:t>
      </w:r>
    </w:p>
    <w:p>
      <w:pPr>
        <w:sectPr>
          <w:pgSz w:w="12240" w:h="15840" w:orient="portrait"/>
          <w:cols w:equalWidth="0" w:num="1">
            <w:col w:w="11800"/>
          </w:cols>
          <w:pgMar w:left="120" w:top="336" w:right="320" w:bottom="1440" w:gutter="0" w:footer="0" w:header="0"/>
        </w:sectPr>
      </w:pPr>
    </w:p>
    <w:bookmarkStart w:id="91" w:name="page92"/>
    <w:bookmarkEnd w:id="9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740"/>
        <w:spacing w:after="0" w:line="275" w:lineRule="auto"/>
        <w:rPr>
          <w:sz w:val="20"/>
          <w:szCs w:val="20"/>
          <w:color w:val="auto"/>
        </w:rPr>
      </w:pPr>
      <w:r>
        <w:rPr>
          <w:rFonts w:ascii="Arial" w:cs="Arial" w:eastAsia="Arial" w:hAnsi="Arial"/>
          <w:sz w:val="19"/>
          <w:szCs w:val="19"/>
          <w:color w:val="auto"/>
        </w:rPr>
        <w:t>of these services, our actual expenses could differ from our estimates. To date, we have not experienced significant changes in our estimates of preclinical studies and clinical trial accruals.</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Stock-based Compensation</w:t>
      </w:r>
    </w:p>
    <w:p>
      <w:pPr>
        <w:spacing w:after="0" w:line="124" w:lineRule="exact"/>
        <w:rPr>
          <w:sz w:val="20"/>
          <w:szCs w:val="20"/>
          <w:color w:val="auto"/>
        </w:rPr>
      </w:pPr>
    </w:p>
    <w:p>
      <w:pPr>
        <w:ind w:left="180" w:right="140" w:firstLine="465"/>
        <w:spacing w:after="0" w:line="263" w:lineRule="auto"/>
        <w:rPr>
          <w:sz w:val="20"/>
          <w:szCs w:val="20"/>
          <w:color w:val="auto"/>
        </w:rPr>
      </w:pPr>
      <w:r>
        <w:rPr>
          <w:rFonts w:ascii="Arial" w:cs="Arial" w:eastAsia="Arial" w:hAnsi="Arial"/>
          <w:sz w:val="19"/>
          <w:szCs w:val="19"/>
          <w:color w:val="auto"/>
        </w:rPr>
        <w:t>Stock-based compensation is measured at the date of grant, based on the estimated fair value of the award and recognized as an expense over the employee’s requisite service period (usually the vesting period) on a straight-line basis. We estimate the grant date fair value, and the resulting stock-based compensation, using the Black-Scholes option-pricing model.</w:t>
      </w:r>
    </w:p>
    <w:p>
      <w:pPr>
        <w:spacing w:after="0" w:line="194" w:lineRule="exact"/>
        <w:rPr>
          <w:sz w:val="20"/>
          <w:szCs w:val="20"/>
          <w:color w:val="auto"/>
        </w:rPr>
      </w:pPr>
    </w:p>
    <w:p>
      <w:pPr>
        <w:ind w:left="180" w:right="40" w:firstLine="465"/>
        <w:spacing w:after="0" w:line="298" w:lineRule="auto"/>
        <w:rPr>
          <w:sz w:val="20"/>
          <w:szCs w:val="20"/>
          <w:color w:val="auto"/>
        </w:rPr>
      </w:pPr>
      <w:r>
        <w:rPr>
          <w:rFonts w:ascii="Arial" w:cs="Arial" w:eastAsia="Arial" w:hAnsi="Arial"/>
          <w:sz w:val="17"/>
          <w:szCs w:val="17"/>
          <w:color w:val="auto"/>
        </w:rPr>
        <w:t>We account for stock-based compensation arrangements with non-employees using a fair value approach. The fair value of these options is measured using the Black-Scholes option-pricing model reflecting the same assumptions as applied to employee options in each of the reported periods, other than the expected life, which is assumed to be the remaining contractual life of the option. The compensation expense for these arrangements is subject to remeasurement over the vesting term as earned. We adjust for actual forfeitures as they occur for both employees and nonemployees.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recorded stock-based compensation of $2.0 million and $5.4 million for the years ended December 31, 2016 and 2017, respectively, and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$4.3 million and $4.3 million for the nine months ended September 30, 2017 and 2018, respectively. As of September 30, 2018, we had $9.4 million of</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unrecognized stock-based compensation related to unvested restricted common stock, which we expect to recognize over a weighted-average period of</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2.6 years, and $16.1 million of unrecognized stock-based compensation related to unvested stock options, which we expect to recognize over a</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9"/>
          <w:szCs w:val="19"/>
          <w:color w:val="auto"/>
        </w:rPr>
        <w:t>remaining weighted-average period of 3.7 years.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Black-Scholes option-pricing model requires the use of highly subjective assumptions which determine the fair value of stock-based awards.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These assumptions include:</w:t>
      </w:r>
    </w:p>
    <w:p>
      <w:pPr>
        <w:spacing w:after="0" w:line="111" w:lineRule="exact"/>
        <w:rPr>
          <w:sz w:val="20"/>
          <w:szCs w:val="20"/>
          <w:color w:val="auto"/>
        </w:rPr>
      </w:pPr>
    </w:p>
    <w:p>
      <w:pPr>
        <w:ind w:left="640"/>
        <w:spacing w:after="0" w:line="255" w:lineRule="auto"/>
        <w:rPr>
          <w:sz w:val="20"/>
          <w:szCs w:val="20"/>
          <w:color w:val="auto"/>
        </w:rPr>
      </w:pPr>
      <w:r>
        <w:rPr>
          <w:rFonts w:ascii="Arial" w:cs="Arial" w:eastAsia="Arial" w:hAnsi="Arial"/>
          <w:sz w:val="19"/>
          <w:szCs w:val="19"/>
          <w:i w:val="1"/>
          <w:iCs w:val="1"/>
          <w:color w:val="auto"/>
        </w:rPr>
        <w:t>Expected Term</w:t>
      </w:r>
      <w:r>
        <w:rPr>
          <w:rFonts w:ascii="Arial" w:cs="Arial" w:eastAsia="Arial" w:hAnsi="Arial"/>
          <w:sz w:val="19"/>
          <w:szCs w:val="19"/>
          <w:color w:val="auto"/>
        </w:rPr>
        <w:t>—The expected term represents the period that stock-based awards are expected to be outstanding. Our profit interest units did not</w:t>
      </w:r>
      <w:r>
        <w:rPr>
          <w:rFonts w:ascii="Arial" w:cs="Arial" w:eastAsia="Arial" w:hAnsi="Arial"/>
          <w:sz w:val="19"/>
          <w:szCs w:val="19"/>
          <w:i w:val="1"/>
          <w:iCs w:val="1"/>
          <w:color w:val="auto"/>
        </w:rPr>
        <w:t xml:space="preserve"> </w:t>
      </w:r>
      <w:r>
        <w:rPr>
          <w:rFonts w:ascii="Arial" w:cs="Arial" w:eastAsia="Arial" w:hAnsi="Arial"/>
          <w:sz w:val="19"/>
          <w:szCs w:val="19"/>
          <w:color w:val="auto"/>
        </w:rPr>
        <w:t>have a contractual term. However, we estimated a constructive maturity of the profit interest units based on the expected exit or liquidity scenarios for Alector. Our historical share option exercise is limited due to a lack of sufficient data points and did not provide a reasonable basis upon which to estimate an expected term. The expected term for stock options was derived by using the simplified method which uses the midpoint between the average vesting term and the contractual expiration period of the stock-based award. The expected term for options issued to nonemployees is the contractual term.</w:t>
      </w:r>
    </w:p>
    <w:p>
      <w:pPr>
        <w:spacing w:after="0" w:line="90" w:lineRule="exact"/>
        <w:rPr>
          <w:sz w:val="20"/>
          <w:szCs w:val="20"/>
          <w:color w:val="auto"/>
        </w:rPr>
      </w:pPr>
    </w:p>
    <w:p>
      <w:pPr>
        <w:ind w:left="640" w:right="20"/>
        <w:spacing w:after="0" w:line="336"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—We have limited information on the volatility of our stock as shares of our common stock are not actively traded on any</w:t>
      </w:r>
      <w:r>
        <w:rPr>
          <w:rFonts w:ascii="Arial" w:cs="Arial" w:eastAsia="Arial" w:hAnsi="Arial"/>
          <w:sz w:val="17"/>
          <w:szCs w:val="17"/>
          <w:i w:val="1"/>
          <w:iCs w:val="1"/>
          <w:color w:val="auto"/>
        </w:rPr>
        <w:t xml:space="preserve"> </w:t>
      </w:r>
      <w:r>
        <w:rPr>
          <w:rFonts w:ascii="Arial" w:cs="Arial" w:eastAsia="Arial" w:hAnsi="Arial"/>
          <w:sz w:val="17"/>
          <w:szCs w:val="17"/>
          <w:color w:val="auto"/>
        </w:rPr>
        <w:t>public markets. The expected volatility was derived from the historical stock volatilities of comparable peer public companies within our industry.</w:t>
      </w:r>
    </w:p>
    <w:p>
      <w:pPr>
        <w:spacing w:after="0" w:line="23" w:lineRule="exact"/>
        <w:rPr>
          <w:sz w:val="20"/>
          <w:szCs w:val="20"/>
          <w:color w:val="auto"/>
        </w:rPr>
      </w:pPr>
    </w:p>
    <w:p>
      <w:pPr>
        <w:ind w:left="640" w:right="340"/>
        <w:spacing w:after="0" w:line="275" w:lineRule="auto"/>
        <w:rPr>
          <w:sz w:val="20"/>
          <w:szCs w:val="20"/>
          <w:color w:val="auto"/>
        </w:rPr>
      </w:pPr>
      <w:r>
        <w:rPr>
          <w:rFonts w:ascii="Arial" w:cs="Arial" w:eastAsia="Arial" w:hAnsi="Arial"/>
          <w:sz w:val="19"/>
          <w:szCs w:val="19"/>
          <w:i w:val="1"/>
          <w:iCs w:val="1"/>
          <w:color w:val="auto"/>
        </w:rPr>
        <w:t>Risk-Free Interest Rate</w:t>
      </w:r>
      <w:r>
        <w:rPr>
          <w:rFonts w:ascii="Arial" w:cs="Arial" w:eastAsia="Arial" w:hAnsi="Arial"/>
          <w:sz w:val="19"/>
          <w:szCs w:val="19"/>
          <w:color w:val="auto"/>
        </w:rPr>
        <w:t>—The risk-free interest rate is based on the U.S. Treasury yield curve in effect at the measurement date with maturities</w:t>
      </w:r>
      <w:r>
        <w:rPr>
          <w:rFonts w:ascii="Arial" w:cs="Arial" w:eastAsia="Arial" w:hAnsi="Arial"/>
          <w:sz w:val="19"/>
          <w:szCs w:val="19"/>
          <w:i w:val="1"/>
          <w:iCs w:val="1"/>
          <w:color w:val="auto"/>
        </w:rPr>
        <w:t xml:space="preserve"> </w:t>
      </w:r>
      <w:r>
        <w:rPr>
          <w:rFonts w:ascii="Arial" w:cs="Arial" w:eastAsia="Arial" w:hAnsi="Arial"/>
          <w:sz w:val="19"/>
          <w:szCs w:val="19"/>
          <w:color w:val="auto"/>
        </w:rPr>
        <w:t>approximately equal to the expected term.</w:t>
      </w:r>
    </w:p>
    <w:p>
      <w:pPr>
        <w:spacing w:after="0" w:line="70" w:lineRule="exact"/>
        <w:rPr>
          <w:sz w:val="20"/>
          <w:szCs w:val="20"/>
          <w:color w:val="auto"/>
        </w:rPr>
      </w:pPr>
    </w:p>
    <w:p>
      <w:pPr>
        <w:ind w:left="640"/>
        <w:spacing w:after="0" w:line="275" w:lineRule="auto"/>
        <w:rPr>
          <w:sz w:val="20"/>
          <w:szCs w:val="20"/>
          <w:color w:val="auto"/>
        </w:rPr>
      </w:pPr>
      <w:r>
        <w:rPr>
          <w:rFonts w:ascii="Arial" w:cs="Arial" w:eastAsia="Arial" w:hAnsi="Arial"/>
          <w:sz w:val="19"/>
          <w:szCs w:val="19"/>
          <w:i w:val="1"/>
          <w:iCs w:val="1"/>
          <w:color w:val="auto"/>
        </w:rPr>
        <w:t>Expected Dividend</w:t>
      </w:r>
      <w:r>
        <w:rPr>
          <w:rFonts w:ascii="Arial" w:cs="Arial" w:eastAsia="Arial" w:hAnsi="Arial"/>
          <w:sz w:val="19"/>
          <w:szCs w:val="19"/>
          <w:color w:val="auto"/>
        </w:rPr>
        <w:t>—The expected dividend rate is zero because we have not historically paid and do not expect for the foreseeable future to pay a</w:t>
      </w:r>
      <w:r>
        <w:rPr>
          <w:rFonts w:ascii="Arial" w:cs="Arial" w:eastAsia="Arial" w:hAnsi="Arial"/>
          <w:sz w:val="19"/>
          <w:szCs w:val="19"/>
          <w:i w:val="1"/>
          <w:iCs w:val="1"/>
          <w:color w:val="auto"/>
        </w:rPr>
        <w:t xml:space="preserve"> </w:t>
      </w:r>
      <w:r>
        <w:rPr>
          <w:rFonts w:ascii="Arial" w:cs="Arial" w:eastAsia="Arial" w:hAnsi="Arial"/>
          <w:sz w:val="19"/>
          <w:szCs w:val="19"/>
          <w:color w:val="auto"/>
        </w:rPr>
        <w:t>dividend on our common stock.</w:t>
      </w:r>
    </w:p>
    <w:p>
      <w:pPr>
        <w:spacing w:after="0" w:line="184"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 xml:space="preserve">Prior to the Conversion of Alector LLC into Alector, Inc., Alector LLC had issued profit interest units to employees. The profit interest units had a “strike price” and are economically similar to a stock option with an exercise price. In the event of a distribution by Alector LLC, the proceeds distributed to the holder would be reduced by the strike price. The strike price was established pursuant to the terms of the Alector LLC operating agreement. For accounting purposes, we measured the fair value of the profit units based on valuations of our common stock prepared by an unrelated third-party valuation firm in accordance with the guidance provided by the American Institute of Certified Public Accountants Practice Guide, </w:t>
      </w:r>
      <w:r>
        <w:rPr>
          <w:rFonts w:ascii="Arial" w:cs="Arial" w:eastAsia="Arial" w:hAnsi="Arial"/>
          <w:sz w:val="17"/>
          <w:szCs w:val="17"/>
          <w:i w:val="1"/>
          <w:iCs w:val="1"/>
          <w:color w:val="auto"/>
        </w:rPr>
        <w:t>Valuation</w:t>
      </w:r>
      <w:r>
        <w:rPr>
          <w:rFonts w:ascii="Arial" w:cs="Arial" w:eastAsia="Arial" w:hAnsi="Arial"/>
          <w:sz w:val="17"/>
          <w:szCs w:val="17"/>
          <w:color w:val="auto"/>
        </w:rPr>
        <w:t xml:space="preserve"> </w:t>
      </w:r>
      <w:r>
        <w:rPr>
          <w:rFonts w:ascii="Arial" w:cs="Arial" w:eastAsia="Arial" w:hAnsi="Arial"/>
          <w:sz w:val="17"/>
          <w:szCs w:val="17"/>
          <w:i w:val="1"/>
          <w:iCs w:val="1"/>
          <w:color w:val="auto"/>
        </w:rPr>
        <w:t>of Privately-Held-Company Equity Securities Issued as Compensation</w:t>
      </w:r>
      <w:r>
        <w:rPr>
          <w:rFonts w:ascii="Arial" w:cs="Arial" w:eastAsia="Arial" w:hAnsi="Arial"/>
          <w:sz w:val="17"/>
          <w:szCs w:val="17"/>
          <w:color w:val="auto"/>
        </w:rPr>
        <w:t>, and the application of the Black-Scholes option-pricing model.</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84</w:t>
      </w:r>
    </w:p>
    <w:p>
      <w:pPr>
        <w:sectPr>
          <w:pgSz w:w="12240" w:h="15840" w:orient="portrait"/>
          <w:cols w:equalWidth="0" w:num="1">
            <w:col w:w="11780"/>
          </w:cols>
          <w:pgMar w:left="120" w:top="336" w:right="340" w:bottom="1440" w:gutter="0" w:footer="0" w:header="0"/>
        </w:sectPr>
      </w:pPr>
    </w:p>
    <w:bookmarkStart w:id="92" w:name="page93"/>
    <w:bookmarkEnd w:id="9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right="40" w:firstLine="465"/>
        <w:spacing w:after="0" w:line="263" w:lineRule="auto"/>
        <w:rPr>
          <w:sz w:val="20"/>
          <w:szCs w:val="20"/>
          <w:color w:val="auto"/>
        </w:rPr>
      </w:pPr>
      <w:r>
        <w:rPr>
          <w:rFonts w:ascii="Arial" w:cs="Arial" w:eastAsia="Arial" w:hAnsi="Arial"/>
          <w:sz w:val="19"/>
          <w:szCs w:val="19"/>
          <w:color w:val="auto"/>
        </w:rPr>
        <w:t>Our vested profit interest units converted on a net issuance basis into shares of common stock and the unvested profit interest units converted on a net issuance basis into restricted common stock. All vesting provisions remained the same following the Conversion. We continue to record stock-based compensation for the restricted stock over the vesting period based on the grant-date fair value.</w:t>
      </w:r>
    </w:p>
    <w:p>
      <w:pPr>
        <w:spacing w:after="0" w:line="194" w:lineRule="exact"/>
        <w:rPr>
          <w:sz w:val="20"/>
          <w:szCs w:val="20"/>
          <w:color w:val="auto"/>
        </w:rPr>
      </w:pPr>
    </w:p>
    <w:p>
      <w:pPr>
        <w:ind w:left="180" w:right="40" w:firstLine="465"/>
        <w:spacing w:after="0" w:line="298" w:lineRule="auto"/>
        <w:rPr>
          <w:sz w:val="20"/>
          <w:szCs w:val="20"/>
          <w:color w:val="auto"/>
        </w:rPr>
      </w:pPr>
      <w:r>
        <w:rPr>
          <w:rFonts w:ascii="Arial" w:cs="Arial" w:eastAsia="Arial" w:hAnsi="Arial"/>
          <w:sz w:val="17"/>
          <w:szCs w:val="17"/>
          <w:color w:val="auto"/>
        </w:rPr>
        <w:t xml:space="preserve">After the conversion, the fair values of the shares of common stock underlying our stock-based awards were estimated on each grant date by our board of directors. In order to determine the fair value of our common stock, our board of directors considered, among other things, contemporaneous valuations of our common stock prepared by an unrelated third-party valuation firm in accordance with the guidance provided by the American Institute of Certified Public Accountants Practice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w:t>
      </w:r>
    </w:p>
    <w:p>
      <w:pPr>
        <w:spacing w:after="0" w:line="170" w:lineRule="exact"/>
        <w:rPr>
          <w:sz w:val="20"/>
          <w:szCs w:val="20"/>
          <w:color w:val="auto"/>
        </w:rPr>
      </w:pPr>
    </w:p>
    <w:p>
      <w:pPr>
        <w:ind w:left="180" w:right="80" w:firstLine="465"/>
        <w:spacing w:after="0" w:line="271" w:lineRule="auto"/>
        <w:rPr>
          <w:sz w:val="20"/>
          <w:szCs w:val="20"/>
          <w:color w:val="auto"/>
        </w:rPr>
      </w:pPr>
      <w:r>
        <w:rPr>
          <w:rFonts w:ascii="Arial" w:cs="Arial" w:eastAsia="Arial" w:hAnsi="Arial"/>
          <w:sz w:val="18"/>
          <w:szCs w:val="18"/>
          <w:color w:val="auto"/>
        </w:rPr>
        <w:t>For our valuations performed prior to December 31, 2017, we used the OPM backsolve method. In an option pricing method (OPM) framework, the backsolve method for inferring the equity value implied by a recent financing transaction involves making assumptions for the expected time to liquidity, volatility, and risk-free rate and then solving for the value of equity such that value for the most recent financing equals the amount paid. This method was selected as management concluded that the contemporaneous financing transaction was an arm’s-length transaction. We performed a valuation contemporaneously with the issuance of our Series D preferred units in December 2015. We also performed a valuation contemporaneously with our Conversion in October 2017 based on term sheets for an anticipated Series E preferred stock financing. As of these valuation dates, we were at an early stage of development and future liquidity events were difficult to forecast.</w:t>
      </w:r>
    </w:p>
    <w:p>
      <w:pPr>
        <w:spacing w:after="0" w:line="189" w:lineRule="exact"/>
        <w:rPr>
          <w:sz w:val="20"/>
          <w:szCs w:val="20"/>
          <w:color w:val="auto"/>
        </w:rPr>
      </w:pPr>
    </w:p>
    <w:p>
      <w:pPr>
        <w:ind w:left="180" w:firstLine="465"/>
        <w:spacing w:after="0" w:line="274" w:lineRule="auto"/>
        <w:rPr>
          <w:sz w:val="20"/>
          <w:szCs w:val="20"/>
          <w:color w:val="auto"/>
        </w:rPr>
      </w:pPr>
      <w:r>
        <w:rPr>
          <w:rFonts w:ascii="Arial" w:cs="Arial" w:eastAsia="Arial" w:hAnsi="Arial"/>
          <w:sz w:val="18"/>
          <w:szCs w:val="18"/>
          <w:color w:val="auto"/>
        </w:rPr>
        <w:t>For our valuations performed starting April 2018, equity value was allocated using the OPM and the Probability Weighted Expected Return Method (PWERM) or the hybrid method. The hybrid method applied the PWERM utilizing the probability of going public and the OPM was utilized in the remaining private scenario. The hybrid method was used commencing April 2018, because of a near-term potential IPO scenario that also factored in the inherent uncertainty associated with being able to complete an IPO. We performed valuations contemporaneously with the April 2018 and July 2018 issuances of our Series E preferred stock. We also performed a valuation as of September 30, 2018.</w:t>
      </w:r>
    </w:p>
    <w:p>
      <w:pPr>
        <w:spacing w:after="0" w:line="188" w:lineRule="exact"/>
        <w:rPr>
          <w:sz w:val="20"/>
          <w:szCs w:val="20"/>
          <w:color w:val="auto"/>
        </w:rPr>
      </w:pPr>
    </w:p>
    <w:p>
      <w:pPr>
        <w:ind w:left="180" w:right="300" w:firstLine="465"/>
        <w:spacing w:after="0" w:line="298" w:lineRule="auto"/>
        <w:rPr>
          <w:sz w:val="20"/>
          <w:szCs w:val="20"/>
          <w:color w:val="auto"/>
        </w:rPr>
      </w:pPr>
      <w:r>
        <w:rPr>
          <w:rFonts w:ascii="Arial" w:cs="Arial" w:eastAsia="Arial" w:hAnsi="Arial"/>
          <w:sz w:val="17"/>
          <w:szCs w:val="17"/>
          <w:color w:val="auto"/>
        </w:rPr>
        <w:t>Given the absence of a public trading market for our common stock, our board of directors exercised reasonable judgment and considered a number of objective and subjective factors to determine the best estimate of the fair value of our common stock, including our stage of development, progress of our research and development efforts, the rights, preferences and privileges of our convertible preferred stock relative to those of our common stock, equity market conditions affecting comparable public companies, and the lack of marketability of our common stock.</w:t>
      </w:r>
    </w:p>
    <w:p>
      <w:pPr>
        <w:spacing w:after="0" w:line="170" w:lineRule="exact"/>
        <w:rPr>
          <w:sz w:val="20"/>
          <w:szCs w:val="20"/>
          <w:color w:val="auto"/>
        </w:rPr>
      </w:pPr>
    </w:p>
    <w:p>
      <w:pPr>
        <w:jc w:val="both"/>
        <w:ind w:left="180" w:right="60" w:firstLine="465"/>
        <w:spacing w:after="0" w:line="275" w:lineRule="auto"/>
        <w:rPr>
          <w:sz w:val="20"/>
          <w:szCs w:val="20"/>
          <w:color w:val="auto"/>
        </w:rPr>
      </w:pPr>
      <w:r>
        <w:rPr>
          <w:rFonts w:ascii="Arial" w:cs="Arial" w:eastAsia="Arial" w:hAnsi="Arial"/>
          <w:sz w:val="19"/>
          <w:szCs w:val="19"/>
          <w:color w:val="auto"/>
        </w:rPr>
        <w:t>For valuations after the completion of this offering, our board of directors will determine the fair value of each share of underlying common stock based on the closing price of our common stock as reported on the date of grant.</w:t>
      </w:r>
    </w:p>
    <w:p>
      <w:pPr>
        <w:spacing w:after="0" w:line="184" w:lineRule="exact"/>
        <w:rPr>
          <w:sz w:val="20"/>
          <w:szCs w:val="20"/>
          <w:color w:val="auto"/>
        </w:rPr>
      </w:pPr>
    </w:p>
    <w:p>
      <w:pPr>
        <w:jc w:val="both"/>
        <w:ind w:left="180" w:right="80" w:firstLine="465"/>
        <w:spacing w:after="0" w:line="308" w:lineRule="auto"/>
        <w:rPr>
          <w:sz w:val="20"/>
          <w:szCs w:val="20"/>
          <w:color w:val="auto"/>
        </w:rPr>
      </w:pPr>
      <w:r>
        <w:rPr>
          <w:rFonts w:ascii="Arial" w:cs="Arial" w:eastAsia="Arial" w:hAnsi="Arial"/>
          <w:sz w:val="17"/>
          <w:szCs w:val="17"/>
          <w:color w:val="auto"/>
        </w:rPr>
        <w:t>The intrinsic value of stock options and restricted common stock outstanding as of September 30, 2018, was $74.2 million based on the estimated fair value of our common stock of $19.00 per share, the midpoint of the price range set forth on the cover page of this prospectus, of which $1.3 million related to vested stock options, $31.8 million related to unvested stock options and $41.1 million related to restricted common stock.</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Quantitative and Qualitative Disclosures about Market Risk</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Interest Rate Risk</w:t>
      </w:r>
    </w:p>
    <w:p>
      <w:pPr>
        <w:spacing w:after="0" w:line="124" w:lineRule="exact"/>
        <w:rPr>
          <w:sz w:val="20"/>
          <w:szCs w:val="20"/>
          <w:color w:val="auto"/>
        </w:rPr>
      </w:pPr>
    </w:p>
    <w:p>
      <w:pPr>
        <w:ind w:left="180" w:right="320" w:firstLine="465"/>
        <w:spacing w:after="0" w:line="259" w:lineRule="auto"/>
        <w:rPr>
          <w:sz w:val="20"/>
          <w:szCs w:val="20"/>
          <w:color w:val="auto"/>
        </w:rPr>
      </w:pPr>
      <w:r>
        <w:rPr>
          <w:rFonts w:ascii="Arial" w:cs="Arial" w:eastAsia="Arial" w:hAnsi="Arial"/>
          <w:sz w:val="19"/>
          <w:szCs w:val="19"/>
          <w:color w:val="auto"/>
        </w:rPr>
        <w:t>We are exposed to market risks in the ordinary course of our business. These risks primarily include interest rate sensitivities. The primary objective of our investment activities is to preserve capital to fund our operations. We also seek to maximize income from our investments without assuming significant risk. To achieve our objectives, we maintain a portfolio of investments in a variety of securities of high credit quality and short-term duration, invested in compliance with our policy.</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85</w:t>
      </w:r>
    </w:p>
    <w:p>
      <w:pPr>
        <w:sectPr>
          <w:pgSz w:w="12240" w:h="15840" w:orient="portrait"/>
          <w:cols w:equalWidth="0" w:num="1">
            <w:col w:w="11800"/>
          </w:cols>
          <w:pgMar w:left="120" w:top="336" w:right="320" w:bottom="1440" w:gutter="0" w:footer="0" w:header="0"/>
        </w:sectPr>
      </w:pPr>
    </w:p>
    <w:bookmarkStart w:id="93" w:name="page94"/>
    <w:bookmarkEnd w:id="9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right="20" w:firstLine="465"/>
        <w:spacing w:after="0" w:line="294" w:lineRule="auto"/>
        <w:rPr>
          <w:sz w:val="20"/>
          <w:szCs w:val="20"/>
          <w:color w:val="auto"/>
        </w:rPr>
      </w:pPr>
      <w:r>
        <w:rPr>
          <w:rFonts w:ascii="Arial" w:cs="Arial" w:eastAsia="Arial" w:hAnsi="Arial"/>
          <w:sz w:val="17"/>
          <w:szCs w:val="17"/>
          <w:color w:val="auto"/>
        </w:rPr>
        <w:t>We had cash, cash equivalents, and marketable securities of $32.5 million and $308.7 million as of December 31, 2017 and September 30, 2018, respectively, which consisted primarily of bank deposits, money market funds, and short-term government marketable securities. Such interest-earning instruments carry a degree of interest rate risk; however, historical fluctuations in interest income have not been significant for us. Due to the short-term maturities of our cash equivalents and marketable securities, and the low risk profile of our marketable securities, an immediate 100 basis point change in interest rates would not have a material effect on the fair market value of our cash equivalents and marketable securities.</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Foreign Currency Risk</w:t>
      </w:r>
    </w:p>
    <w:p>
      <w:pPr>
        <w:spacing w:after="0" w:line="124"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color w:val="auto"/>
        </w:rPr>
        <w:t>Our expenses are generally denominated in U.S. dollars. However, we have entered into a limited number of contracts with vendors for research and development services with payments denominated in foreign currencies, including the Euro.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 foreign currency. A 10% increase or decrease in current exchange rates would not have a material effect on our financial results.</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JOBS Act</w:t>
      </w:r>
    </w:p>
    <w:p>
      <w:pPr>
        <w:spacing w:after="0" w:line="130" w:lineRule="exact"/>
        <w:rPr>
          <w:sz w:val="20"/>
          <w:szCs w:val="20"/>
          <w:color w:val="auto"/>
        </w:rPr>
      </w:pPr>
    </w:p>
    <w:p>
      <w:pPr>
        <w:ind w:left="180" w:right="80" w:firstLine="465"/>
        <w:spacing w:after="0" w:line="277"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may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remain an emerging growth company until the earliest of (i) the last day of our first fiscal year in which we have total annual gross</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revenues of $1.07 billion or more, (ii) the date on which we are deemed to be a “large accelerated filer” under the rules of the SEC with at least</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$700.0 million of outstanding equity securities held by non-affiliates, (iii) the date on which we have issued more than $1.0 billion in non-convertible</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debt securities during the previous three years, or (iv) the last day of our fiscal year following the fifth anniversary of the date of the completion of this</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offering.</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Recent Accounting Pronouncements</w:t>
      </w:r>
    </w:p>
    <w:p>
      <w:pPr>
        <w:spacing w:after="0" w:line="130" w:lineRule="exact"/>
        <w:rPr>
          <w:sz w:val="20"/>
          <w:szCs w:val="20"/>
          <w:color w:val="auto"/>
        </w:rPr>
      </w:pPr>
    </w:p>
    <w:p>
      <w:pPr>
        <w:ind w:left="180" w:firstLine="465"/>
        <w:spacing w:after="0" w:line="285" w:lineRule="auto"/>
        <w:rPr>
          <w:sz w:val="20"/>
          <w:szCs w:val="20"/>
          <w:color w:val="auto"/>
        </w:rPr>
      </w:pPr>
      <w:r>
        <w:rPr>
          <w:rFonts w:ascii="Arial" w:cs="Arial" w:eastAsia="Arial" w:hAnsi="Arial"/>
          <w:sz w:val="17"/>
          <w:szCs w:val="17"/>
          <w:color w:val="auto"/>
        </w:rPr>
        <w:t xml:space="preserve">In February 2016, the FASB issued Accounting Standards Update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similar to existing guidance for operating leases. We have adopted ASU 2016-02 effective January 1, 2019. In July 2018, the FASB issued ASU No. 2018-11,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Targeted Improvements </w:t>
      </w:r>
      <w:r>
        <w:rPr>
          <w:rFonts w:ascii="Arial" w:cs="Arial" w:eastAsia="Arial" w:hAnsi="Arial"/>
          <w:sz w:val="17"/>
          <w:szCs w:val="17"/>
          <w:color w:val="auto"/>
        </w:rPr>
        <w:t>(ASU 2018-11). In issuing ASU 2018-11, the FASB is permitting another transition method for ASU 2016-02, which allows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transition to the new lease standard by recognizing a cumulative-effect adjustment to the opening balance of retained earnings in the period of adoption. We are currently in the process of evaluating the impact the adoption of this new standard on our financial statements and related disclosures. We expect that the adoption of this standard will result in the recognition of a right-of-use asset for leased facilities and recognition of a liability for the lease payments remaining on the lease. These changes will be reflected on the consolidated balance sheets. We do not expect a material change to the consolidated statement of operations and comprehensive loss or cash flows.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86</w:t>
      </w:r>
    </w:p>
    <w:p>
      <w:pPr>
        <w:sectPr>
          <w:pgSz w:w="12240" w:h="15840" w:orient="portrait"/>
          <w:cols w:equalWidth="0" w:num="1">
            <w:col w:w="11760"/>
          </w:cols>
          <w:pgMar w:left="120" w:top="336" w:right="360" w:bottom="1440" w:gutter="0" w:footer="0" w:header="0"/>
        </w:sectPr>
      </w:pPr>
    </w:p>
    <w:bookmarkStart w:id="94" w:name="page95"/>
    <w:bookmarkEnd w:id="9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94"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xml:space="preserve"> (ASU 2018-07). The new standard simplifies the accounting for share-based payments to nonemployees by aligning it with the accounting for share-based payments to employees, with certain exceptions. The new standard is effective for public companies for fiscal years beginning after December 15, 2018, including interim periods within that fiscal year. Early adoption is permitted, but no earlier than a company’s adoption date of ASC 606. We early adopted ASU 2018-07 effective July 1, 2018. The early adoption of this new standard did not have a material impact on our consolidated financial statements.</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87</w:t>
      </w:r>
    </w:p>
    <w:p>
      <w:pPr>
        <w:sectPr>
          <w:pgSz w:w="12240" w:h="15840" w:orient="portrait"/>
          <w:cols w:equalWidth="0" w:num="1">
            <w:col w:w="11820"/>
          </w:cols>
          <w:pgMar w:left="120" w:top="336" w:right="300" w:bottom="1440" w:gutter="0" w:footer="0" w:header="0"/>
        </w:sectPr>
      </w:pPr>
    </w:p>
    <w:bookmarkStart w:id="95" w:name="page96"/>
    <w:bookmarkEnd w:id="9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217805</wp:posOffset>
            </wp:positionV>
            <wp:extent cx="606425" cy="7334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6425" cy="733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 LETTER FROM ARNON</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Prospective Alector co-owner,</w:t>
      </w:r>
    </w:p>
    <w:p>
      <w:pPr>
        <w:spacing w:after="0" w:line="238" w:lineRule="exact"/>
        <w:rPr>
          <w:sz w:val="20"/>
          <w:szCs w:val="20"/>
          <w:color w:val="auto"/>
        </w:rPr>
      </w:pPr>
    </w:p>
    <w:p>
      <w:pPr>
        <w:ind w:left="180" w:right="440" w:firstLine="465"/>
        <w:spacing w:after="0" w:line="284" w:lineRule="auto"/>
        <w:rPr>
          <w:sz w:val="20"/>
          <w:szCs w:val="20"/>
          <w:color w:val="auto"/>
        </w:rPr>
      </w:pPr>
      <w:r>
        <w:rPr>
          <w:rFonts w:ascii="Arial" w:cs="Arial" w:eastAsia="Arial" w:hAnsi="Arial"/>
          <w:sz w:val="18"/>
          <w:szCs w:val="18"/>
          <w:color w:val="auto"/>
        </w:rPr>
        <w:t>At Alector, we do not view diseases of aging as immutable facts. We are on a mission to slow down their progression and prevent their occurrence. We envision a world where each individual retains his or her full brain function and cognitive faculties throughout life—a world where dementia and neurodegeneration are illnesses of the past just as smallpox, diphtheria, rubella, and polio have become.</w:t>
      </w:r>
    </w:p>
    <w:p>
      <w:pPr>
        <w:spacing w:after="0" w:line="177" w:lineRule="exact"/>
        <w:rPr>
          <w:sz w:val="20"/>
          <w:szCs w:val="20"/>
          <w:color w:val="auto"/>
        </w:rPr>
      </w:pPr>
    </w:p>
    <w:p>
      <w:pPr>
        <w:ind w:left="180" w:right="180" w:firstLine="465"/>
        <w:spacing w:after="0" w:line="278" w:lineRule="auto"/>
        <w:rPr>
          <w:sz w:val="20"/>
          <w:szCs w:val="20"/>
          <w:color w:val="auto"/>
        </w:rPr>
      </w:pPr>
      <w:r>
        <w:rPr>
          <w:rFonts w:ascii="Arial" w:cs="Arial" w:eastAsia="Arial" w:hAnsi="Arial"/>
          <w:sz w:val="18"/>
          <w:szCs w:val="18"/>
          <w:color w:val="auto"/>
        </w:rPr>
        <w:t>Since the early 20</w:t>
      </w:r>
      <w:r>
        <w:rPr>
          <w:rFonts w:ascii="Arial" w:cs="Arial" w:eastAsia="Arial" w:hAnsi="Arial"/>
          <w:sz w:val="15"/>
          <w:szCs w:val="15"/>
          <w:color w:val="auto"/>
        </w:rPr>
        <w:t>th</w:t>
      </w:r>
      <w:r>
        <w:rPr>
          <w:rFonts w:ascii="Arial" w:cs="Arial" w:eastAsia="Arial" w:hAnsi="Arial"/>
          <w:sz w:val="18"/>
          <w:szCs w:val="18"/>
          <w:color w:val="auto"/>
        </w:rPr>
        <w:t xml:space="preserve"> century, the root cause of neurodegeneration has been considered to be misfolded proteins such as amyloid-beta plaques and TAU tangles in Alzheimer’s disease, alpha-synuclein in Parkinson’s disease and TDP-43 in FTD and amyotrophic lateral sclerosis (ALS). Other pathologies that typify neurodegeneration, including the dysfunction and destruction of neuronal connections, the accelerated death of nerve cells, and the dysfunction of the brain support cells, were thought to be consequences of these misfolded proteins.</w:t>
      </w:r>
    </w:p>
    <w:p>
      <w:pPr>
        <w:spacing w:after="0" w:line="183" w:lineRule="exact"/>
        <w:rPr>
          <w:sz w:val="20"/>
          <w:szCs w:val="20"/>
          <w:color w:val="auto"/>
        </w:rPr>
      </w:pPr>
    </w:p>
    <w:p>
      <w:pPr>
        <w:ind w:left="180" w:firstLine="465"/>
        <w:spacing w:after="0" w:line="274" w:lineRule="auto"/>
        <w:rPr>
          <w:sz w:val="20"/>
          <w:szCs w:val="20"/>
          <w:color w:val="auto"/>
        </w:rPr>
      </w:pPr>
      <w:r>
        <w:rPr>
          <w:rFonts w:ascii="Arial" w:cs="Arial" w:eastAsia="Arial" w:hAnsi="Arial"/>
          <w:sz w:val="18"/>
          <w:szCs w:val="18"/>
          <w:color w:val="auto"/>
        </w:rPr>
        <w:t>Since our founding five years ago, we have challenged this widely held belief. We made the case that multiple pathologies that typify neurodegeneration become autonomous of the misfolded proteins and of each other at early disease stages, and that for therapeutic purposes, these pathologies should be viewed as independent causes of the disorder. With this understanding, we searched for an underlying biological process that these pathologies share. Discoveries on the genetic underpinning of neurodegeneration and on the functions of the brain immune system led us to conclude that these parallel pathologies are primarily caused by a dysfunctional brain immune system.</w:t>
      </w:r>
    </w:p>
    <w:p>
      <w:pPr>
        <w:spacing w:after="0" w:line="188" w:lineRule="exact"/>
        <w:rPr>
          <w:sz w:val="20"/>
          <w:szCs w:val="20"/>
          <w:color w:val="auto"/>
        </w:rPr>
      </w:pPr>
    </w:p>
    <w:p>
      <w:pPr>
        <w:ind w:left="180" w:right="40" w:firstLine="465"/>
        <w:spacing w:after="0" w:line="277" w:lineRule="auto"/>
        <w:rPr>
          <w:sz w:val="20"/>
          <w:szCs w:val="20"/>
          <w:color w:val="auto"/>
        </w:rPr>
      </w:pPr>
      <w:r>
        <w:rPr>
          <w:rFonts w:ascii="Arial" w:cs="Arial" w:eastAsia="Arial" w:hAnsi="Arial"/>
          <w:sz w:val="18"/>
          <w:szCs w:val="18"/>
          <w:color w:val="auto"/>
        </w:rPr>
        <w:t>The specific scientific advances that enabled our conclusion were: (1) the identification of harmful genetic mutations that increase the risk of developing Alzheimer’s disease; (2) the revelation that the majority of these mutations are in proteins that regulate the brain immune system; and (3) the findings that the immune cells in the brain are responsible for a myriad of functions, which include compacting and disposing of misfolded proteins, the regulation of neuronal connections, and the survival and function of the brain’s support cells and neurons.</w:t>
      </w:r>
    </w:p>
    <w:p>
      <w:pPr>
        <w:spacing w:after="0" w:line="185"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Since most neurodegenerative diseases are diseases of aging, we postulated that the brain immune cells lose their competence with time and are no longer able to support normal brain function or to repair avoidable brain pathologies. In futile attempts to act, the senescing immune cells may further exacerbate the disease by secreting toxic immune mediators and by indiscriminate scavenging.</w:t>
      </w:r>
    </w:p>
    <w:p>
      <w:pPr>
        <w:spacing w:after="0" w:line="194" w:lineRule="exact"/>
        <w:rPr>
          <w:sz w:val="20"/>
          <w:szCs w:val="20"/>
          <w:color w:val="auto"/>
        </w:rPr>
      </w:pPr>
    </w:p>
    <w:p>
      <w:pPr>
        <w:ind w:left="180" w:right="240" w:firstLine="465"/>
        <w:spacing w:after="0" w:line="263" w:lineRule="auto"/>
        <w:rPr>
          <w:sz w:val="20"/>
          <w:szCs w:val="20"/>
          <w:color w:val="auto"/>
        </w:rPr>
      </w:pPr>
      <w:r>
        <w:rPr>
          <w:rFonts w:ascii="Arial" w:cs="Arial" w:eastAsia="Arial" w:hAnsi="Arial"/>
          <w:sz w:val="19"/>
          <w:szCs w:val="19"/>
          <w:color w:val="auto"/>
        </w:rPr>
        <w:t>With this understanding, we devoted the last five years to the development of novel therapeutics that harness the brain’s immune system to treat neurodegeneration. We have advanced two of our product candidates into clinical trials and plan to test the impact of a total of four of our product candidates in patients suffering from Alzheimer’s disease and FTD in 2019.</w:t>
      </w:r>
    </w:p>
    <w:p>
      <w:pPr>
        <w:spacing w:after="0" w:line="194" w:lineRule="exact"/>
        <w:rPr>
          <w:sz w:val="20"/>
          <w:szCs w:val="20"/>
          <w:color w:val="auto"/>
        </w:rPr>
      </w:pPr>
    </w:p>
    <w:p>
      <w:pPr>
        <w:ind w:left="180" w:right="80" w:firstLine="465"/>
        <w:spacing w:after="0" w:line="255" w:lineRule="auto"/>
        <w:rPr>
          <w:sz w:val="20"/>
          <w:szCs w:val="20"/>
          <w:color w:val="auto"/>
        </w:rPr>
      </w:pPr>
      <w:r>
        <w:rPr>
          <w:rFonts w:ascii="Arial" w:cs="Arial" w:eastAsia="Arial" w:hAnsi="Arial"/>
          <w:sz w:val="19"/>
          <w:szCs w:val="19"/>
          <w:color w:val="auto"/>
        </w:rPr>
        <w:t>I have invested much of my 35 years in the biotech industry into building teams that develop innovative therapeutics in neuroscience. During my 16 years with Genentech, I built a team that discovered multiple neuronal survival factors and receptors in order to prevent degenerative nerve cell death. As the Founder, President, and Chief Science Officer of Rinat Neuroscience, my team and I discovered clinical antibodies designed to target misfolded proteins. As a Co-Founder and the former Chief Executive Officer of Annexon Biosciences, my team and I developed clinical antibodies that prevent destruction of neuronal connections. I am a named inventor on over 350 issued patents and patent applications and am an author on over 100 peer reviewed</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88</w:t>
      </w:r>
    </w:p>
    <w:p>
      <w:pPr>
        <w:sectPr>
          <w:pgSz w:w="12240" w:h="15840" w:orient="portrait"/>
          <w:cols w:equalWidth="0" w:num="1">
            <w:col w:w="11820"/>
          </w:cols>
          <w:pgMar w:left="120" w:top="336" w:right="300" w:bottom="1440" w:gutter="0" w:footer="0" w:header="0"/>
        </w:sectPr>
      </w:pPr>
    </w:p>
    <w:bookmarkStart w:id="96" w:name="page97"/>
    <w:bookmarkEnd w:id="9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80"/>
        <w:spacing w:after="0" w:line="308" w:lineRule="auto"/>
        <w:rPr>
          <w:sz w:val="20"/>
          <w:szCs w:val="20"/>
          <w:color w:val="auto"/>
        </w:rPr>
      </w:pPr>
      <w:r>
        <w:rPr>
          <w:rFonts w:ascii="Arial" w:cs="Arial" w:eastAsia="Arial" w:hAnsi="Arial"/>
          <w:sz w:val="17"/>
          <w:szCs w:val="17"/>
          <w:color w:val="auto"/>
        </w:rPr>
        <w:t>publications. My teams and I discovered the target for the approved cancer drug, Erivedge, and were responsible for the development of the non-addictive antibody pain drug candidate, tanezumab, and the approved migraine antibody drug, AJOVY. Our work at Alector is based upon our understanding of the basic biology of degenerative brain disorders and how to translate this understanding into effective therapeutics.</w:t>
      </w:r>
    </w:p>
    <w:p>
      <w:pPr>
        <w:spacing w:after="0" w:line="160"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The World Health Organization estimates that up to 1 billion people are affected by neurological disorders. There are currently over 50 million people with neurodegeneration worldwide, with over 10 million new cases each year. The Alzheimer’s Association projected that the cumulative total cost of Medicare and Medicaid for individuals living with Alzheimer’s disease will total $750 billion by 2050 in the United States alone, an increase of over 300% from projected 2018 spending levels.</w:t>
      </w:r>
    </w:p>
    <w:p>
      <w:pPr>
        <w:spacing w:after="0" w:line="198" w:lineRule="exact"/>
        <w:rPr>
          <w:sz w:val="20"/>
          <w:szCs w:val="20"/>
          <w:color w:val="auto"/>
        </w:rPr>
      </w:pPr>
    </w:p>
    <w:p>
      <w:pPr>
        <w:jc w:val="both"/>
        <w:ind w:left="180" w:right="460" w:firstLine="465"/>
        <w:spacing w:after="0" w:line="263" w:lineRule="auto"/>
        <w:rPr>
          <w:sz w:val="20"/>
          <w:szCs w:val="20"/>
          <w:color w:val="auto"/>
        </w:rPr>
      </w:pPr>
      <w:r>
        <w:rPr>
          <w:rFonts w:ascii="Arial" w:cs="Arial" w:eastAsia="Arial" w:hAnsi="Arial"/>
          <w:sz w:val="19"/>
          <w:szCs w:val="19"/>
          <w:color w:val="auto"/>
        </w:rPr>
        <w:t>Degenerative brain disorders are among the last medical frontiers that have yet to be conquered. If we are successful in our mission to treat neurodegeneration, Alector will have a profound social and economic impact on humanity. We invite you to join us and become a partner in this meaningful venture.</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Best Regards,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Arnon Rosenthal, Ph.D.</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Co-Founder and Chief Executive Officer</w:t>
      </w:r>
    </w:p>
    <w:p>
      <w:pPr>
        <w:spacing w:after="0" w:line="153"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89</w:t>
      </w:r>
    </w:p>
    <w:p>
      <w:pPr>
        <w:sectPr>
          <w:pgSz w:w="12240" w:h="15840" w:orient="portrait"/>
          <w:cols w:equalWidth="0" w:num="1">
            <w:col w:w="11680"/>
          </w:cols>
          <w:pgMar w:left="120" w:top="337" w:right="440" w:bottom="1440" w:gutter="0" w:footer="0" w:header="0"/>
        </w:sectPr>
      </w:pPr>
    </w:p>
    <w:bookmarkStart w:id="97" w:name="page98"/>
    <w:bookmarkEnd w:id="9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BUSINESS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Overview</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Our mission is to develop therapies that empower the immune system to cure neurodegeneration.</w:t>
      </w:r>
    </w:p>
    <w:p>
      <w:pPr>
        <w:spacing w:after="0" w:line="124" w:lineRule="exact"/>
        <w:rPr>
          <w:sz w:val="20"/>
          <w:szCs w:val="20"/>
          <w:color w:val="auto"/>
        </w:rPr>
      </w:pPr>
    </w:p>
    <w:p>
      <w:pPr>
        <w:ind w:left="180" w:right="80" w:firstLine="465"/>
        <w:spacing w:after="0" w:line="284" w:lineRule="auto"/>
        <w:rPr>
          <w:sz w:val="20"/>
          <w:szCs w:val="20"/>
          <w:color w:val="auto"/>
        </w:rPr>
      </w:pPr>
      <w:r>
        <w:rPr>
          <w:rFonts w:ascii="Arial" w:cs="Arial" w:eastAsia="Arial" w:hAnsi="Arial"/>
          <w:sz w:val="17"/>
          <w:szCs w:val="17"/>
          <w:color w:val="auto"/>
        </w:rPr>
        <w:t>We are a clinical stage biopharmaceutical company pioneering immuno-neurology, a novel therapeutic approach for the treatment of neurodegeneration. Immuno-neurology targets immune dysfunction as a root cause of multiple pathologies that are drivers of degenerative brain disorders. We are developing therapies designed to simultaneously counteract these pathologies by restoring healthy immune function to the brain. Supporting our scientific approach, our Discovery Platform enables us to advance a broad portfolio of product candidates, validated by human genetics, which we believe will improve the probability of technical success over shorter development timelines. As a result, in the last five years, we have identified over forty immune system targets, progressed over ten programs into preclinical research, and advanced two product candidates, AL001 and AL002, into clinical development. As of January 25, 2019, AL001, initially aimed at treating FTD-GRN patients, was dosed in 44 healthy subjects in a single ascending dose Phase 1 study. There were no drug-related serious adverse events or dose limiting adverse events reported in the study, achieving the primary endpoint. Moreover, statistically significant increases in plasma and cerebrospinal fluid (CSF) PGRN levels relative to baseline were also observed, successfully demonstrating proof-of-mechanism for AL001 in the central nervous systems of healthy volunteers. We plan to advance AL001 into a Phase 1b study with proof-of-mechanism data in FTD-GRN patients expected in the first half of 2019 and into a Phase 2 study with proof-of-concept data in FTD-GRN patients expected in the first half of 2020. In the second half of 2018, we also initiated a dose escalation Phase 1 study in healthy volunteers with AL002, a product candidate for Alzheimer’s disease. In addition, we expect to initiate Phase 1 studies of AL003, a product candidate for Alzheimer’s disease, and AL101, a product candidate for multiple neurodegenerative disorders, in 2019.</w:t>
      </w:r>
    </w:p>
    <w:p>
      <w:pPr>
        <w:spacing w:after="0" w:line="184" w:lineRule="exact"/>
        <w:rPr>
          <w:sz w:val="20"/>
          <w:szCs w:val="20"/>
          <w:color w:val="auto"/>
        </w:rPr>
      </w:pPr>
    </w:p>
    <w:p>
      <w:pPr>
        <w:ind w:left="180" w:right="640" w:firstLine="465"/>
        <w:spacing w:after="0" w:line="263" w:lineRule="auto"/>
        <w:rPr>
          <w:sz w:val="20"/>
          <w:szCs w:val="20"/>
          <w:color w:val="auto"/>
        </w:rPr>
      </w:pPr>
      <w:r>
        <w:rPr>
          <w:rFonts w:ascii="Arial" w:cs="Arial" w:eastAsia="Arial" w:hAnsi="Arial"/>
          <w:sz w:val="19"/>
          <w:szCs w:val="19"/>
          <w:color w:val="auto"/>
        </w:rPr>
        <w:t>Our Discovery Platform leverages large scale human genetic datasets, advanced tools in bioinformatics and imaging, and insights into neurodegeneration and immunology to identify immune system targets that play a critical role in the development of multiple neurodegenerative diseases. Our Discovery Platform focuses on:</w:t>
      </w:r>
    </w:p>
    <w:p>
      <w:pPr>
        <w:spacing w:after="0" w:line="89" w:lineRule="exact"/>
        <w:rPr>
          <w:sz w:val="20"/>
          <w:szCs w:val="20"/>
          <w:color w:val="auto"/>
        </w:rPr>
      </w:pPr>
    </w:p>
    <w:p>
      <w:pPr>
        <w:ind w:left="1100" w:right="560" w:hanging="350"/>
        <w:spacing w:after="0" w:line="287" w:lineRule="auto"/>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Target Selection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identify mutations in genes that control the brain’s immune system, which we believe are the root cause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neurodegeneration, employ a suite of genetic tools to elucidate the immune dysfunction caused by these mutations, and then engineer immune modulating antibodies to counteract the harmful consequences of these genetic mutations.</w:t>
      </w:r>
    </w:p>
    <w:p>
      <w:pPr>
        <w:spacing w:after="0" w:line="70" w:lineRule="exact"/>
        <w:rPr>
          <w:rFonts w:ascii="Arial" w:cs="Arial" w:eastAsia="Arial" w:hAnsi="Arial"/>
          <w:sz w:val="18"/>
          <w:szCs w:val="18"/>
          <w:color w:val="auto"/>
        </w:rPr>
      </w:pPr>
    </w:p>
    <w:p>
      <w:pPr>
        <w:ind w:left="1100" w:right="80" w:hanging="350"/>
        <w:spacing w:after="0" w:line="266" w:lineRule="auto"/>
        <w:tabs>
          <w:tab w:leader="none" w:pos="1100" w:val="left"/>
        </w:tabs>
        <w:numPr>
          <w:ilvl w:val="0"/>
          <w:numId w:val="57"/>
        </w:numPr>
        <w:rPr>
          <w:rFonts w:ascii="Arial" w:cs="Arial" w:eastAsia="Arial" w:hAnsi="Arial"/>
          <w:sz w:val="19"/>
          <w:szCs w:val="19"/>
          <w:color w:val="auto"/>
        </w:rPr>
      </w:pPr>
      <w:r>
        <w:rPr>
          <w:rFonts w:ascii="Arial" w:cs="Arial" w:eastAsia="Arial" w:hAnsi="Arial"/>
          <w:sz w:val="19"/>
          <w:szCs w:val="19"/>
          <w:b w:val="1"/>
          <w:bCs w:val="1"/>
          <w:i w:val="1"/>
          <w:iCs w:val="1"/>
          <w:color w:val="auto"/>
        </w:rPr>
        <w:t>Biomarker Selection</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We are able to identify and employ molecular biomarkers, assays, and precise imaging techniques to confirm target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engagement and measure the effect of our product candidates, allowing us to potentially obtain clinical data earlier than would otherwise be expected using traditional clinical measures.</w:t>
      </w:r>
    </w:p>
    <w:p>
      <w:pPr>
        <w:spacing w:after="0" w:line="86" w:lineRule="exact"/>
        <w:rPr>
          <w:rFonts w:ascii="Arial" w:cs="Arial" w:eastAsia="Arial" w:hAnsi="Arial"/>
          <w:sz w:val="19"/>
          <w:szCs w:val="19"/>
          <w:color w:val="auto"/>
        </w:rPr>
      </w:pPr>
    </w:p>
    <w:p>
      <w:pPr>
        <w:ind w:left="1100" w:right="840" w:hanging="350"/>
        <w:spacing w:after="0" w:line="282" w:lineRule="auto"/>
        <w:tabs>
          <w:tab w:leader="none" w:pos="1100" w:val="left"/>
        </w:tabs>
        <w:numPr>
          <w:ilvl w:val="0"/>
          <w:numId w:val="57"/>
        </w:numPr>
        <w:rPr>
          <w:rFonts w:ascii="Arial" w:cs="Arial" w:eastAsia="Arial" w:hAnsi="Arial"/>
          <w:sz w:val="19"/>
          <w:szCs w:val="19"/>
          <w:color w:val="auto"/>
        </w:rPr>
      </w:pPr>
      <w:r>
        <w:rPr>
          <w:rFonts w:ascii="Arial" w:cs="Arial" w:eastAsia="Arial" w:hAnsi="Arial"/>
          <w:sz w:val="19"/>
          <w:szCs w:val="19"/>
          <w:b w:val="1"/>
          <w:bCs w:val="1"/>
          <w:i w:val="1"/>
          <w:iCs w:val="1"/>
          <w:color w:val="auto"/>
        </w:rPr>
        <w:t>Patient Selection</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We utilize genetic screening and other biomarkers to better align a patient’s specific diagnosis with the targeted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intervention in each of our clinical studies.</w:t>
      </w:r>
    </w:p>
    <w:p>
      <w:pPr>
        <w:spacing w:after="0" w:line="177"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Our immuno-neurology approach and our Discovery Platform are designed to broadly address multiple neurodegenerative disorders. The breadth of our opportunity is reinforced by our ability to engineer therapeutics capable of modulating a broad array of immune targets, validated by human genetics, across multiple mechanisms of action, including product candidates that activate, block, inhibit, or down-regulate a given target as therapeutically needed. Our intellectual property portfolio covers over 25 patent families, consisting of one approved patent and over 100 pending patent applications directed to over 15 different targets and technologies.</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90</w:t>
      </w:r>
    </w:p>
    <w:p>
      <w:pPr>
        <w:sectPr>
          <w:pgSz w:w="12240" w:h="15840" w:orient="portrait"/>
          <w:cols w:equalWidth="0" w:num="1">
            <w:col w:w="11800"/>
          </w:cols>
          <w:pgMar w:left="120" w:top="336" w:right="320" w:bottom="1440" w:gutter="0" w:footer="0" w:header="0"/>
        </w:sectPr>
      </w:pPr>
    </w:p>
    <w:bookmarkStart w:id="98" w:name="page99"/>
    <w:bookmarkEnd w:id="9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Figure 1. The below table highlights our preclinical and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182245</wp:posOffset>
            </wp:positionV>
            <wp:extent cx="5478780" cy="17113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478780" cy="171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Figure 2. The below table highlights ten of our identified programs in our research and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182245</wp:posOffset>
            </wp:positionV>
            <wp:extent cx="5478780" cy="15849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78780" cy="158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0" w:right="100" w:firstLine="465"/>
        <w:spacing w:after="0" w:line="255" w:lineRule="auto"/>
        <w:rPr>
          <w:sz w:val="20"/>
          <w:szCs w:val="20"/>
          <w:color w:val="auto"/>
        </w:rPr>
      </w:pPr>
      <w:r>
        <w:rPr>
          <w:rFonts w:ascii="Arial" w:cs="Arial" w:eastAsia="Arial" w:hAnsi="Arial"/>
          <w:sz w:val="19"/>
          <w:szCs w:val="19"/>
          <w:color w:val="auto"/>
        </w:rPr>
        <w:t>The above table reflects that we currently have seven neurology programs identified in our research and development pipeline focused on targeting Alzheimer’s disease, Parkinson’s disease, ALS, and progressive multiple sclerosis. Moreover, we have three oncology programs identified in our research and development pipeline focused on targeting innate immune cells. Currently, we estimate that all of these neurology and oncology focused programs are one to three years or more away from entering preclinical studies assuming that these programs meet our requirements for advancement into the preclinical stage. For each of our programs in our research and development pipeline we are working to identify biomarkers to be utilized in preclinical studies.</w:t>
      </w:r>
    </w:p>
    <w:p>
      <w:pPr>
        <w:spacing w:after="0" w:line="204" w:lineRule="exact"/>
        <w:rPr>
          <w:sz w:val="20"/>
          <w:szCs w:val="20"/>
          <w:color w:val="auto"/>
        </w:rPr>
      </w:pPr>
    </w:p>
    <w:p>
      <w:pPr>
        <w:ind w:left="180" w:firstLine="465"/>
        <w:spacing w:after="0" w:line="285" w:lineRule="auto"/>
        <w:rPr>
          <w:sz w:val="20"/>
          <w:szCs w:val="20"/>
          <w:color w:val="auto"/>
        </w:rPr>
      </w:pPr>
      <w:r>
        <w:rPr>
          <w:rFonts w:ascii="Arial" w:cs="Arial" w:eastAsia="Arial" w:hAnsi="Arial"/>
          <w:sz w:val="17"/>
          <w:szCs w:val="17"/>
          <w:color w:val="auto"/>
        </w:rPr>
        <w:t>Our first program modulates PGRN, a regulator of immune activity in the brain with genetic links to multiple neurodegenerative disorders, including FTD, Alzheimer’s disease, and Parkinson’s disease. AL001, our first PGRN product candidate in clinical development, is designed to treat FTD, a severe, rapidly progressing neurodegenerative disorder that affects approximately 170,000 individuals in the United States and the European Union alone, with potentially higher prevalence in Asia and Latin America. AL001 entered the clinic in the second half of 2018 aimed at treating FTD-GRN. AL001 successfully demonstrated proof-of-mechanism in a dose-escalating Phase 1a study in healthy volunteers by showing a statistically significant increase in PGRN levels relative to baseline when compared to pooled placebo in plasma and in CSF in measured cohorts at the pre-specified follow-up time point. We plan to advance AL001 into a Phase 1b study with proof-of-mechanism data in FTD-GRN patients expected in the first half of 2019 and a Phase 2 study with proof-of-concept data in FTD-GRN patients expected in the first half of 2020. We also intend to include an additional genetic subset of FTD patients (FTD-C9orf72) in 2019. Following proof-of-concept data in FTD-GRN patients, we plan to expand to additional FTD subpopulations. We are also advancing a second PGRN product candidate, AL101, which is expected to have utility in a broader set of indications, such as Alzheimer’s disease and Parkinson’s disease. We own worldwide rights to AL001 and AL101.</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91</w:t>
      </w:r>
    </w:p>
    <w:p>
      <w:pPr>
        <w:sectPr>
          <w:pgSz w:w="12240" w:h="15840" w:orient="portrait"/>
          <w:cols w:equalWidth="0" w:num="1">
            <w:col w:w="11800"/>
          </w:cols>
          <w:pgMar w:left="120" w:top="336" w:right="320" w:bottom="1440" w:gutter="0" w:footer="0" w:header="0"/>
        </w:sectPr>
      </w:pPr>
    </w:p>
    <w:bookmarkStart w:id="99" w:name="page100"/>
    <w:bookmarkEnd w:id="9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firstLine="465"/>
        <w:spacing w:after="0" w:line="286" w:lineRule="auto"/>
        <w:rPr>
          <w:sz w:val="20"/>
          <w:szCs w:val="20"/>
          <w:color w:val="auto"/>
        </w:rPr>
      </w:pPr>
      <w:r>
        <w:rPr>
          <w:rFonts w:ascii="Arial" w:cs="Arial" w:eastAsia="Arial" w:hAnsi="Arial"/>
          <w:sz w:val="17"/>
          <w:szCs w:val="17"/>
          <w:color w:val="auto"/>
        </w:rPr>
        <w:t>Our next development programs focus on modulating check-point receptors on the brain’s immune cells, Triggering Receptor Expressed on Myeloid cells 2 (TREM2) and sialic acid binding Ig-like lectin 3 (SIGLEC 3), with strong genetic links to Alzheimer’s disease. In the second half of 2018, we advanced AL002, a product candidate for Alzheimer’s disease, into clinical studies initiating a dose escalation Phase 1 study in healthy volunteers. We plan to advance AL003 into clinical studies for the treatment of Alzheimer’s disease in the first half of 2019. We have partnered with AbbVie, a leader in neuroscience drug development, for the global development and potential commercialization of AL002 and AL003. We are responsible for execution of the Phase 1 and Phase 2 studies. Following AbbVie’s exercise of its option, Alector and AbbVie will share the development costs and will split global profits after marketing approval. However, following AbbVie’s option exercise for a program, we may opt out of sharing in development costs and profits or losses from that program and instead receive a tiered royalty on sales of products from that program. As part of this partnership, we received $205.0 million in upfront payments, $20.0 million from the sale of shares of our preferred stock and are eligible for up to an additional $985.6 million in option exercise and milestone payments and a global profit share with AbbVie upon commercialization.</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The Immune System is Central to Neurodegeneration</w:t>
      </w:r>
    </w:p>
    <w:p>
      <w:pPr>
        <w:spacing w:after="0" w:line="124" w:lineRule="exact"/>
        <w:rPr>
          <w:sz w:val="20"/>
          <w:szCs w:val="20"/>
          <w:color w:val="auto"/>
        </w:rPr>
      </w:pPr>
    </w:p>
    <w:p>
      <w:pPr>
        <w:ind w:left="180" w:right="20" w:firstLine="465"/>
        <w:spacing w:after="0" w:line="274" w:lineRule="auto"/>
        <w:rPr>
          <w:sz w:val="20"/>
          <w:szCs w:val="20"/>
          <w:color w:val="auto"/>
        </w:rPr>
      </w:pPr>
      <w:r>
        <w:rPr>
          <w:rFonts w:ascii="Arial" w:cs="Arial" w:eastAsia="Arial" w:hAnsi="Arial"/>
          <w:sz w:val="18"/>
          <w:szCs w:val="18"/>
          <w:color w:val="auto"/>
        </w:rPr>
        <w:t>The loss of healthy immune function in the brain, due to cellular aging or mutations of genes that regulate key immune cells, underlies the onset and progression of multiple neurodegenerative disorders. Genomic analyses have shown that there is a strong correlation between genetic mutations that predispose individuals to neurodegeneration and dysfunction in the immune system. For example, 22 of the top 25 risk genes identified by evaluating large-scale data on tens of thousands of Alzheimer’s disease patients regulate immune function in the brain. As a result of these genetic mutations, the brain’s immune function deteriorates and subsequently would fail to carry out critical activities, which include:</w:t>
      </w:r>
    </w:p>
    <w:p>
      <w:pPr>
        <w:spacing w:after="0" w:line="88" w:lineRule="exact"/>
        <w:rPr>
          <w:sz w:val="20"/>
          <w:szCs w:val="20"/>
          <w:color w:val="auto"/>
        </w:rPr>
      </w:pPr>
    </w:p>
    <w:p>
      <w:pPr>
        <w:ind w:left="1100" w:hanging="350"/>
        <w:spacing w:after="0"/>
        <w:tabs>
          <w:tab w:leader="none" w:pos="11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clearing or counteracting pathological neurodegenerative proteins such as amyloid-beta, TAU, alpha-synuclein, and TDP-43;</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providing metabolic and functional support to nerve cells;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regulating synaptic connections;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protecting nerve cells by stimulating the regeneration of myelin sheaths around nerve fibers; and</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controlling the neurotoxic activities of activated astrocytes and rogue microglia.</w:t>
      </w:r>
    </w:p>
    <w:p>
      <w:pPr>
        <w:spacing w:after="0" w:line="238" w:lineRule="exact"/>
        <w:rPr>
          <w:sz w:val="20"/>
          <w:szCs w:val="20"/>
          <w:color w:val="auto"/>
        </w:rPr>
      </w:pPr>
    </w:p>
    <w:p>
      <w:pPr>
        <w:ind w:left="180" w:right="20" w:firstLine="465"/>
        <w:spacing w:after="0" w:line="275" w:lineRule="auto"/>
        <w:rPr>
          <w:sz w:val="20"/>
          <w:szCs w:val="20"/>
          <w:color w:val="auto"/>
        </w:rPr>
      </w:pPr>
      <w:r>
        <w:rPr>
          <w:rFonts w:ascii="Arial" w:cs="Arial" w:eastAsia="Arial" w:hAnsi="Arial"/>
          <w:sz w:val="19"/>
          <w:szCs w:val="19"/>
          <w:color w:val="auto"/>
        </w:rPr>
        <w:t>We believe that restoring the immune system’s ability to perform all of these vital functions in the brain is crucial to addressing neurodegeneration given that past approaches focusing on single degenerative pathologies have proved inadequate to date.</w:t>
      </w:r>
    </w:p>
    <w:p>
      <w:pPr>
        <w:spacing w:after="0" w:line="183" w:lineRule="exact"/>
        <w:rPr>
          <w:sz w:val="20"/>
          <w:szCs w:val="20"/>
          <w:color w:val="auto"/>
        </w:rPr>
      </w:pPr>
    </w:p>
    <w:p>
      <w:pPr>
        <w:ind w:left="180" w:right="40" w:firstLine="465"/>
        <w:spacing w:after="0" w:line="291" w:lineRule="auto"/>
        <w:rPr>
          <w:sz w:val="20"/>
          <w:szCs w:val="20"/>
          <w:color w:val="auto"/>
        </w:rPr>
      </w:pPr>
      <w:r>
        <w:rPr>
          <w:rFonts w:ascii="Arial" w:cs="Arial" w:eastAsia="Arial" w:hAnsi="Arial"/>
          <w:sz w:val="17"/>
          <w:szCs w:val="17"/>
          <w:color w:val="auto"/>
        </w:rPr>
        <w:t>Since the early 20</w:t>
      </w:r>
      <w:r>
        <w:rPr>
          <w:rFonts w:ascii="Arial" w:cs="Arial" w:eastAsia="Arial" w:hAnsi="Arial"/>
          <w:sz w:val="14"/>
          <w:szCs w:val="14"/>
          <w:color w:val="auto"/>
        </w:rPr>
        <w:t>th</w:t>
      </w:r>
      <w:r>
        <w:rPr>
          <w:rFonts w:ascii="Arial" w:cs="Arial" w:eastAsia="Arial" w:hAnsi="Arial"/>
          <w:sz w:val="17"/>
          <w:szCs w:val="17"/>
          <w:color w:val="auto"/>
        </w:rPr>
        <w:t xml:space="preserve"> century, the root cause of neurodegeneration has been thought to be misfolded and aggregated pathological proteins. Other observable pathologies, including destruction of synapses, accelerated nerve cell death, and dysfunction of the brain support cells, were all thought to be consequences of these pathological misfolded proteins. As a result, attempts to develop therapies for neurodegeneration have been centered on blocking the synthesis of, and removing or dis-aggregating misfolded proteins. These attempts have been largely unsuccessful, as the disease continues to progress despite significant clearance of the misfolded protein. We believe that the multiple pathologies found in degenerative brain disorders become independent of the misfolded proteins, and each other, at early disease stages and are driven primarily by dysfunction of the brain’s immune system.</w:t>
      </w:r>
    </w:p>
    <w:p>
      <w:pPr>
        <w:spacing w:after="0" w:line="176"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Specifically, the brain’s immune system undergoes gradual deterioration of functional characteristics as part of normal biological aging or due to harmful genetic mutations that are linked to neurodegeneration and are associated with accelerated senescence of the brain immune cells. These cells are no longer capable of executing their beneficial and protective roles and instead often become harmful and destructive to the brain. Based on our understanding of the role of genetic mutations in neurodegeneration, we have designed our product candidates to target the mutated genes linked to neurodegeneration, with the goal of slowing or reversing the deterioration of the brain’s immune cells to achieve therapeutic benefit. By restoring healthy immune function in the brain, we believe we can simultaneously counteract the multiple independent pathologies responsible for neurodegeneration.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92</w:t>
      </w:r>
    </w:p>
    <w:p>
      <w:pPr>
        <w:sectPr>
          <w:pgSz w:w="12240" w:h="15840" w:orient="portrait"/>
          <w:cols w:equalWidth="0" w:num="1">
            <w:col w:w="11800"/>
          </w:cols>
          <w:pgMar w:left="120" w:top="336" w:right="320" w:bottom="1440" w:gutter="0" w:footer="0" w:header="0"/>
        </w:sectPr>
      </w:pPr>
    </w:p>
    <w:bookmarkStart w:id="100" w:name="page101"/>
    <w:bookmarkEnd w:id="10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Team</w:t>
      </w:r>
    </w:p>
    <w:p>
      <w:pPr>
        <w:spacing w:after="0" w:line="124" w:lineRule="exact"/>
        <w:rPr>
          <w:sz w:val="20"/>
          <w:szCs w:val="20"/>
          <w:color w:val="auto"/>
        </w:rPr>
      </w:pPr>
    </w:p>
    <w:p>
      <w:pPr>
        <w:ind w:left="180" w:right="20" w:firstLine="465"/>
        <w:spacing w:after="0" w:line="287" w:lineRule="auto"/>
        <w:rPr>
          <w:sz w:val="20"/>
          <w:szCs w:val="20"/>
          <w:color w:val="auto"/>
        </w:rPr>
      </w:pPr>
      <w:r>
        <w:rPr>
          <w:rFonts w:ascii="Arial" w:cs="Arial" w:eastAsia="Arial" w:hAnsi="Arial"/>
          <w:sz w:val="17"/>
          <w:szCs w:val="17"/>
          <w:color w:val="auto"/>
        </w:rPr>
        <w:t>Our team is led by seasoned executives with a proven track record of drug discovery and development in neuroscience, as well as substantial operational and business expertise. Our Co-Founder and Chief Executive Officer, Arnon Rosenthal, Ph.D., has spent over 35 years developing therapeutics in neuroscience and led teams responsible for the development of the non-addictive pain drug tanezumab and the migraine drug AJOVY, and multiple other programs in clinical development. He also held several leadership roles over a 16-year career at Genentech, where he led the team that discovered the target for the cancer drug Erivedge. Our Chief Medical Officer, Robert Paul, M.D., Ph.D., served as the Therapeutic Area Lead for Neuroscience at Genentech, where among other projects, he oversaw the clinical development of various product candidates, including the amyloid-beta antibody crenezumab in Alzheimer’s disease, GDC-0134 in ALS, and GDC-0276 and GDC-0310 in pain. Our Chief Development Officer, Robert King, Ph.D., previously served as the Senior Vice President of development and supply chain at SciClone Pharmaceuticals. Our Chief Business Officer, Sabah Oney, Ph.D., previously served as the Head of Global Sales and Business Development at Ariosa, Inc. until and through its acquisition by Roche.</w:t>
      </w:r>
    </w:p>
    <w:p>
      <w:pPr>
        <w:spacing w:after="0" w:line="178" w:lineRule="exact"/>
        <w:rPr>
          <w:sz w:val="20"/>
          <w:szCs w:val="20"/>
          <w:color w:val="auto"/>
        </w:rPr>
      </w:pPr>
    </w:p>
    <w:p>
      <w:pPr>
        <w:ind w:left="180" w:right="40" w:firstLine="465"/>
        <w:spacing w:after="0" w:line="259" w:lineRule="auto"/>
        <w:rPr>
          <w:sz w:val="20"/>
          <w:szCs w:val="20"/>
          <w:color w:val="auto"/>
        </w:rPr>
      </w:pPr>
      <w:r>
        <w:rPr>
          <w:rFonts w:ascii="Arial" w:cs="Arial" w:eastAsia="Arial" w:hAnsi="Arial"/>
          <w:sz w:val="19"/>
          <w:szCs w:val="19"/>
          <w:color w:val="auto"/>
        </w:rPr>
        <w:t>Our scientific advisory board is composed of a Nobel laureate, Thomas Christian Südhof, M.D., Ph.D., members of the National Academy of Sciences, Richard Scheller, Ph.D. and Liqun Luo, Ph.D., directors of neuroscience institutes, Bruce Miller, M.D. and Stephen L. Hauser, M.D., directors of research departments, Adam Boxer, M.D., Ph.D., Lewis Lanier, Ph.D., Michael Heneka, M.D., and Robert Vassar, Ph.D., and professors of pathology and immunology and medicine, Marco Colonna, M.D.</w:t>
      </w:r>
    </w:p>
    <w:p>
      <w:pPr>
        <w:spacing w:after="0" w:line="198" w:lineRule="exact"/>
        <w:rPr>
          <w:sz w:val="20"/>
          <w:szCs w:val="20"/>
          <w:color w:val="auto"/>
        </w:rPr>
      </w:pPr>
    </w:p>
    <w:p>
      <w:pPr>
        <w:ind w:left="180" w:right="140" w:firstLine="465"/>
        <w:spacing w:after="0" w:line="256" w:lineRule="auto"/>
        <w:rPr>
          <w:sz w:val="20"/>
          <w:szCs w:val="20"/>
          <w:color w:val="auto"/>
        </w:rPr>
      </w:pPr>
      <w:r>
        <w:rPr>
          <w:rFonts w:ascii="Arial" w:cs="Arial" w:eastAsia="Arial" w:hAnsi="Arial"/>
          <w:sz w:val="19"/>
          <w:szCs w:val="19"/>
          <w:color w:val="auto"/>
        </w:rPr>
        <w:t>Our team is further supported by a group of investors that share our commitment to advancing immunotherapy as a transformative cure for neurodegeneration. Our key investors include major biopharmaceutical companies, AbbVie, Amgen, and Merck, and leading institutional investors, Casdin Capital, Deerfield Management, Euclidean Capital, Federated Kaufmann Fund, Foresite Capital, GV, Lilly Asia Ventures, Mission Bay Capital, New Leaf Ventures, OrbiMed, Perceptive Advisors, Polaris Partners, Section 32, and the Dementia Discovery Fund, a specialist venture capital fund entirely focused on advancing breakthrough treatments for dementia.</w:t>
      </w:r>
    </w:p>
    <w:p>
      <w:pPr>
        <w:spacing w:after="0" w:line="204" w:lineRule="exact"/>
        <w:rPr>
          <w:sz w:val="20"/>
          <w:szCs w:val="20"/>
          <w:color w:val="auto"/>
        </w:rPr>
      </w:pPr>
    </w:p>
    <w:p>
      <w:pPr>
        <w:ind w:left="180" w:firstLine="465"/>
        <w:spacing w:after="0" w:line="275" w:lineRule="auto"/>
        <w:rPr>
          <w:sz w:val="20"/>
          <w:szCs w:val="20"/>
          <w:color w:val="auto"/>
        </w:rPr>
      </w:pPr>
      <w:r>
        <w:rPr>
          <w:rFonts w:ascii="Arial" w:cs="Arial" w:eastAsia="Arial" w:hAnsi="Arial"/>
          <w:sz w:val="19"/>
          <w:szCs w:val="19"/>
          <w:color w:val="auto"/>
        </w:rPr>
        <w:t>As we grow our company, we will continue to bolster our team by attracting people and partners committed to transforming the neurodegenerative treatment landscape.</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Strategy</w:t>
      </w:r>
    </w:p>
    <w:p>
      <w:pPr>
        <w:spacing w:after="0" w:line="124" w:lineRule="exact"/>
        <w:rPr>
          <w:sz w:val="20"/>
          <w:szCs w:val="20"/>
          <w:color w:val="auto"/>
        </w:rPr>
      </w:pPr>
    </w:p>
    <w:p>
      <w:pPr>
        <w:ind w:left="180" w:right="220" w:firstLine="465"/>
        <w:spacing w:after="0" w:line="275" w:lineRule="auto"/>
        <w:rPr>
          <w:sz w:val="20"/>
          <w:szCs w:val="20"/>
          <w:color w:val="auto"/>
        </w:rPr>
      </w:pPr>
      <w:r>
        <w:rPr>
          <w:rFonts w:ascii="Arial" w:cs="Arial" w:eastAsia="Arial" w:hAnsi="Arial"/>
          <w:sz w:val="19"/>
          <w:szCs w:val="19"/>
          <w:color w:val="auto"/>
        </w:rPr>
        <w:t>Our goal is to develop therapies that empower the immune system to cure neurodegeneration. The key tenets of our business strategy to achieve this goal include:</w:t>
      </w:r>
    </w:p>
    <w:p>
      <w:pPr>
        <w:spacing w:after="0" w:line="84" w:lineRule="exact"/>
        <w:rPr>
          <w:sz w:val="20"/>
          <w:szCs w:val="20"/>
          <w:color w:val="auto"/>
        </w:rPr>
      </w:pPr>
    </w:p>
    <w:p>
      <w:pPr>
        <w:ind w:left="1100" w:right="40" w:hanging="350"/>
        <w:spacing w:after="0" w:line="256" w:lineRule="auto"/>
        <w:tabs>
          <w:tab w:leader="none" w:pos="1100" w:val="left"/>
        </w:tabs>
        <w:numPr>
          <w:ilvl w:val="0"/>
          <w:numId w:val="5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Building the leading, fully-integrated company focused on delivering innovative immuno-therapies, validated by human genetics, for the treatment of neurodegeneration. </w:t>
      </w:r>
      <w:r>
        <w:rPr>
          <w:rFonts w:ascii="Arial" w:cs="Arial" w:eastAsia="Arial" w:hAnsi="Arial"/>
          <w:sz w:val="19"/>
          <w:szCs w:val="19"/>
          <w:color w:val="auto"/>
        </w:rPr>
        <w:t>We believe that building a fully integrated company will allow us to more rapidly and efficiently develop</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therapies for patients as well as create value for our stakeholders. We are focused on building an independent research, development, clinical, and ultimately commercial organization in order to prosecute the full potential of our immuno-neurology approach and Discovery Platform.</w:t>
      </w:r>
    </w:p>
    <w:p>
      <w:pPr>
        <w:spacing w:after="0" w:line="103" w:lineRule="exact"/>
        <w:rPr>
          <w:rFonts w:ascii="Arial" w:cs="Arial" w:eastAsia="Arial" w:hAnsi="Arial"/>
          <w:sz w:val="19"/>
          <w:szCs w:val="19"/>
          <w:color w:val="auto"/>
        </w:rPr>
      </w:pPr>
    </w:p>
    <w:p>
      <w:pPr>
        <w:ind w:left="1100" w:right="40" w:hanging="350"/>
        <w:spacing w:after="0" w:line="256" w:lineRule="auto"/>
        <w:tabs>
          <w:tab w:leader="none" w:pos="1100" w:val="left"/>
        </w:tabs>
        <w:numPr>
          <w:ilvl w:val="0"/>
          <w:numId w:val="5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Applying our proprietary development capabilities to rapidly advance our product candidates through clinical proof-of-concept studies and beyond. </w:t>
      </w:r>
      <w:r>
        <w:rPr>
          <w:rFonts w:ascii="Arial" w:cs="Arial" w:eastAsia="Arial" w:hAnsi="Arial"/>
          <w:sz w:val="19"/>
          <w:szCs w:val="19"/>
          <w:color w:val="auto"/>
        </w:rPr>
        <w:t>We are focused on maximizing the probability of success of our product candidates by leveraging immunology, neurobiology,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human genetics, as well as our state-of-the-art bioinformatics, to enable better and earlier target selection. In addition, we are also focused on a biomarker-driven approach, including proprietary tools and assays, to confirm target engagement, inform patient selection, and follow clinical outcomes.</w:t>
      </w:r>
    </w:p>
    <w:p>
      <w:pPr>
        <w:spacing w:after="0" w:line="103" w:lineRule="exact"/>
        <w:rPr>
          <w:rFonts w:ascii="Arial" w:cs="Arial" w:eastAsia="Arial" w:hAnsi="Arial"/>
          <w:sz w:val="19"/>
          <w:szCs w:val="19"/>
          <w:color w:val="auto"/>
        </w:rPr>
      </w:pPr>
    </w:p>
    <w:p>
      <w:pPr>
        <w:ind w:left="1100" w:right="200" w:hanging="350"/>
        <w:spacing w:after="0" w:line="263" w:lineRule="auto"/>
        <w:tabs>
          <w:tab w:leader="none" w:pos="1100" w:val="left"/>
        </w:tabs>
        <w:numPr>
          <w:ilvl w:val="0"/>
          <w:numId w:val="5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Maximizing the therapeutic potential of our existing targets and product candidates. </w:t>
      </w:r>
      <w:r>
        <w:rPr>
          <w:rFonts w:ascii="Arial" w:cs="Arial" w:eastAsia="Arial" w:hAnsi="Arial"/>
          <w:sz w:val="19"/>
          <w:szCs w:val="19"/>
          <w:color w:val="auto"/>
        </w:rPr>
        <w:t>Given the central physiological roles played by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distinct targets of our product candidates, we believe that there is significant potential for us to address multiple indications with single targets. Our goal is to</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93</w:t>
      </w:r>
    </w:p>
    <w:p>
      <w:pPr>
        <w:sectPr>
          <w:pgSz w:w="12240" w:h="15840" w:orient="portrait"/>
          <w:cols w:equalWidth="0" w:num="1">
            <w:col w:w="11800"/>
          </w:cols>
          <w:pgMar w:left="120" w:top="336" w:right="320" w:bottom="1440" w:gutter="0" w:footer="0" w:header="0"/>
        </w:sectPr>
      </w:pPr>
    </w:p>
    <w:bookmarkStart w:id="101" w:name="page102"/>
    <w:bookmarkEnd w:id="10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160"/>
        <w:spacing w:after="0" w:line="263" w:lineRule="auto"/>
        <w:rPr>
          <w:sz w:val="20"/>
          <w:szCs w:val="20"/>
          <w:color w:val="auto"/>
        </w:rPr>
      </w:pPr>
      <w:r>
        <w:rPr>
          <w:rFonts w:ascii="Arial" w:cs="Arial" w:eastAsia="Arial" w:hAnsi="Arial"/>
          <w:sz w:val="19"/>
          <w:szCs w:val="19"/>
          <w:color w:val="auto"/>
        </w:rPr>
        <w:t>expand the therapeutic and commercial potential of our existing targets and product candidates to additional indications. However, we will remain disciplined about advancing this strategy, leveraging our Discovery Platform capabilities to inform expansion areas of maximum value and highest probability of success.</w:t>
      </w:r>
    </w:p>
    <w:p>
      <w:pPr>
        <w:spacing w:after="0" w:line="95" w:lineRule="exact"/>
        <w:rPr>
          <w:sz w:val="20"/>
          <w:szCs w:val="20"/>
          <w:color w:val="auto"/>
        </w:rPr>
      </w:pPr>
    </w:p>
    <w:p>
      <w:pPr>
        <w:ind w:left="1100" w:right="120" w:hanging="350"/>
        <w:spacing w:after="0" w:line="298" w:lineRule="auto"/>
        <w:tabs>
          <w:tab w:leader="none" w:pos="1100"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Continuing to focus on discovering new targets and product candidates, validated by human genetics, to prosecute the full power of our insights and platform. </w:t>
      </w:r>
      <w:r>
        <w:rPr>
          <w:rFonts w:ascii="Arial" w:cs="Arial" w:eastAsia="Arial" w:hAnsi="Arial"/>
          <w:sz w:val="17"/>
          <w:szCs w:val="17"/>
          <w:color w:val="auto"/>
        </w:rPr>
        <w:t>Our Discovery Platform is central to our efforts to rapidly identify new product candidates with compelling clinical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promise. We will continue to invest in our Discovery Platform, including evolving our proprietary analytical tools and assays, to further investigate several of our identified immune system targets as well as generate additional targets and product candidates.</w:t>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Approach</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The Role of the Innate Immune System and Microglia in Neurodegeneration</w:t>
      </w:r>
    </w:p>
    <w:p>
      <w:pPr>
        <w:spacing w:after="0" w:line="124"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color w:val="auto"/>
        </w:rPr>
        <w:t>Significant evidence in the last decade has shown that neurodegenerative diseases, such as Alzheimer’s disease, Parkinson’s disease, FTD, and ALS, are linked to a dysfunctional brain immune system. In contrast to the dual adaptive and innate components that characterize the broader human immune system, the brain’s immune system consists primarily of innate immune cells, known as microglia. These brain resident macrophages account for 10% to 15% of all cells found within the brain and are responsible for many aspects of brain health and maintenance. As the key innate immune cells in the brain, microglia respond to infection and damage, clear cell debris and pathological proteins, nurture neurons and the brain support cells, and control the number and functionality of inter-neuronal connections. Microglia have been our initial focus and new scientific advances have made it possible to understand how these key innate immune cells in the brain represent a crucial focal point for intervening, treating, or preventing neurodegenerative diseases (Figure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1191895</wp:posOffset>
            </wp:positionH>
            <wp:positionV relativeFrom="paragraph">
              <wp:posOffset>148590</wp:posOffset>
            </wp:positionV>
            <wp:extent cx="5243195" cy="35045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43195" cy="3504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80" w:right="500"/>
        <w:spacing w:after="0" w:line="282" w:lineRule="auto"/>
        <w:rPr>
          <w:sz w:val="20"/>
          <w:szCs w:val="20"/>
          <w:color w:val="auto"/>
        </w:rPr>
      </w:pPr>
      <w:r>
        <w:rPr>
          <w:rFonts w:ascii="Arial" w:cs="Arial" w:eastAsia="Arial" w:hAnsi="Arial"/>
          <w:sz w:val="19"/>
          <w:szCs w:val="19"/>
          <w:b w:val="1"/>
          <w:bCs w:val="1"/>
          <w:color w:val="auto"/>
        </w:rPr>
        <w:t>Figure 3. Our antibody product candidates target microglia to harness their many potential beneficial roles in treating neurodegenerative diseases.</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94</w:t>
      </w:r>
    </w:p>
    <w:p>
      <w:pPr>
        <w:sectPr>
          <w:pgSz w:w="12240" w:h="15840" w:orient="portrait"/>
          <w:cols w:equalWidth="0" w:num="1">
            <w:col w:w="11800"/>
          </w:cols>
          <w:pgMar w:left="120" w:top="336" w:right="320" w:bottom="1440" w:gutter="0" w:footer="0" w:header="0"/>
        </w:sectPr>
      </w:pPr>
    </w:p>
    <w:bookmarkStart w:id="102" w:name="page103"/>
    <w:bookmarkEnd w:id="10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Significant Scientific Data Support Our Hypothesis</w:t>
      </w:r>
    </w:p>
    <w:p>
      <w:pPr>
        <w:spacing w:after="0" w:line="124" w:lineRule="exact"/>
        <w:rPr>
          <w:sz w:val="20"/>
          <w:szCs w:val="20"/>
          <w:color w:val="auto"/>
        </w:rPr>
      </w:pPr>
    </w:p>
    <w:p>
      <w:pPr>
        <w:ind w:left="180" w:right="40" w:firstLine="465"/>
        <w:spacing w:after="0" w:line="294" w:lineRule="auto"/>
        <w:rPr>
          <w:sz w:val="20"/>
          <w:szCs w:val="20"/>
          <w:color w:val="auto"/>
        </w:rPr>
      </w:pPr>
      <w:r>
        <w:rPr>
          <w:rFonts w:ascii="Arial" w:cs="Arial" w:eastAsia="Arial" w:hAnsi="Arial"/>
          <w:sz w:val="17"/>
          <w:szCs w:val="17"/>
          <w:color w:val="auto"/>
        </w:rPr>
        <w:t>Understanding how the brain’s immune cells affect its structure and function, in both normal and diseased states, is in our view, the key to understanding many neurological diseases. Human genetic evidence, especially in the last five years, has supported the importance of the interactions between the brain and the innate immune system. For example, 22 of the top 25 risk genes for Alzheimer’s disease, identified using genetic linkage studies, candidate gene analysis, genome-wide association (GWAS) studies, and whole-genome or whole-exome sequencing, regulate immune function in the brain. Many of these risk genes have been shown to express predominantly in microglia and to control the function of these cells (Figure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136525</wp:posOffset>
            </wp:positionV>
            <wp:extent cx="1883410" cy="23094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83410" cy="2309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Figure 4. Expression of genes linked to Alzheimer’s disease is highly enriched in microglia.</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 Red box added to highlight microglia.</w:t>
      </w:r>
    </w:p>
    <w:p>
      <w:pPr>
        <w:spacing w:after="0" w:line="255"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color w:val="auto"/>
        </w:rPr>
        <w:t>Microglia have been shown to be key cells in overall brain maintenance, health, and function and are the brain’s first line of immune defense. These innate immune cells are tooled with “microglial sensomes” which enable them to constantly survey brain cells to identify and respond to subtle signs of pathology or dysfunction. Microglia scavenge the brain for toxic misfolded proteins, cell debris, damaged or unnecessary nerve cells, dysfunctional or aged synapses, and infectious agents. In addition, microglia support the generation of new neurons and synapses and remodel neuronal circuits. Microglia also control the survival and function of astrocytes and oligodendrocytes, the main brain support cells which control brain metabolism and blood supply and replenish aged or damaged nerve fibers after injury. Further, microglia have been shown to modulate the permeability of the blood brain barrier allowing access to peripheral immune cells, to assist against infection or injury. Microglia can also change their morphology, functionality, and number in response to changing brain environment.</w:t>
      </w:r>
    </w:p>
    <w:p>
      <w:pPr>
        <w:spacing w:after="0" w:line="191" w:lineRule="exact"/>
        <w:rPr>
          <w:sz w:val="20"/>
          <w:szCs w:val="20"/>
          <w:color w:val="auto"/>
        </w:rPr>
      </w:pPr>
    </w:p>
    <w:p>
      <w:pPr>
        <w:ind w:left="180" w:right="340" w:firstLine="465"/>
        <w:spacing w:after="0" w:line="259" w:lineRule="auto"/>
        <w:rPr>
          <w:sz w:val="20"/>
          <w:szCs w:val="20"/>
          <w:color w:val="auto"/>
        </w:rPr>
      </w:pPr>
      <w:r>
        <w:rPr>
          <w:rFonts w:ascii="Arial" w:cs="Arial" w:eastAsia="Arial" w:hAnsi="Arial"/>
          <w:sz w:val="19"/>
          <w:szCs w:val="19"/>
          <w:color w:val="auto"/>
        </w:rPr>
        <w:t>Recent analysis of gene transcription at the single-cell level in microglia from normal and diseased brains revealed that multiple microglia subtypes exist which may respond to specific disease pathologies in the brain. Our product candidates are designed to recruit microglia subtypes by targeting microglia check-point proteins that control their survival, proliferation, migration, and function. This allows us to differentially modulate microglia activity as needed to counteract a given degenerative brain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80010</wp:posOffset>
            </wp:positionV>
            <wp:extent cx="74231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44" w:lineRule="exact"/>
        <w:rPr>
          <w:sz w:val="20"/>
          <w:szCs w:val="20"/>
          <w:color w:val="auto"/>
        </w:rPr>
      </w:pPr>
    </w:p>
    <w:p>
      <w:pPr>
        <w:ind w:left="300" w:hanging="121"/>
        <w:spacing w:after="0"/>
        <w:tabs>
          <w:tab w:leader="none" w:pos="300" w:val="left"/>
        </w:tabs>
        <w:numPr>
          <w:ilvl w:val="0"/>
          <w:numId w:val="61"/>
        </w:numPr>
        <w:rPr>
          <w:rFonts w:ascii="Arial" w:cs="Arial" w:eastAsia="Arial" w:hAnsi="Arial"/>
          <w:sz w:val="13"/>
          <w:szCs w:val="13"/>
          <w:color w:val="auto"/>
        </w:rPr>
      </w:pPr>
      <w:r>
        <w:rPr>
          <w:rFonts w:ascii="Arial" w:cs="Arial" w:eastAsia="Arial" w:hAnsi="Arial"/>
          <w:sz w:val="15"/>
          <w:szCs w:val="15"/>
          <w:color w:val="auto"/>
        </w:rPr>
        <w:t xml:space="preserve">Hansen, D., Hanson, J., Sheng, M. “Microglia in Alzheimer’s disease.” </w:t>
      </w:r>
      <w:r>
        <w:rPr>
          <w:rFonts w:ascii="Arial" w:cs="Arial" w:eastAsia="Arial" w:hAnsi="Arial"/>
          <w:sz w:val="15"/>
          <w:szCs w:val="15"/>
          <w:i w:val="1"/>
          <w:iCs w:val="1"/>
          <w:color w:val="auto"/>
        </w:rPr>
        <w:t>Journal of Cell Biology</w:t>
      </w:r>
      <w:r>
        <w:rPr>
          <w:rFonts w:ascii="Arial" w:cs="Arial" w:eastAsia="Arial" w:hAnsi="Arial"/>
          <w:sz w:val="15"/>
          <w:szCs w:val="15"/>
          <w:color w:val="auto"/>
        </w:rPr>
        <w:t>. Volume 217, Number 2, February 2018.</w:t>
      </w:r>
    </w:p>
    <w:p>
      <w:pPr>
        <w:spacing w:after="0" w:line="146"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95</w:t>
      </w:r>
    </w:p>
    <w:p>
      <w:pPr>
        <w:sectPr>
          <w:pgSz w:w="12240" w:h="15840" w:orient="portrait"/>
          <w:cols w:equalWidth="0" w:num="1">
            <w:col w:w="11740"/>
          </w:cols>
          <w:pgMar w:left="120" w:top="336" w:right="380" w:bottom="1440" w:gutter="0" w:footer="0" w:header="0"/>
        </w:sectPr>
      </w:pPr>
    </w:p>
    <w:bookmarkStart w:id="103" w:name="page104"/>
    <w:bookmarkEnd w:id="10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780" w:firstLine="465"/>
        <w:spacing w:after="0" w:line="336" w:lineRule="auto"/>
        <w:rPr>
          <w:sz w:val="20"/>
          <w:szCs w:val="20"/>
          <w:color w:val="auto"/>
        </w:rPr>
      </w:pPr>
      <w:r>
        <w:rPr>
          <w:rFonts w:ascii="Arial" w:cs="Arial" w:eastAsia="Arial" w:hAnsi="Arial"/>
          <w:sz w:val="17"/>
          <w:szCs w:val="17"/>
          <w:color w:val="auto"/>
        </w:rPr>
        <w:t>Recent findings in the fields of human genetics, immunology, and neuroscience have indicated that as a result of normal aging or genetic mutations, the beneficial functions of the microglia deteriorate leading to massive death of neurons and consequently to neurodegeneration.</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The following table outlines the key impact of functional and dysfunctional microglia:</w:t>
      </w:r>
    </w:p>
    <w:p>
      <w:pPr>
        <w:spacing w:after="0" w:line="260" w:lineRule="exact"/>
        <w:rPr>
          <w:sz w:val="20"/>
          <w:szCs w:val="20"/>
          <w:color w:val="auto"/>
        </w:rPr>
      </w:pPr>
    </w:p>
    <w:p>
      <w:pPr>
        <w:ind w:left="2120"/>
        <w:spacing w:after="0"/>
        <w:tabs>
          <w:tab w:leader="none" w:pos="8080" w:val="left"/>
        </w:tabs>
        <w:rPr>
          <w:sz w:val="20"/>
          <w:szCs w:val="20"/>
          <w:color w:val="auto"/>
        </w:rPr>
      </w:pPr>
      <w:r>
        <w:rPr>
          <w:rFonts w:ascii="Arial" w:cs="Arial" w:eastAsia="Arial" w:hAnsi="Arial"/>
          <w:sz w:val="19"/>
          <w:szCs w:val="19"/>
          <w:b w:val="1"/>
          <w:bCs w:val="1"/>
          <w:u w:val="single" w:color="auto"/>
          <w:color w:val="auto"/>
        </w:rPr>
        <w:t>Functional Microglia</w:t>
      </w:r>
      <w:r>
        <w:rPr>
          <w:sz w:val="20"/>
          <w:szCs w:val="20"/>
          <w:color w:val="auto"/>
        </w:rPr>
        <w:tab/>
      </w:r>
      <w:r>
        <w:rPr>
          <w:rFonts w:ascii="Arial" w:cs="Arial" w:eastAsia="Arial" w:hAnsi="Arial"/>
          <w:sz w:val="17"/>
          <w:szCs w:val="17"/>
          <w:b w:val="1"/>
          <w:bCs w:val="1"/>
          <w:u w:val="single" w:color="auto"/>
          <w:color w:val="auto"/>
        </w:rPr>
        <w:t>Dysfunctional Microglia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91440</wp:posOffset>
            </wp:positionV>
            <wp:extent cx="7389495" cy="5073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89495" cy="507365"/>
                    </a:xfrm>
                    <a:prstGeom prst="rect">
                      <a:avLst/>
                    </a:prstGeom>
                    <a:noFill/>
                  </pic:spPr>
                </pic:pic>
              </a:graphicData>
            </a:graphic>
          </wp:anchor>
        </w:drawing>
      </w:r>
    </w:p>
    <w:p>
      <w:pPr>
        <w:sectPr>
          <w:pgSz w:w="12240" w:h="15840" w:orient="portrait"/>
          <w:cols w:equalWidth="0" w:num="1">
            <w:col w:w="11820"/>
          </w:cols>
          <w:pgMar w:left="120" w:top="337" w:right="300" w:bottom="1440" w:gutter="0" w:footer="0" w:header="0"/>
        </w:sectPr>
      </w:pPr>
    </w:p>
    <w:p>
      <w:pPr>
        <w:spacing w:after="0" w:line="244" w:lineRule="exact"/>
        <w:rPr>
          <w:sz w:val="20"/>
          <w:szCs w:val="20"/>
          <w:color w:val="auto"/>
        </w:rPr>
      </w:pPr>
    </w:p>
    <w:p>
      <w:pPr>
        <w:ind w:left="560" w:right="289" w:hanging="286"/>
        <w:spacing w:after="0" w:line="275" w:lineRule="auto"/>
        <w:tabs>
          <w:tab w:leader="none" w:pos="543" w:val="left"/>
        </w:tabs>
        <w:numPr>
          <w:ilvl w:val="0"/>
          <w:numId w:val="62"/>
        </w:numPr>
        <w:rPr>
          <w:rFonts w:ascii="Arial" w:cs="Arial" w:eastAsia="Arial" w:hAnsi="Arial"/>
          <w:sz w:val="19"/>
          <w:szCs w:val="19"/>
          <w:color w:val="auto"/>
        </w:rPr>
      </w:pPr>
      <w:r>
        <w:rPr>
          <w:rFonts w:ascii="Arial" w:cs="Arial" w:eastAsia="Arial" w:hAnsi="Arial"/>
          <w:sz w:val="19"/>
          <w:szCs w:val="19"/>
          <w:color w:val="auto"/>
        </w:rPr>
        <w:t>Clear/counteract and form a barrier around pathological proteins such as amyloid-beta</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291" w:right="520" w:hanging="291"/>
        <w:spacing w:after="0" w:line="308" w:lineRule="auto"/>
        <w:tabs>
          <w:tab w:leader="none" w:pos="274"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Reduced ability to remove, or to limit the damage caused by pathological proteins leading to dysfunction of neuronal connections and ultimately leading to neuronal cell death</w:t>
      </w:r>
    </w:p>
    <w:p>
      <w:pPr>
        <w:spacing w:after="0" w:line="46" w:lineRule="exact"/>
        <w:rPr>
          <w:sz w:val="20"/>
          <w:szCs w:val="20"/>
          <w:color w:val="auto"/>
        </w:rPr>
      </w:pPr>
    </w:p>
    <w:p>
      <w:pPr>
        <w:sectPr>
          <w:pgSz w:w="12240" w:h="15840" w:orient="portrait"/>
          <w:cols w:equalWidth="0" w:num="2">
            <w:col w:w="5729" w:space="720"/>
            <w:col w:w="5371"/>
          </w:cols>
          <w:pgMar w:left="120" w:top="337" w:right="300" w:bottom="1440" w:gutter="0" w:footer="0" w:header="0"/>
          <w:type w:val="continuous"/>
        </w:sectPr>
      </w:pPr>
    </w:p>
    <w:tbl>
      <w:tblPr>
        <w:tblLayout w:type="fixed"/>
        <w:tblInd w:w="180" w:type="dxa"/>
        <w:tblCellMar>
          <w:top w:w="0" w:type="dxa"/>
          <w:left w:w="0" w:type="dxa"/>
          <w:bottom w:w="0" w:type="dxa"/>
          <w:right w:w="0" w:type="dxa"/>
        </w:tblCellMar>
      </w:tblPr>
      <w:tr>
        <w:trPr>
          <w:trHeight w:val="228"/>
        </w:trPr>
        <w:tc>
          <w:tcPr>
            <w:tcW w:w="5580" w:type="dxa"/>
            <w:vAlign w:val="bottom"/>
          </w:tcPr>
          <w:p>
            <w:pPr>
              <w:ind w:left="100"/>
              <w:spacing w:after="0"/>
              <w:rPr>
                <w:sz w:val="20"/>
                <w:szCs w:val="20"/>
                <w:color w:val="auto"/>
              </w:rPr>
            </w:pPr>
            <w:r>
              <w:rPr>
                <w:rFonts w:ascii="Arial" w:cs="Arial" w:eastAsia="Arial" w:hAnsi="Arial"/>
                <w:sz w:val="19"/>
                <w:szCs w:val="19"/>
                <w:color w:val="auto"/>
              </w:rPr>
              <w:t>•  Provide metabolic and functional support to nerve cells</w:t>
            </w:r>
          </w:p>
        </w:tc>
        <w:tc>
          <w:tcPr>
            <w:tcW w:w="6060" w:type="dxa"/>
            <w:vAlign w:val="bottom"/>
          </w:tcPr>
          <w:p>
            <w:pPr>
              <w:ind w:left="680"/>
              <w:spacing w:after="0"/>
              <w:rPr>
                <w:sz w:val="20"/>
                <w:szCs w:val="20"/>
                <w:color w:val="auto"/>
              </w:rPr>
            </w:pPr>
            <w:r>
              <w:rPr>
                <w:rFonts w:ascii="Arial" w:cs="Arial" w:eastAsia="Arial" w:hAnsi="Arial"/>
                <w:sz w:val="19"/>
                <w:szCs w:val="19"/>
                <w:color w:val="auto"/>
                <w:w w:val="93"/>
              </w:rPr>
              <w:t>•  Reduced ability to provide nourishing factors to neurons leading to</w:t>
            </w:r>
          </w:p>
        </w:tc>
      </w:tr>
      <w:tr>
        <w:trPr>
          <w:trHeight w:val="242"/>
        </w:trPr>
        <w:tc>
          <w:tcPr>
            <w:tcW w:w="5580" w:type="dxa"/>
            <w:vAlign w:val="bottom"/>
          </w:tcPr>
          <w:p>
            <w:pPr>
              <w:spacing w:after="0"/>
              <w:rPr>
                <w:sz w:val="21"/>
                <w:szCs w:val="21"/>
                <w:color w:val="auto"/>
              </w:rPr>
            </w:pPr>
          </w:p>
        </w:tc>
        <w:tc>
          <w:tcPr>
            <w:tcW w:w="6060" w:type="dxa"/>
            <w:vAlign w:val="bottom"/>
          </w:tcPr>
          <w:p>
            <w:pPr>
              <w:ind w:left="980"/>
              <w:spacing w:after="0"/>
              <w:rPr>
                <w:sz w:val="20"/>
                <w:szCs w:val="20"/>
                <w:color w:val="auto"/>
              </w:rPr>
            </w:pPr>
            <w:r>
              <w:rPr>
                <w:rFonts w:ascii="Arial" w:cs="Arial" w:eastAsia="Arial" w:hAnsi="Arial"/>
                <w:sz w:val="19"/>
                <w:szCs w:val="19"/>
                <w:color w:val="auto"/>
              </w:rPr>
              <w:t>neuronal cell death</w:t>
            </w:r>
          </w:p>
        </w:tc>
      </w:tr>
      <w:tr>
        <w:trPr>
          <w:trHeight w:val="329"/>
        </w:trPr>
        <w:tc>
          <w:tcPr>
            <w:tcW w:w="5580" w:type="dxa"/>
            <w:vAlign w:val="bottom"/>
            <w:shd w:val="clear" w:color="auto" w:fill="D8D8D8"/>
          </w:tcPr>
          <w:p>
            <w:pPr>
              <w:ind w:left="100"/>
              <w:spacing w:after="0"/>
              <w:rPr>
                <w:sz w:val="20"/>
                <w:szCs w:val="20"/>
                <w:color w:val="auto"/>
              </w:rPr>
            </w:pPr>
            <w:r>
              <w:rPr>
                <w:rFonts w:ascii="Arial" w:cs="Arial" w:eastAsia="Arial" w:hAnsi="Arial"/>
                <w:sz w:val="19"/>
                <w:szCs w:val="19"/>
                <w:color w:val="auto"/>
              </w:rPr>
              <w:t>•  Regulate healthy synaptic connections</w:t>
            </w:r>
          </w:p>
        </w:tc>
        <w:tc>
          <w:tcPr>
            <w:tcW w:w="6060" w:type="dxa"/>
            <w:vAlign w:val="bottom"/>
            <w:shd w:val="clear" w:color="auto" w:fill="D8D8D8"/>
          </w:tcPr>
          <w:p>
            <w:pPr>
              <w:ind w:left="680"/>
              <w:spacing w:after="0"/>
              <w:rPr>
                <w:sz w:val="20"/>
                <w:szCs w:val="20"/>
                <w:color w:val="auto"/>
              </w:rPr>
            </w:pPr>
            <w:r>
              <w:rPr>
                <w:rFonts w:ascii="Arial" w:cs="Arial" w:eastAsia="Arial" w:hAnsi="Arial"/>
                <w:sz w:val="19"/>
                <w:szCs w:val="19"/>
                <w:color w:val="auto"/>
                <w:w w:val="93"/>
              </w:rPr>
              <w:t>•  Indiscriminate destruction of synapses leading to reduced number</w:t>
            </w:r>
          </w:p>
        </w:tc>
      </w:tr>
      <w:tr>
        <w:trPr>
          <w:trHeight w:val="242"/>
        </w:trPr>
        <w:tc>
          <w:tcPr>
            <w:tcW w:w="5580" w:type="dxa"/>
            <w:vAlign w:val="bottom"/>
            <w:shd w:val="clear" w:color="auto" w:fill="D8D8D8"/>
          </w:tcPr>
          <w:p>
            <w:pPr>
              <w:spacing w:after="0"/>
              <w:rPr>
                <w:sz w:val="21"/>
                <w:szCs w:val="21"/>
                <w:color w:val="auto"/>
              </w:rPr>
            </w:pPr>
          </w:p>
        </w:tc>
        <w:tc>
          <w:tcPr>
            <w:tcW w:w="6060" w:type="dxa"/>
            <w:vAlign w:val="bottom"/>
            <w:shd w:val="clear" w:color="auto" w:fill="D8D8D8"/>
          </w:tcPr>
          <w:p>
            <w:pPr>
              <w:ind w:left="980"/>
              <w:spacing w:after="0"/>
              <w:rPr>
                <w:sz w:val="20"/>
                <w:szCs w:val="20"/>
                <w:color w:val="auto"/>
              </w:rPr>
            </w:pPr>
            <w:r>
              <w:rPr>
                <w:rFonts w:ascii="Arial" w:cs="Arial" w:eastAsia="Arial" w:hAnsi="Arial"/>
                <w:sz w:val="19"/>
                <w:szCs w:val="19"/>
                <w:color w:val="auto"/>
              </w:rPr>
              <w:t>of synapses and dysfunctional neuronal connections</w:t>
            </w:r>
          </w:p>
        </w:tc>
      </w:tr>
      <w:tr>
        <w:trPr>
          <w:trHeight w:val="328"/>
        </w:trPr>
        <w:tc>
          <w:tcPr>
            <w:tcW w:w="5580" w:type="dxa"/>
            <w:vAlign w:val="bottom"/>
          </w:tcPr>
          <w:p>
            <w:pPr>
              <w:ind w:left="100"/>
              <w:spacing w:after="0"/>
              <w:rPr>
                <w:sz w:val="20"/>
                <w:szCs w:val="20"/>
                <w:color w:val="auto"/>
              </w:rPr>
            </w:pPr>
            <w:r>
              <w:rPr>
                <w:rFonts w:ascii="Arial" w:cs="Arial" w:eastAsia="Arial" w:hAnsi="Arial"/>
                <w:sz w:val="19"/>
                <w:szCs w:val="19"/>
                <w:color w:val="auto"/>
                <w:w w:val="96"/>
              </w:rPr>
              <w:t>•  Control the function of astrocytes, the brain’s star shaped support</w:t>
            </w:r>
          </w:p>
        </w:tc>
        <w:tc>
          <w:tcPr>
            <w:tcW w:w="6060" w:type="dxa"/>
            <w:vAlign w:val="bottom"/>
          </w:tcPr>
          <w:p>
            <w:pPr>
              <w:ind w:left="680"/>
              <w:spacing w:after="0"/>
              <w:rPr>
                <w:sz w:val="20"/>
                <w:szCs w:val="20"/>
                <w:color w:val="auto"/>
              </w:rPr>
            </w:pPr>
            <w:r>
              <w:rPr>
                <w:rFonts w:ascii="Arial" w:cs="Arial" w:eastAsia="Arial" w:hAnsi="Arial"/>
                <w:sz w:val="19"/>
                <w:szCs w:val="19"/>
                <w:color w:val="auto"/>
              </w:rPr>
              <w:t>•  Inducement and conversion of beneficial astrocytes to toxic</w:t>
            </w:r>
          </w:p>
        </w:tc>
      </w:tr>
      <w:tr>
        <w:trPr>
          <w:trHeight w:val="228"/>
        </w:trPr>
        <w:tc>
          <w:tcPr>
            <w:tcW w:w="5580" w:type="dxa"/>
            <w:vAlign w:val="bottom"/>
          </w:tcPr>
          <w:p>
            <w:pPr>
              <w:ind w:left="380"/>
              <w:spacing w:after="0"/>
              <w:rPr>
                <w:sz w:val="20"/>
                <w:szCs w:val="20"/>
                <w:color w:val="auto"/>
              </w:rPr>
            </w:pPr>
            <w:r>
              <w:rPr>
                <w:rFonts w:ascii="Arial" w:cs="Arial" w:eastAsia="Arial" w:hAnsi="Arial"/>
                <w:sz w:val="19"/>
                <w:szCs w:val="19"/>
                <w:color w:val="auto"/>
                <w:w w:val="92"/>
              </w:rPr>
              <w:t>cells that help maintain the blood-brain barrier, provide nutrients to</w:t>
            </w:r>
          </w:p>
        </w:tc>
        <w:tc>
          <w:tcPr>
            <w:tcW w:w="6060" w:type="dxa"/>
            <w:vAlign w:val="bottom"/>
          </w:tcPr>
          <w:p>
            <w:pPr>
              <w:ind w:left="980"/>
              <w:spacing w:after="0"/>
              <w:rPr>
                <w:sz w:val="20"/>
                <w:szCs w:val="20"/>
                <w:color w:val="auto"/>
              </w:rPr>
            </w:pPr>
            <w:r>
              <w:rPr>
                <w:rFonts w:ascii="Arial" w:cs="Arial" w:eastAsia="Arial" w:hAnsi="Arial"/>
                <w:sz w:val="19"/>
                <w:szCs w:val="19"/>
                <w:color w:val="auto"/>
              </w:rPr>
              <w:t>astrocytes leading to neuronal cell death</w:t>
            </w:r>
          </w:p>
        </w:tc>
      </w:tr>
      <w:tr>
        <w:trPr>
          <w:trHeight w:val="228"/>
        </w:trPr>
        <w:tc>
          <w:tcPr>
            <w:tcW w:w="5580" w:type="dxa"/>
            <w:vAlign w:val="bottom"/>
          </w:tcPr>
          <w:p>
            <w:pPr>
              <w:ind w:left="380"/>
              <w:spacing w:after="0"/>
              <w:rPr>
                <w:sz w:val="20"/>
                <w:szCs w:val="20"/>
                <w:color w:val="auto"/>
              </w:rPr>
            </w:pPr>
            <w:r>
              <w:rPr>
                <w:rFonts w:ascii="Arial" w:cs="Arial" w:eastAsia="Arial" w:hAnsi="Arial"/>
                <w:sz w:val="19"/>
                <w:szCs w:val="19"/>
                <w:color w:val="auto"/>
              </w:rPr>
              <w:t>neurons, repair the nerve tissue following injury, and facilitate</w:t>
            </w:r>
          </w:p>
        </w:tc>
        <w:tc>
          <w:tcPr>
            <w:tcW w:w="6060" w:type="dxa"/>
            <w:vAlign w:val="bottom"/>
          </w:tcPr>
          <w:p>
            <w:pPr>
              <w:spacing w:after="0"/>
              <w:rPr>
                <w:sz w:val="19"/>
                <w:szCs w:val="19"/>
                <w:color w:val="auto"/>
              </w:rPr>
            </w:pPr>
          </w:p>
        </w:tc>
      </w:tr>
      <w:tr>
        <w:trPr>
          <w:trHeight w:val="242"/>
        </w:trPr>
        <w:tc>
          <w:tcPr>
            <w:tcW w:w="5580" w:type="dxa"/>
            <w:vAlign w:val="bottom"/>
          </w:tcPr>
          <w:p>
            <w:pPr>
              <w:ind w:left="380"/>
              <w:spacing w:after="0"/>
              <w:rPr>
                <w:sz w:val="20"/>
                <w:szCs w:val="20"/>
                <w:color w:val="auto"/>
              </w:rPr>
            </w:pPr>
            <w:r>
              <w:rPr>
                <w:rFonts w:ascii="Arial" w:cs="Arial" w:eastAsia="Arial" w:hAnsi="Arial"/>
                <w:sz w:val="19"/>
                <w:szCs w:val="19"/>
                <w:color w:val="auto"/>
              </w:rPr>
              <w:t>neurotransmission</w:t>
            </w:r>
          </w:p>
        </w:tc>
        <w:tc>
          <w:tcPr>
            <w:tcW w:w="6060" w:type="dxa"/>
            <w:vAlign w:val="bottom"/>
          </w:tcPr>
          <w:p>
            <w:pPr>
              <w:spacing w:after="0"/>
              <w:rPr>
                <w:sz w:val="21"/>
                <w:szCs w:val="21"/>
                <w:color w:val="auto"/>
              </w:rPr>
            </w:pPr>
          </w:p>
        </w:tc>
      </w:tr>
      <w:tr>
        <w:trPr>
          <w:trHeight w:val="115"/>
        </w:trPr>
        <w:tc>
          <w:tcPr>
            <w:tcW w:w="5580" w:type="dxa"/>
            <w:vAlign w:val="bottom"/>
            <w:shd w:val="clear" w:color="auto" w:fill="D8D8D8"/>
          </w:tcPr>
          <w:p>
            <w:pPr>
              <w:spacing w:after="0"/>
              <w:rPr>
                <w:sz w:val="9"/>
                <w:szCs w:val="9"/>
                <w:color w:val="auto"/>
              </w:rPr>
            </w:pPr>
          </w:p>
        </w:tc>
        <w:tc>
          <w:tcPr>
            <w:tcW w:w="6060" w:type="dxa"/>
            <w:vAlign w:val="bottom"/>
            <w:shd w:val="clear" w:color="auto" w:fill="D8D8D8"/>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-71755</wp:posOffset>
            </wp:positionV>
            <wp:extent cx="7389495" cy="4527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89495" cy="452755"/>
                    </a:xfrm>
                    <a:prstGeom prst="rect">
                      <a:avLst/>
                    </a:prstGeom>
                    <a:noFill/>
                  </pic:spPr>
                </pic:pic>
              </a:graphicData>
            </a:graphic>
          </wp:anchor>
        </w:drawing>
      </w:r>
    </w:p>
    <w:p>
      <w:pPr>
        <w:sectPr>
          <w:pgSz w:w="12240" w:h="15840" w:orient="portrait"/>
          <w:cols w:equalWidth="0" w:num="1">
            <w:col w:w="11820"/>
          </w:cols>
          <w:pgMar w:left="120" w:top="337" w:right="300" w:bottom="1440" w:gutter="0" w:footer="0" w:header="0"/>
          <w:type w:val="continuous"/>
        </w:sectPr>
      </w:pPr>
    </w:p>
    <w:p>
      <w:pPr>
        <w:ind w:left="560" w:right="149" w:hanging="286"/>
        <w:spacing w:after="0" w:line="260" w:lineRule="auto"/>
        <w:tabs>
          <w:tab w:leader="none" w:pos="543" w:val="left"/>
        </w:tabs>
        <w:numPr>
          <w:ilvl w:val="0"/>
          <w:numId w:val="64"/>
        </w:numPr>
        <w:rPr>
          <w:rFonts w:ascii="Arial" w:cs="Arial" w:eastAsia="Arial" w:hAnsi="Arial"/>
          <w:sz w:val="19"/>
          <w:szCs w:val="19"/>
          <w:color w:val="auto"/>
        </w:rPr>
      </w:pPr>
      <w:r>
        <w:rPr>
          <w:rFonts w:ascii="Arial" w:cs="Arial" w:eastAsia="Arial" w:hAnsi="Arial"/>
          <w:sz w:val="19"/>
          <w:szCs w:val="19"/>
          <w:color w:val="auto"/>
        </w:rPr>
        <w:t>Control the survival and function of oligodendrocytes that provide protective myelin sheaths around nerve fibers</w:t>
      </w:r>
    </w:p>
    <w:p>
      <w:pPr>
        <w:spacing w:after="0" w:line="20" w:lineRule="exact"/>
        <w:rPr>
          <w:sz w:val="20"/>
          <w:szCs w:val="20"/>
          <w:color w:val="auto"/>
        </w:rPr>
      </w:pPr>
      <w:r>
        <w:rPr>
          <w:sz w:val="20"/>
          <w:szCs w:val="20"/>
          <w:color w:val="auto"/>
        </w:rPr>
        <w:br w:type="column"/>
      </w:r>
    </w:p>
    <w:p>
      <w:pPr>
        <w:ind w:left="291" w:right="840" w:hanging="291"/>
        <w:spacing w:after="0" w:line="260" w:lineRule="auto"/>
        <w:tabs>
          <w:tab w:leader="none" w:pos="274" w:val="left"/>
        </w:tabs>
        <w:numPr>
          <w:ilvl w:val="0"/>
          <w:numId w:val="65"/>
        </w:numPr>
        <w:rPr>
          <w:rFonts w:ascii="Arial" w:cs="Arial" w:eastAsia="Arial" w:hAnsi="Arial"/>
          <w:sz w:val="19"/>
          <w:szCs w:val="19"/>
          <w:color w:val="auto"/>
        </w:rPr>
      </w:pPr>
      <w:r>
        <w:rPr>
          <w:rFonts w:ascii="Arial" w:cs="Arial" w:eastAsia="Arial" w:hAnsi="Arial"/>
          <w:sz w:val="19"/>
          <w:szCs w:val="19"/>
          <w:color w:val="auto"/>
        </w:rPr>
        <w:t>Failure to support oligodendrocytes, leading to neuronal dysfunction</w:t>
      </w:r>
    </w:p>
    <w:p>
      <w:pPr>
        <w:spacing w:after="0" w:line="200" w:lineRule="exact"/>
        <w:rPr>
          <w:sz w:val="20"/>
          <w:szCs w:val="20"/>
          <w:color w:val="auto"/>
        </w:rPr>
      </w:pPr>
    </w:p>
    <w:p>
      <w:pPr>
        <w:sectPr>
          <w:pgSz w:w="12240" w:h="15840" w:orient="portrait"/>
          <w:cols w:equalWidth="0" w:num="2">
            <w:col w:w="5729" w:space="720"/>
            <w:col w:w="5371"/>
          </w:cols>
          <w:pgMar w:left="120" w:top="337" w:right="300" w:bottom="1440" w:gutter="0" w:footer="0" w:header="0"/>
          <w:type w:val="continuous"/>
        </w:sectPr>
      </w:pPr>
    </w:p>
    <w:p>
      <w:pPr>
        <w:spacing w:after="0" w:line="36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Discovery Platform</w:t>
      </w:r>
    </w:p>
    <w:p>
      <w:pPr>
        <w:spacing w:after="0" w:line="130" w:lineRule="exact"/>
        <w:rPr>
          <w:sz w:val="20"/>
          <w:szCs w:val="20"/>
          <w:color w:val="auto"/>
        </w:rPr>
      </w:pPr>
    </w:p>
    <w:p>
      <w:pPr>
        <w:ind w:left="180" w:right="40" w:firstLine="465"/>
        <w:spacing w:after="0" w:line="255" w:lineRule="auto"/>
        <w:rPr>
          <w:sz w:val="20"/>
          <w:szCs w:val="20"/>
          <w:color w:val="auto"/>
        </w:rPr>
      </w:pPr>
      <w:r>
        <w:rPr>
          <w:rFonts w:ascii="Arial" w:cs="Arial" w:eastAsia="Arial" w:hAnsi="Arial"/>
          <w:sz w:val="19"/>
          <w:szCs w:val="19"/>
          <w:color w:val="auto"/>
        </w:rPr>
        <w:t>Our Discovery Platform leverages human genetic datasets, advanced tools in bioinformatics and imaging, and insights in neurodegeneration and immunology to: (1) identify immune system targets that play a critical role in the development of multiple neurodegenerative diseases, and rapidly develop antibody therapeutics to these targets, (2) interrogate and prioritize those targets for activity using biomarkers and related proprietary assays and preclinical models, and (3) clinically test product candidates in genetically defined patient populations that are most likely to respond to treatment. We believe that these platform capabilities provide us with the tools to solve the conceptual and technical challenges associated with development of drug candidates for neurodegeneration.</w:t>
      </w:r>
    </w:p>
    <w:p>
      <w:pPr>
        <w:spacing w:after="0" w:line="204" w:lineRule="exact"/>
        <w:rPr>
          <w:sz w:val="20"/>
          <w:szCs w:val="20"/>
          <w:color w:val="auto"/>
        </w:rPr>
      </w:pPr>
    </w:p>
    <w:p>
      <w:pPr>
        <w:ind w:left="180" w:right="380" w:firstLine="465"/>
        <w:spacing w:after="0" w:line="259" w:lineRule="auto"/>
        <w:rPr>
          <w:sz w:val="20"/>
          <w:szCs w:val="20"/>
          <w:color w:val="auto"/>
        </w:rPr>
      </w:pPr>
      <w:r>
        <w:rPr>
          <w:rFonts w:ascii="Arial" w:cs="Arial" w:eastAsia="Arial" w:hAnsi="Arial"/>
          <w:sz w:val="19"/>
          <w:szCs w:val="19"/>
          <w:color w:val="auto"/>
        </w:rPr>
        <w:t>We rely on proprietary immuno-neurology bioinformatics algorithms and methodologies to analyze large genetic datasets from diseased and healthy individuals, brain-based gene expression profiling, brain-based proteomics, and human pathology. These proprietary capabilities allow us to rapidly identify tractable targets, pharmacodynamic biomarkers, and patient populations associated with aberrant immune function which lead to neurodegeneration. Specifically, the three priorities of our platform efforts are:</w:t>
      </w:r>
    </w:p>
    <w:p>
      <w:pPr>
        <w:spacing w:after="0" w:line="92" w:lineRule="exact"/>
        <w:rPr>
          <w:sz w:val="20"/>
          <w:szCs w:val="20"/>
          <w:color w:val="auto"/>
        </w:rPr>
      </w:pPr>
    </w:p>
    <w:p>
      <w:pPr>
        <w:ind w:left="1100" w:right="20" w:hanging="350"/>
        <w:spacing w:after="0" w:line="296" w:lineRule="auto"/>
        <w:tabs>
          <w:tab w:leader="none" w:pos="1100"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Target Selection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target selection capabilities address a wide array of factors that we believe inform efficient, optimized therapeutic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outcomes, including genetic and mechanistic rationale. We leverage our state-of-the-art bioinformatics to identify genetic mutations in the brain immune system that we believe are the root cause of neurodegeneration. We employ a suite of genetic tools to elucidate the immune dysfunction caused by these mutations. We then seek to engineer immune modulating antibody product candidates to functionally counteract the harmful consequence of these genetic mutations. We leverage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functional tools to validate the activity of our product</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96</w:t>
      </w:r>
    </w:p>
    <w:p>
      <w:pPr>
        <w:sectPr>
          <w:pgSz w:w="12240" w:h="15840" w:orient="portrait"/>
          <w:cols w:equalWidth="0" w:num="1">
            <w:col w:w="11820"/>
          </w:cols>
          <w:pgMar w:left="120" w:top="337" w:right="300" w:bottom="1440" w:gutter="0" w:footer="0" w:header="0"/>
          <w:type w:val="continuous"/>
        </w:sectPr>
      </w:pPr>
    </w:p>
    <w:bookmarkStart w:id="104" w:name="page105"/>
    <w:bookmarkEnd w:id="10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candidates and their ability to cross the blood brain barrier at sufficient quantities to be therapeutically effective.</w:t>
      </w:r>
    </w:p>
    <w:p>
      <w:pPr>
        <w:spacing w:after="0" w:line="132" w:lineRule="exact"/>
        <w:rPr>
          <w:sz w:val="20"/>
          <w:szCs w:val="20"/>
          <w:color w:val="auto"/>
        </w:rPr>
      </w:pPr>
    </w:p>
    <w:p>
      <w:pPr>
        <w:ind w:left="1100" w:right="80" w:hanging="350"/>
        <w:spacing w:after="0" w:line="266" w:lineRule="auto"/>
        <w:tabs>
          <w:tab w:leader="none" w:pos="1100" w:val="left"/>
        </w:tabs>
        <w:numPr>
          <w:ilvl w:val="0"/>
          <w:numId w:val="67"/>
        </w:numPr>
        <w:rPr>
          <w:rFonts w:ascii="Arial" w:cs="Arial" w:eastAsia="Arial" w:hAnsi="Arial"/>
          <w:sz w:val="19"/>
          <w:szCs w:val="19"/>
          <w:color w:val="auto"/>
        </w:rPr>
      </w:pPr>
      <w:r>
        <w:rPr>
          <w:rFonts w:ascii="Arial" w:cs="Arial" w:eastAsia="Arial" w:hAnsi="Arial"/>
          <w:sz w:val="19"/>
          <w:szCs w:val="19"/>
          <w:b w:val="1"/>
          <w:bCs w:val="1"/>
          <w:i w:val="1"/>
          <w:iCs w:val="1"/>
          <w:color w:val="auto"/>
        </w:rPr>
        <w:t>Biomarker Selection</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We are able to identify and employ molecular biomarkers, assays, and imaging techniques that are tailored to our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product candidates to confirm target engagement and quantify their therapeutic impact, allowing us to potentially obtain clinical data earlier than would be expected using traditional clinical measures.</w:t>
      </w:r>
    </w:p>
    <w:p>
      <w:pPr>
        <w:spacing w:after="0" w:line="86" w:lineRule="exact"/>
        <w:rPr>
          <w:rFonts w:ascii="Arial" w:cs="Arial" w:eastAsia="Arial" w:hAnsi="Arial"/>
          <w:sz w:val="19"/>
          <w:szCs w:val="19"/>
          <w:color w:val="auto"/>
        </w:rPr>
      </w:pPr>
    </w:p>
    <w:p>
      <w:pPr>
        <w:ind w:left="1100" w:right="100" w:hanging="350"/>
        <w:spacing w:after="0" w:line="282" w:lineRule="auto"/>
        <w:tabs>
          <w:tab w:leader="none" w:pos="1100" w:val="left"/>
        </w:tabs>
        <w:numPr>
          <w:ilvl w:val="0"/>
          <w:numId w:val="67"/>
        </w:numPr>
        <w:rPr>
          <w:rFonts w:ascii="Arial" w:cs="Arial" w:eastAsia="Arial" w:hAnsi="Arial"/>
          <w:sz w:val="19"/>
          <w:szCs w:val="19"/>
          <w:color w:val="auto"/>
        </w:rPr>
      </w:pPr>
      <w:r>
        <w:rPr>
          <w:rFonts w:ascii="Arial" w:cs="Arial" w:eastAsia="Arial" w:hAnsi="Arial"/>
          <w:sz w:val="19"/>
          <w:szCs w:val="19"/>
          <w:b w:val="1"/>
          <w:bCs w:val="1"/>
          <w:i w:val="1"/>
          <w:iCs w:val="1"/>
          <w:color w:val="auto"/>
        </w:rPr>
        <w:t>Patient Selection</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We utilize genetic screening and biomarkers to better align a patient’s specific diagnosis with the targeted intervention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each of our clinical studies.</w:t>
      </w:r>
    </w:p>
    <w:p>
      <w:pPr>
        <w:spacing w:after="0" w:line="177" w:lineRule="exact"/>
        <w:rPr>
          <w:sz w:val="20"/>
          <w:szCs w:val="20"/>
          <w:color w:val="auto"/>
        </w:rPr>
      </w:pPr>
    </w:p>
    <w:p>
      <w:pPr>
        <w:jc w:val="both"/>
        <w:ind w:left="180" w:firstLine="465"/>
        <w:spacing w:after="0" w:line="259" w:lineRule="auto"/>
        <w:rPr>
          <w:sz w:val="20"/>
          <w:szCs w:val="20"/>
          <w:color w:val="auto"/>
        </w:rPr>
      </w:pPr>
      <w:r>
        <w:rPr>
          <w:rFonts w:ascii="Arial" w:cs="Arial" w:eastAsia="Arial" w:hAnsi="Arial"/>
          <w:sz w:val="19"/>
          <w:szCs w:val="19"/>
          <w:color w:val="auto"/>
        </w:rPr>
        <w:t>We employ gene expression profiling, proteomics, brain imaging, and data on disease pathology as well as our own preclinical and clinical data to continually refine our proprietary immuno-neurology algorithms and methodologies. Using our Discovery Platform to identify targets that are validated by human genetics, disease biomarkers, and responsive patient populations, we believe that we are positioned for greater probability of technical success on more efficient timelines relative to historical drug development in neurodegeneration.</w:t>
      </w:r>
    </w:p>
    <w:p>
      <w:pPr>
        <w:spacing w:after="0" w:line="198" w:lineRule="exact"/>
        <w:rPr>
          <w:sz w:val="20"/>
          <w:szCs w:val="20"/>
          <w:color w:val="auto"/>
        </w:rPr>
      </w:pPr>
    </w:p>
    <w:p>
      <w:pPr>
        <w:ind w:left="180" w:right="20" w:firstLine="465"/>
        <w:spacing w:after="0" w:line="270" w:lineRule="auto"/>
        <w:rPr>
          <w:sz w:val="20"/>
          <w:szCs w:val="20"/>
          <w:color w:val="auto"/>
        </w:rPr>
      </w:pPr>
      <w:r>
        <w:rPr>
          <w:rFonts w:ascii="Arial" w:cs="Arial" w:eastAsia="Arial" w:hAnsi="Arial"/>
          <w:sz w:val="18"/>
          <w:szCs w:val="18"/>
          <w:color w:val="auto"/>
        </w:rPr>
        <w:t>In the last five years, we have identified over forty immune system targets through genetic analysis and efficiently advanced more than ten programs to preclinical research. In the second half of 2018, AL001, initially aimed at treating FTD-GRN patients, successfully demonstrated proof-of-mechanism in a dose-escalating Phase 1a study in healthy volunteers by showing a statistically significant increase in PGRN levels relative to baseline when compared to pooled placebo in plasma and in CSF in measured cohorts at the pre-specified follow-up time point. We plan to advance AL001 into a Phase 1b study with proof-of-mechanism data in FTD-GRN patients expected in the first half of 2019 and a Phase 2 study with proof-of-concept data in FTD-GRN patients expected in the first half of 2020. In the second half of 2018, we also initiated a dose escalation Phase 1 study in healthy volunteers with AL002, a product candidate for Alzheimer’s disease. In addition, we expect to initiate Phase 1 studies of AL003, a product candidate for Alzheimer’s disease, and AL101, a product candidate for multiple neurodegenerative disorders, in 2019.</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Pipeline Programs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Progranulin Program</w:t>
      </w:r>
    </w:p>
    <w:p>
      <w:pPr>
        <w:spacing w:after="0" w:line="124" w:lineRule="exact"/>
        <w:rPr>
          <w:sz w:val="20"/>
          <w:szCs w:val="20"/>
          <w:color w:val="auto"/>
        </w:rPr>
      </w:pPr>
    </w:p>
    <w:p>
      <w:pPr>
        <w:ind w:left="180" w:firstLine="465"/>
        <w:spacing w:after="0" w:line="271" w:lineRule="auto"/>
        <w:rPr>
          <w:sz w:val="20"/>
          <w:szCs w:val="20"/>
          <w:color w:val="auto"/>
        </w:rPr>
      </w:pPr>
      <w:r>
        <w:rPr>
          <w:rFonts w:ascii="Arial" w:cs="Arial" w:eastAsia="Arial" w:hAnsi="Arial"/>
          <w:sz w:val="18"/>
          <w:szCs w:val="18"/>
          <w:color w:val="auto"/>
        </w:rPr>
        <w:t>Our first development program is focused on modulating levels of PGRN, a key regulator of microglia function in the brain with strong genetic links to FTD and other neurodegenerative disorders. Healthy individuals carry two copies of PGRN that function together to produce healthy levels of PGRN throughout the body. Mutations in both copies of the PGRN gene lead to a neurodegenerative disease called neuronal ceroid lipofuscinosis, which is typified by childhood dementia, vision loss, and epilepsy. Mutations in a single copy of PGRN lead to a drop of between 50% and 70% in the level of PGRN and consequently lead to development of FTD with greater than 90% probability. Moreover, large scale human genetic studies have shown that mutations in the gene for PGRN, which leads to a more modest decrease in the level of PGRN, increases the risk for Alzheimer’s disease and Parkinson’s disease, making PGRN a significant risk gene for these disorders as well.</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97</w:t>
      </w:r>
    </w:p>
    <w:p>
      <w:pPr>
        <w:sectPr>
          <w:pgSz w:w="12240" w:h="15840" w:orient="portrait"/>
          <w:cols w:equalWidth="0" w:num="1">
            <w:col w:w="11800"/>
          </w:cols>
          <w:pgMar w:left="120" w:top="336" w:right="320" w:bottom="1440" w:gutter="0" w:footer="0" w:header="0"/>
        </w:sectPr>
      </w:pPr>
    </w:p>
    <w:bookmarkStart w:id="105" w:name="page106"/>
    <w:bookmarkEnd w:id="10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00" w:firstLine="465"/>
        <w:spacing w:after="0" w:line="256" w:lineRule="auto"/>
        <w:rPr>
          <w:sz w:val="20"/>
          <w:szCs w:val="20"/>
          <w:color w:val="auto"/>
        </w:rPr>
      </w:pPr>
      <w:r>
        <w:rPr>
          <w:rFonts w:ascii="Arial" w:cs="Arial" w:eastAsia="Arial" w:hAnsi="Arial"/>
          <w:sz w:val="19"/>
          <w:szCs w:val="19"/>
          <w:color w:val="auto"/>
        </w:rPr>
        <w:t>Healthy levels of PGRN are associated with many cellular processes that include, but are not limited to, normal microglial activities, neuronal survival, and lysosome function. As shown in the figure below (Figure 5), PGRN deficiency disrupts microglia-neuronal homeostasis in the brain and promotes neurodegeneration through the release of cytotoxic cytokines and complement factors by dysfunctional microglia. Moreover, these microglia activate astrocytes, which in turn, damage neurons. Thus, lack of PGRN leads to disrupted health and function of both neurons and microglia and if not corrected, rapid neurodegeneration.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1236980</wp:posOffset>
            </wp:positionH>
            <wp:positionV relativeFrom="paragraph">
              <wp:posOffset>156845</wp:posOffset>
            </wp:positionV>
            <wp:extent cx="5143500" cy="37401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374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Figure 5. PGRN deficiency disrupts homeostasis between microglia and neurons, and promotes neurodegeneration during aging.</w:t>
      </w:r>
      <w:r>
        <w:rPr>
          <w:rFonts w:ascii="Arial" w:cs="Arial" w:eastAsia="Arial" w:hAnsi="Arial"/>
          <w:sz w:val="15"/>
          <w:szCs w:val="15"/>
          <w:b w:val="1"/>
          <w:bCs w:val="1"/>
          <w:color w:val="auto"/>
        </w:rPr>
        <w:t>1</w:t>
      </w:r>
    </w:p>
    <w:p>
      <w:pPr>
        <w:spacing w:after="0" w:line="36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SORT1 Controls PGRN Levels in the Body</w:t>
      </w:r>
    </w:p>
    <w:p>
      <w:pPr>
        <w:spacing w:after="0" w:line="124"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Human and mouse genetic studies have identified SORT1 as a major negative regulator of PGRN levels in plasma and the brain. SORT1 is a sorting receptor on the cell surface and on the endoplasmic reticulum-Golgi apparatus within the cell. SORT1 binds to extracellular PGRN in the plasma and brain and transports it into the cells for degradation by the lysosome resulting in decreasing levels of extracellular PGRN. SORT1 deficiency increases PGRN plasma and brain levels by two to three-fold in mouse models, while variants that modestly reduce expression of SORT1 increase the level of PGRN in humans.</w:t>
      </w:r>
    </w:p>
    <w:p>
      <w:pPr>
        <w:spacing w:after="0" w:line="204" w:lineRule="exact"/>
        <w:rPr>
          <w:sz w:val="20"/>
          <w:szCs w:val="20"/>
          <w:color w:val="auto"/>
        </w:rPr>
      </w:pPr>
    </w:p>
    <w:p>
      <w:pPr>
        <w:ind w:left="180" w:right="100" w:firstLine="465"/>
        <w:spacing w:after="0" w:line="263" w:lineRule="auto"/>
        <w:rPr>
          <w:sz w:val="20"/>
          <w:szCs w:val="20"/>
          <w:color w:val="auto"/>
        </w:rPr>
      </w:pPr>
      <w:r>
        <w:rPr>
          <w:rFonts w:ascii="Arial" w:cs="Arial" w:eastAsia="Arial" w:hAnsi="Arial"/>
          <w:sz w:val="19"/>
          <w:szCs w:val="19"/>
          <w:color w:val="auto"/>
        </w:rPr>
        <w:t>Moreover, genetic loss of SORT1 in mice does not lead to the adverse effects associated with genetic loss of PGRN, and PGRN continue to function as expected in the absence of SORT1. These studies and others have indicated to us that blocking SORT1 with a pharmacological agent would be a safe and effective approach in increasing the level of functional PGRN in the brain.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78105</wp:posOffset>
            </wp:positionV>
            <wp:extent cx="7423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41" w:lineRule="exact"/>
        <w:rPr>
          <w:sz w:val="20"/>
          <w:szCs w:val="20"/>
          <w:color w:val="auto"/>
        </w:rPr>
      </w:pPr>
    </w:p>
    <w:p>
      <w:pPr>
        <w:ind w:left="300" w:hanging="121"/>
        <w:spacing w:after="0"/>
        <w:tabs>
          <w:tab w:leader="none" w:pos="300" w:val="left"/>
        </w:tabs>
        <w:numPr>
          <w:ilvl w:val="0"/>
          <w:numId w:val="68"/>
        </w:numPr>
        <w:rPr>
          <w:rFonts w:ascii="Arial" w:cs="Arial" w:eastAsia="Arial" w:hAnsi="Arial"/>
          <w:sz w:val="11"/>
          <w:szCs w:val="11"/>
          <w:color w:val="auto"/>
        </w:rPr>
      </w:pPr>
      <w:r>
        <w:rPr>
          <w:rFonts w:ascii="Arial" w:cs="Arial" w:eastAsia="Arial" w:hAnsi="Arial"/>
          <w:sz w:val="13"/>
          <w:szCs w:val="13"/>
          <w:color w:val="auto"/>
        </w:rPr>
        <w:t xml:space="preserve">Kao, A., McKay, A., Singh, P., Brunet, A., Huang, E. “Progranulin, lysosomal regulation and neurodegenerative disease.” </w:t>
      </w:r>
      <w:r>
        <w:rPr>
          <w:rFonts w:ascii="Arial" w:cs="Arial" w:eastAsia="Arial" w:hAnsi="Arial"/>
          <w:sz w:val="13"/>
          <w:szCs w:val="13"/>
          <w:i w:val="1"/>
          <w:iCs w:val="1"/>
          <w:color w:val="auto"/>
        </w:rPr>
        <w:t>Nature Reviews Neuroscience.</w:t>
      </w:r>
      <w:r>
        <w:rPr>
          <w:rFonts w:ascii="Arial" w:cs="Arial" w:eastAsia="Arial" w:hAnsi="Arial"/>
          <w:sz w:val="13"/>
          <w:szCs w:val="13"/>
          <w:color w:val="auto"/>
        </w:rPr>
        <w:t xml:space="preserve"> Volume 18, Number 6, June 2017.</w:t>
      </w:r>
    </w:p>
    <w:p>
      <w:pPr>
        <w:spacing w:after="0" w:line="169"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98</w:t>
      </w:r>
    </w:p>
    <w:p>
      <w:pPr>
        <w:sectPr>
          <w:pgSz w:w="12240" w:h="15840" w:orient="portrait"/>
          <w:cols w:equalWidth="0" w:num="1">
            <w:col w:w="11780"/>
          </w:cols>
          <w:pgMar w:left="120" w:top="336" w:right="340" w:bottom="1440" w:gutter="0" w:footer="0" w:header="0"/>
        </w:sectPr>
      </w:pPr>
    </w:p>
    <w:bookmarkStart w:id="106" w:name="page107"/>
    <w:bookmarkEnd w:id="10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20" w:firstLine="465"/>
        <w:spacing w:after="0" w:line="294" w:lineRule="auto"/>
        <w:rPr>
          <w:sz w:val="20"/>
          <w:szCs w:val="20"/>
          <w:color w:val="auto"/>
        </w:rPr>
      </w:pPr>
      <w:r>
        <w:rPr>
          <w:rFonts w:ascii="Arial" w:cs="Arial" w:eastAsia="Arial" w:hAnsi="Arial"/>
          <w:sz w:val="17"/>
          <w:szCs w:val="17"/>
          <w:color w:val="auto"/>
        </w:rPr>
        <w:t>We have developed two distinct product candidates that target SORT1, AL001 and AL101, designed to increase PGRN levels in the brain of patients to counteract the damage sustained due to low PGRN levels in neurodegenerative disorders. Our first product candidate, AL001, is initially intended to target orphan disorders, including genetic forms of FTD such as in patients that are missing a functional copy of the PGRN gene (FTD-GRN). Our second PGRN product candidate, AL101, is intended to target widely prevalent neurodegenerative disorders such as Alzheimer’s disease and Parkinson’s disease. We have worldwide development and commercial rights to our PGRN product candidates.</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AL001 for the Treatment of FTD</w:t>
      </w:r>
    </w:p>
    <w:p>
      <w:pPr>
        <w:spacing w:after="0" w:line="124" w:lineRule="exact"/>
        <w:rPr>
          <w:sz w:val="20"/>
          <w:szCs w:val="20"/>
          <w:color w:val="auto"/>
        </w:rPr>
      </w:pPr>
    </w:p>
    <w:p>
      <w:pPr>
        <w:ind w:left="180" w:firstLine="465"/>
        <w:spacing w:after="0" w:line="271" w:lineRule="auto"/>
        <w:rPr>
          <w:sz w:val="20"/>
          <w:szCs w:val="20"/>
          <w:color w:val="auto"/>
        </w:rPr>
      </w:pPr>
      <w:r>
        <w:rPr>
          <w:rFonts w:ascii="Arial" w:cs="Arial" w:eastAsia="Arial" w:hAnsi="Arial"/>
          <w:sz w:val="18"/>
          <w:szCs w:val="18"/>
          <w:color w:val="auto"/>
        </w:rPr>
        <w:t>Our first product candidate, AL001, is a humanized recombinant monoclonal antibody that is intended to be delivered by intravenous, peripheral infusion to the blood stream to increase the levels of PGRN in the brains of FTD-GRN patients. AL001 functions by shutting down the SORT1 degradation mechanism for PGRN and increasing the circulating half-life of the functional PGRN in the brain. AL001 received orphan drug designation from the FDA for the treatment of FTD in 2018. Generally, if a product with an orphan drug designation subsequently receives the first marketing approval for the indication for which it has such designation, the product is entitled to a period of market exclusivity. This exclusivity precludes the FDA from approving another marketing application for the same indication for that time period, unless the later product is clinically superior. Orphan drug designation does not convey any advantage in, or shorten the duration of, the regulatory review and approval process.</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Overview of FTD</w:t>
      </w:r>
    </w:p>
    <w:p>
      <w:pPr>
        <w:spacing w:after="0" w:line="124" w:lineRule="exact"/>
        <w:rPr>
          <w:sz w:val="20"/>
          <w:szCs w:val="20"/>
          <w:color w:val="auto"/>
        </w:rPr>
      </w:pPr>
    </w:p>
    <w:p>
      <w:pPr>
        <w:ind w:left="180" w:right="80" w:firstLine="465"/>
        <w:spacing w:after="0" w:line="272" w:lineRule="auto"/>
        <w:rPr>
          <w:sz w:val="20"/>
          <w:szCs w:val="20"/>
          <w:color w:val="auto"/>
        </w:rPr>
      </w:pPr>
      <w:r>
        <w:rPr>
          <w:rFonts w:ascii="Arial" w:cs="Arial" w:eastAsia="Arial" w:hAnsi="Arial"/>
          <w:sz w:val="18"/>
          <w:szCs w:val="18"/>
          <w:color w:val="auto"/>
        </w:rPr>
        <w:t>FTD is a rapidly progressing and severe degenerative brain disease with no approved treatment. FTD is a form of dementia found most frequently in individuals less than 65 years old at time of diagnosis. Patients with FTD exhibit a range of symptoms including personality changes including compulsive behavior, lack of restraint, apathy, and anxiety as well as language and behavioral problems. Average life expectancy in FTD patients is seven to 10 years after the start of symptoms. FTD symptoms have an insidious onset with clinical symptoms usually appearing between 45 to 65 years of age at an average age of 58. Hence, FTD is considered an early-onset dementia as compared to late-onset Alzheimer’s disease, and is more common than Alzheimer’s disease in early-onset dementia under the age of 60 years.</w:t>
      </w:r>
    </w:p>
    <w:p>
      <w:pPr>
        <w:spacing w:after="0" w:line="190" w:lineRule="exact"/>
        <w:rPr>
          <w:sz w:val="20"/>
          <w:szCs w:val="20"/>
          <w:color w:val="auto"/>
        </w:rPr>
      </w:pPr>
    </w:p>
    <w:p>
      <w:pPr>
        <w:ind w:left="180" w:right="60" w:firstLine="465"/>
        <w:spacing w:after="0" w:line="291" w:lineRule="auto"/>
        <w:rPr>
          <w:sz w:val="20"/>
          <w:szCs w:val="20"/>
          <w:color w:val="auto"/>
        </w:rPr>
      </w:pPr>
      <w:r>
        <w:rPr>
          <w:rFonts w:ascii="Arial" w:cs="Arial" w:eastAsia="Arial" w:hAnsi="Arial"/>
          <w:sz w:val="17"/>
          <w:szCs w:val="17"/>
          <w:color w:val="auto"/>
        </w:rPr>
        <w:t>Although FTD was poorly understood and thought to be rare, over the past decade the scientific community has gained a knowledge about the biology of FTD as well as an awareness of disease prevalence. FTD affects 50,000 to 60,000 individuals in the United States and roughly 110,000 individuals in the European Union. There are multiple heritable forms of FTD, such as FTD-GRN, which represent 5% to 10% of all patients with FTD, and approximately 22% of heritable FTD cases. Healthy individuals carry two copies of PGRN that function together to produce sufficient levels of PGRN throughout the body. Mutations in a single copy of PGRN lead to a 50% or greater decrease in the level of PGRN and lead to development of FTD with a greater than 90% probability. Researchers have identified over 70 inherited loss of function mutations in PGRN that lead to FTD to date.</w:t>
      </w:r>
    </w:p>
    <w:p>
      <w:pPr>
        <w:spacing w:after="0" w:line="175" w:lineRule="exact"/>
        <w:rPr>
          <w:sz w:val="20"/>
          <w:szCs w:val="20"/>
          <w:color w:val="auto"/>
        </w:rPr>
      </w:pPr>
    </w:p>
    <w:p>
      <w:pPr>
        <w:ind w:left="180" w:right="80" w:firstLine="465"/>
        <w:spacing w:after="0" w:line="263" w:lineRule="auto"/>
        <w:rPr>
          <w:sz w:val="20"/>
          <w:szCs w:val="20"/>
          <w:color w:val="auto"/>
        </w:rPr>
      </w:pPr>
      <w:r>
        <w:rPr>
          <w:rFonts w:ascii="Arial" w:cs="Arial" w:eastAsia="Arial" w:hAnsi="Arial"/>
          <w:sz w:val="19"/>
          <w:szCs w:val="19"/>
          <w:color w:val="auto"/>
        </w:rPr>
        <w:t>The rate of disease progression in FTD is faster than in Alzheimer’s disease, suggesting that clinical trials with disease-modifying agents have the potential to obtain clinical data more quickly and with fewer subjects in FTD than in Alzheimer’s disease. For example, the median survival from symptom onset in FTD is shorter than in Alzheimer’s disease.</w:t>
      </w:r>
    </w:p>
    <w:p>
      <w:pPr>
        <w:spacing w:after="0" w:line="194" w:lineRule="exact"/>
        <w:rPr>
          <w:sz w:val="20"/>
          <w:szCs w:val="20"/>
          <w:color w:val="auto"/>
        </w:rPr>
      </w:pPr>
    </w:p>
    <w:p>
      <w:pPr>
        <w:ind w:left="180" w:right="80" w:firstLine="465"/>
        <w:spacing w:after="0" w:line="256" w:lineRule="auto"/>
        <w:rPr>
          <w:sz w:val="20"/>
          <w:szCs w:val="20"/>
          <w:color w:val="auto"/>
        </w:rPr>
      </w:pPr>
      <w:r>
        <w:rPr>
          <w:rFonts w:ascii="Arial" w:cs="Arial" w:eastAsia="Arial" w:hAnsi="Arial"/>
          <w:sz w:val="19"/>
          <w:szCs w:val="19"/>
          <w:color w:val="auto"/>
        </w:rPr>
        <w:t>We believe that we can establish rapid clinical proof-of-concept in FTD-GRN patients given its genetically-defined patient population, fast rate of disease progression, and our ability to leverage fluid and imaging biomarkers. In FTD-GRN patients, inhibition of SORT1 through AL001 represents a potential mechanism to compensate for the over 50% reduction of PGRN. AL001 is intended to reduce the ability of SORT1 to bind to and degrade PGRN, leading to increases in the levels of PGRN through increasing its circulating half-life (Figure 6). We have tested our PGRN program antibodies in various animal models, including mice, rats, and</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99</w:t>
      </w:r>
    </w:p>
    <w:p>
      <w:pPr>
        <w:sectPr>
          <w:pgSz w:w="12240" w:h="15840" w:orient="portrait"/>
          <w:cols w:equalWidth="0" w:num="1">
            <w:col w:w="11820"/>
          </w:cols>
          <w:pgMar w:left="120" w:top="336" w:right="300" w:bottom="1440" w:gutter="0" w:footer="0" w:header="0"/>
        </w:sectPr>
      </w:pPr>
    </w:p>
    <w:bookmarkStart w:id="107" w:name="page108"/>
    <w:bookmarkEnd w:id="10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color w:val="auto"/>
        </w:rPr>
        <w:t>non-human primates and have achieved significantly elevated, long-lasting levels of PGRN in the brain after intravenous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1400175</wp:posOffset>
            </wp:positionH>
            <wp:positionV relativeFrom="paragraph">
              <wp:posOffset>178435</wp:posOffset>
            </wp:positionV>
            <wp:extent cx="4817745" cy="33959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817745"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right="140"/>
        <w:spacing w:after="0" w:line="282" w:lineRule="auto"/>
        <w:rPr>
          <w:sz w:val="20"/>
          <w:szCs w:val="20"/>
          <w:color w:val="auto"/>
        </w:rPr>
      </w:pPr>
      <w:r>
        <w:rPr>
          <w:rFonts w:ascii="Arial" w:cs="Arial" w:eastAsia="Arial" w:hAnsi="Arial"/>
          <w:sz w:val="19"/>
          <w:szCs w:val="19"/>
          <w:b w:val="1"/>
          <w:bCs w:val="1"/>
          <w:color w:val="auto"/>
        </w:rPr>
        <w:t>Figure 6. Mechanism of action for our PGRN programs. AL001 binds to SORT1 and prevents degradation of PGRN, increasing its circulating half-life significantly. A similar mechanism of action is also applicable for AL101.</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AL101 for the Treatment of Alzheimer’s Disease and Parkinson’s Disease</w:t>
      </w:r>
    </w:p>
    <w:p>
      <w:pPr>
        <w:spacing w:after="0" w:line="124" w:lineRule="exact"/>
        <w:rPr>
          <w:sz w:val="20"/>
          <w:szCs w:val="20"/>
          <w:color w:val="auto"/>
        </w:rPr>
      </w:pPr>
    </w:p>
    <w:p>
      <w:pPr>
        <w:ind w:left="180" w:right="920" w:firstLine="465"/>
        <w:spacing w:after="0" w:line="275" w:lineRule="auto"/>
        <w:rPr>
          <w:sz w:val="20"/>
          <w:szCs w:val="20"/>
          <w:color w:val="auto"/>
        </w:rPr>
      </w:pPr>
      <w:r>
        <w:rPr>
          <w:rFonts w:ascii="Arial" w:cs="Arial" w:eastAsia="Arial" w:hAnsi="Arial"/>
          <w:sz w:val="19"/>
          <w:szCs w:val="19"/>
          <w:color w:val="auto"/>
        </w:rPr>
        <w:t>We are developing a second product candidate in our PGRN program, AL101, that targets SORT1 for large patient populations such as Alzheimer’s disease and Parkinson’s disease.</w:t>
      </w:r>
    </w:p>
    <w:p>
      <w:pPr>
        <w:spacing w:after="0" w:line="184"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Mutations that moderately reduce the amount of PGRN in the brain increase the risk for Alzheimer’s disease and Parkinson’s disease. Moreover, some Parkinson’s disease patients have been shown to have reduced levels of PGRN. In line with our therapeutic hypothesis, we decided to target PGRN as a potential disease modifying therapeutic for patients suffering from Alzheimer’s disease or Parkinson’s disease once we achieve proof-of-concept in FTD patients.</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Overview of Alzheimer’s Disease</w:t>
      </w:r>
    </w:p>
    <w:p>
      <w:pPr>
        <w:spacing w:after="0" w:line="124" w:lineRule="exact"/>
        <w:rPr>
          <w:sz w:val="20"/>
          <w:szCs w:val="20"/>
          <w:color w:val="auto"/>
        </w:rPr>
      </w:pPr>
    </w:p>
    <w:p>
      <w:pPr>
        <w:ind w:left="180" w:right="180" w:firstLine="465"/>
        <w:spacing w:after="0" w:line="294" w:lineRule="auto"/>
        <w:rPr>
          <w:sz w:val="20"/>
          <w:szCs w:val="20"/>
          <w:color w:val="auto"/>
        </w:rPr>
      </w:pPr>
      <w:r>
        <w:rPr>
          <w:rFonts w:ascii="Arial" w:cs="Arial" w:eastAsia="Arial" w:hAnsi="Arial"/>
          <w:sz w:val="17"/>
          <w:szCs w:val="17"/>
          <w:color w:val="auto"/>
        </w:rPr>
        <w:t>Alzheimer’s disease is a chronic neurodegenerative disease that usually starts slowly in people over 65 years of age and worsens over time. It is the most common cause of dementia, accounting for 60% to 70% of all cases. The most common early symptom of Alzheimer’s disease is difficulty in remembering recent events. As the disease advances, symptoms can include problems with language, disorientation, mood swings, loss of motivation, failure to manage self-care, and behavioral issues. As a person’s condition declines, they often withdraw from family and society. Gradually, bodily functions are lost, leading to death. Although the speed of progression can vary, the typical life expectancy following diagnosis is eight to ten years.</w:t>
      </w:r>
    </w:p>
    <w:p>
      <w:pPr>
        <w:spacing w:after="0" w:line="172" w:lineRule="exact"/>
        <w:rPr>
          <w:sz w:val="20"/>
          <w:szCs w:val="20"/>
          <w:color w:val="auto"/>
        </w:rPr>
      </w:pPr>
    </w:p>
    <w:p>
      <w:pPr>
        <w:ind w:left="180" w:right="40" w:firstLine="465"/>
        <w:spacing w:after="0" w:line="275" w:lineRule="auto"/>
        <w:rPr>
          <w:sz w:val="20"/>
          <w:szCs w:val="20"/>
          <w:color w:val="auto"/>
        </w:rPr>
      </w:pPr>
      <w:r>
        <w:rPr>
          <w:rFonts w:ascii="Arial" w:cs="Arial" w:eastAsia="Arial" w:hAnsi="Arial"/>
          <w:sz w:val="19"/>
          <w:szCs w:val="19"/>
          <w:color w:val="auto"/>
        </w:rPr>
        <w:t>While estimates of the prevalence of Alzheimer’s disease vary, the Alzheimer’s Association estimates that, in 2018, there are 5.7 million people in the United States suffering from Alzheimer’s disease and that number is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100</w:t>
      </w:r>
    </w:p>
    <w:p>
      <w:pPr>
        <w:sectPr>
          <w:pgSz w:w="12240" w:h="15840" w:orient="portrait"/>
          <w:cols w:equalWidth="0" w:num="1">
            <w:col w:w="11820"/>
          </w:cols>
          <w:pgMar w:left="120" w:top="336" w:right="300" w:bottom="1440" w:gutter="0" w:footer="0" w:header="0"/>
        </w:sectPr>
      </w:pPr>
    </w:p>
    <w:bookmarkStart w:id="108" w:name="page109"/>
    <w:bookmarkEnd w:id="10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color w:val="auto"/>
        </w:rPr>
        <w:t>projected to rise to nearly 14 million by 2050. Alzheimer’s disease is the sixth leading cause of death in the United States.</w:t>
      </w:r>
    </w:p>
    <w:p>
      <w:pPr>
        <w:spacing w:after="0" w:line="238" w:lineRule="exact"/>
        <w:rPr>
          <w:sz w:val="20"/>
          <w:szCs w:val="20"/>
          <w:color w:val="auto"/>
        </w:rPr>
      </w:pPr>
    </w:p>
    <w:p>
      <w:pPr>
        <w:ind w:left="180" w:firstLine="465"/>
        <w:spacing w:after="0" w:line="284" w:lineRule="auto"/>
        <w:rPr>
          <w:sz w:val="20"/>
          <w:szCs w:val="20"/>
          <w:color w:val="auto"/>
        </w:rPr>
      </w:pPr>
      <w:r>
        <w:rPr>
          <w:rFonts w:ascii="Arial" w:cs="Arial" w:eastAsia="Arial" w:hAnsi="Arial"/>
          <w:sz w:val="18"/>
          <w:szCs w:val="18"/>
          <w:color w:val="auto"/>
        </w:rPr>
        <w:t>In addition to its debilitating effect on patients’ cognition and day-to-day functioning, Alzheimer’s disease places a significant burden on the healthcare system. According to the Alzheimer’s Association, the aggregate cost of care in 2018 for patients with Alzheimer’s disease and other types of dementia in the United States was estimated to be $232 billion, over half of which is borne by the Medicare system.</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Overview of Parkinson’s Disease</w:t>
      </w:r>
    </w:p>
    <w:p>
      <w:pPr>
        <w:spacing w:after="0" w:line="124" w:lineRule="exact"/>
        <w:rPr>
          <w:sz w:val="20"/>
          <w:szCs w:val="20"/>
          <w:color w:val="auto"/>
        </w:rPr>
      </w:pPr>
    </w:p>
    <w:p>
      <w:pPr>
        <w:ind w:left="180" w:right="140" w:firstLine="465"/>
        <w:spacing w:after="0" w:line="294" w:lineRule="auto"/>
        <w:rPr>
          <w:sz w:val="20"/>
          <w:szCs w:val="20"/>
          <w:color w:val="auto"/>
        </w:rPr>
      </w:pPr>
      <w:r>
        <w:rPr>
          <w:rFonts w:ascii="Arial" w:cs="Arial" w:eastAsia="Arial" w:hAnsi="Arial"/>
          <w:sz w:val="17"/>
          <w:szCs w:val="17"/>
          <w:color w:val="auto"/>
        </w:rPr>
        <w:t>Parkinson’s disease is a long-term degenerative disorder of the central nervous system that mainly affects the motor system. Early in the disease, the most obvious symptoms are shaking, rigidity, slowness of movement, and difficulty with walking. Cognitive and behavioral problems may also occur. Dementia becomes common in the advanced stages of the disease. Depression and anxiety are also common, occurring in more than a third of people with Parkinson’s disease. Other symptoms include sensory, sleep, and emotional problems. Parkinson’s disease typically occurs in people over the age of 60. The average life expectancy following diagnosis is between three to 10 years after the onset of symptoms.</w:t>
      </w:r>
    </w:p>
    <w:p>
      <w:pPr>
        <w:spacing w:after="0" w:line="172" w:lineRule="exact"/>
        <w:rPr>
          <w:sz w:val="20"/>
          <w:szCs w:val="20"/>
          <w:color w:val="auto"/>
        </w:rPr>
      </w:pPr>
    </w:p>
    <w:p>
      <w:pPr>
        <w:ind w:left="180" w:right="320" w:firstLine="465"/>
        <w:spacing w:after="0" w:line="259" w:lineRule="auto"/>
        <w:rPr>
          <w:sz w:val="20"/>
          <w:szCs w:val="20"/>
          <w:color w:val="auto"/>
        </w:rPr>
      </w:pPr>
      <w:r>
        <w:rPr>
          <w:rFonts w:ascii="Arial" w:cs="Arial" w:eastAsia="Arial" w:hAnsi="Arial"/>
          <w:sz w:val="19"/>
          <w:szCs w:val="19"/>
          <w:color w:val="auto"/>
        </w:rPr>
        <w:t>There is no disease modifying treatment for Parkinson’s disease, and the options for patients are limited to treatments that improve symptoms. Initial treatment is typically with the anti-Parkinson’s drug medication levodopa, with dopamine agonists being used once levodopa becomes less effective. As the disease progresses and neurons continue to be lost, these medications become less effective while at the same time they produce a complication marked by involuntary writhing movements.</w:t>
      </w:r>
    </w:p>
    <w:p>
      <w:pPr>
        <w:spacing w:after="0" w:line="198" w:lineRule="exact"/>
        <w:rPr>
          <w:sz w:val="20"/>
          <w:szCs w:val="20"/>
          <w:color w:val="auto"/>
        </w:rPr>
      </w:pPr>
    </w:p>
    <w:p>
      <w:pPr>
        <w:ind w:left="180" w:right="440" w:firstLine="465"/>
        <w:spacing w:after="0" w:line="336" w:lineRule="auto"/>
        <w:rPr>
          <w:sz w:val="20"/>
          <w:szCs w:val="20"/>
          <w:color w:val="auto"/>
        </w:rPr>
      </w:pPr>
      <w:r>
        <w:rPr>
          <w:rFonts w:ascii="Arial" w:cs="Arial" w:eastAsia="Arial" w:hAnsi="Arial"/>
          <w:sz w:val="17"/>
          <w:szCs w:val="17"/>
          <w:color w:val="auto"/>
        </w:rPr>
        <w:t>According to the Parkinson’s Foundation, more than 10 million people worldwide are living with Parkinson’s disease. An estimated 930,000 people in the United States will be living with Parkinson’s disease by the year 2020. This number is predicted to rise to 1.2 million by 2030.</w:t>
      </w:r>
    </w:p>
    <w:p>
      <w:pPr>
        <w:spacing w:after="0" w:line="66"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101</w:t>
      </w:r>
    </w:p>
    <w:p>
      <w:pPr>
        <w:sectPr>
          <w:pgSz w:w="12240" w:h="15840" w:orient="portrait"/>
          <w:cols w:equalWidth="0" w:num="1">
            <w:col w:w="11780"/>
          </w:cols>
          <w:pgMar w:left="120" w:top="336" w:right="340" w:bottom="1440" w:gutter="0" w:footer="0" w:header="0"/>
        </w:sectPr>
      </w:pPr>
    </w:p>
    <w:bookmarkStart w:id="109" w:name="page110"/>
    <w:bookmarkEnd w:id="10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PGRN Preclinical Data</w:t>
      </w:r>
    </w:p>
    <w:p>
      <w:pPr>
        <w:spacing w:after="0" w:line="124" w:lineRule="exact"/>
        <w:rPr>
          <w:sz w:val="20"/>
          <w:szCs w:val="20"/>
          <w:color w:val="auto"/>
        </w:rPr>
      </w:pPr>
    </w:p>
    <w:p>
      <w:pPr>
        <w:ind w:left="180" w:right="120" w:firstLine="465"/>
        <w:spacing w:after="0" w:line="272" w:lineRule="auto"/>
        <w:rPr>
          <w:sz w:val="20"/>
          <w:szCs w:val="20"/>
          <w:color w:val="auto"/>
        </w:rPr>
      </w:pPr>
      <w:r>
        <w:rPr>
          <w:rFonts w:ascii="Arial" w:cs="Arial" w:eastAsia="Arial" w:hAnsi="Arial"/>
          <w:sz w:val="18"/>
          <w:szCs w:val="18"/>
          <w:color w:val="auto"/>
        </w:rPr>
        <w:t>We have conducted safety and efficacy studies of AL001 in non-human primates, also referred to as NHPs, and completed preclinical chronic good laboratory practice (GLP) toxicology testing through 13 weeks with no test article related adverse findings. In non-human primates, AL001 recognizes and binds to SORT1 with potency similar to that seen in the binding between AL001 and human SORT1. In these non-human primate experiments, AL001 delivered by intravenous injection to the blood stream blocked SORT1 and increased levels of PGRN in both plasma and the CSF (Figure 7). These experiments indicated that there were therapeutic levels of AL001 in the brain following delivery to the bloodstream systemically. These effects were observed after a single dose of AL001 as well as during and after multiple dosing.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80" w:right="280"/>
        <w:spacing w:after="0" w:line="266" w:lineRule="auto"/>
        <w:rPr>
          <w:sz w:val="20"/>
          <w:szCs w:val="20"/>
          <w:color w:val="auto"/>
        </w:rPr>
      </w:pPr>
      <w:r>
        <w:rPr>
          <w:rFonts w:ascii="Arial" w:cs="Arial" w:eastAsia="Arial" w:hAnsi="Arial"/>
          <w:sz w:val="19"/>
          <w:szCs w:val="19"/>
          <w:b w:val="1"/>
          <w:bCs w:val="1"/>
          <w:color w:val="auto"/>
        </w:rPr>
        <w:t>Figure 7. AL001 blocks SORT1 and increases the levels of PGRN in plasma and the cerebrospinal fluid in NHP following injection to the bloodstream, indicating that peripherally injected AL001 elicits the desired biological response in the brain (n=4) (* indicates p&lt;0.05 and ** indicates p&lt;0.01 by T-test).</w:t>
      </w:r>
    </w:p>
    <w:p>
      <w:pPr>
        <w:spacing w:after="0" w:line="192"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AL101 is able to cross-react and bind to murine, rat, non-human primate as well as human SORT1. AL101 binds SORT1 with similar potency in multiple animal models. Following injection, AL101 was shown to block SORT1 and increase the levels of PGRN in the plasma and cerebrospinal fluid of mice (Figure 8), rats, and non-human primates, demonstrating again that administration of AL101 is effective in increasing PGRN levels in the brain in multiple animal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1056005</wp:posOffset>
            </wp:positionH>
            <wp:positionV relativeFrom="paragraph">
              <wp:posOffset>153035</wp:posOffset>
            </wp:positionV>
            <wp:extent cx="5506085" cy="21913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06085" cy="2191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right="40"/>
        <w:spacing w:after="0" w:line="266" w:lineRule="auto"/>
        <w:rPr>
          <w:sz w:val="20"/>
          <w:szCs w:val="20"/>
          <w:color w:val="auto"/>
        </w:rPr>
      </w:pPr>
      <w:r>
        <w:rPr>
          <w:rFonts w:ascii="Arial" w:cs="Arial" w:eastAsia="Arial" w:hAnsi="Arial"/>
          <w:sz w:val="19"/>
          <w:szCs w:val="19"/>
          <w:b w:val="1"/>
          <w:bCs w:val="1"/>
          <w:color w:val="auto"/>
        </w:rPr>
        <w:t>Figure 8. AL101 blocks SORT1 and increases the levels of PGRN in the plasma and cerebrospinal fluid in normal mice following intraperitoneal injection, indicating that peripherally injected AL101 elicits the desired biological response in the brain (* indicates p&lt;0.05 and *** indicates p&lt;0.001 by T-test).</w:t>
      </w:r>
    </w:p>
    <w:p>
      <w:pPr>
        <w:sectPr>
          <w:pgSz w:w="12240" w:h="15840" w:orient="portrait"/>
          <w:cols w:equalWidth="0" w:num="1">
            <w:col w:w="11760"/>
          </w:cols>
          <w:pgMar w:left="120" w:top="336" w:right="360" w:bottom="1440" w:gutter="0" w:footer="0" w:header="0"/>
        </w:sectPr>
      </w:pP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102</w:t>
      </w:r>
    </w:p>
    <w:p>
      <w:pPr>
        <w:sectPr>
          <w:pgSz w:w="12240" w:h="15840" w:orient="portrait"/>
          <w:cols w:equalWidth="0" w:num="1">
            <w:col w:w="11760"/>
          </w:cols>
          <w:pgMar w:left="120" w:top="336" w:right="360" w:bottom="1440" w:gutter="0" w:footer="0" w:header="0"/>
          <w:type w:val="continuous"/>
        </w:sectPr>
      </w:pPr>
    </w:p>
    <w:bookmarkStart w:id="110" w:name="page111"/>
    <w:bookmarkEnd w:id="11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right="100" w:firstLine="465"/>
        <w:spacing w:after="0" w:line="259" w:lineRule="auto"/>
        <w:rPr>
          <w:sz w:val="20"/>
          <w:szCs w:val="20"/>
          <w:color w:val="auto"/>
        </w:rPr>
      </w:pPr>
      <w:r>
        <w:rPr>
          <w:rFonts w:ascii="Arial" w:cs="Arial" w:eastAsia="Arial" w:hAnsi="Arial"/>
          <w:sz w:val="19"/>
          <w:szCs w:val="19"/>
          <w:color w:val="auto"/>
        </w:rPr>
        <w:t>In addition, we have conducted preclinical tests with AL101 in a mouse model created by introducing a mutation in one of the two copies for the mouse version of PGRN (FTD-GRN mice). AL101 blocked SORT1 and increased levels of PGRN in both the plasma and CSF of the FTD-GRN mice (Figure 9). These changes support the hypothesis that targeting SORT1 by administration of anti-SORT1 antibodies would lead to an increase of PGRN in the brains of FTD-GRN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80" w:right="40"/>
        <w:spacing w:after="0" w:line="266" w:lineRule="auto"/>
        <w:rPr>
          <w:sz w:val="20"/>
          <w:szCs w:val="20"/>
          <w:color w:val="auto"/>
        </w:rPr>
      </w:pPr>
      <w:r>
        <w:rPr>
          <w:rFonts w:ascii="Arial" w:cs="Arial" w:eastAsia="Arial" w:hAnsi="Arial"/>
          <w:sz w:val="19"/>
          <w:szCs w:val="19"/>
          <w:b w:val="1"/>
          <w:bCs w:val="1"/>
          <w:color w:val="auto"/>
        </w:rPr>
        <w:t>Figure 9. AL101 blocks SORT1 and increases the levels of PGRN in the plasma and CSF in FTD-GRN mice following intraperitoneal injection, indicating that peripherally injected AL101 elicits the desired biological response in the brain (* indicates p&lt;0.05 and *** indicates p&lt;0.001 by T-test).</w:t>
      </w:r>
    </w:p>
    <w:p>
      <w:pPr>
        <w:spacing w:after="0" w:line="192" w:lineRule="exact"/>
        <w:rPr>
          <w:sz w:val="20"/>
          <w:szCs w:val="20"/>
          <w:color w:val="auto"/>
        </w:rPr>
      </w:pPr>
    </w:p>
    <w:p>
      <w:pPr>
        <w:ind w:left="180" w:right="160" w:firstLine="465"/>
        <w:spacing w:after="0" w:line="259" w:lineRule="auto"/>
        <w:rPr>
          <w:sz w:val="20"/>
          <w:szCs w:val="20"/>
          <w:color w:val="auto"/>
        </w:rPr>
      </w:pPr>
      <w:r>
        <w:rPr>
          <w:rFonts w:ascii="Arial" w:cs="Arial" w:eastAsia="Arial" w:hAnsi="Arial"/>
          <w:sz w:val="19"/>
          <w:szCs w:val="19"/>
          <w:color w:val="auto"/>
        </w:rPr>
        <w:t>The FTD-GRN mice also exhibit behavioral changes such as an increase in submissiveness and social aversion. This can be assessed in a social aversion test in which mice are introduced at opposite ends of a tube. Normal mice will approach each other in the tube until one of them retreats on average 50% of the time. When an FTD-GRN mouse is placed into the tube together with a normal mouse, it is about three times more likely to retreat first.</w:t>
      </w:r>
    </w:p>
    <w:p>
      <w:pPr>
        <w:spacing w:after="0" w:line="198" w:lineRule="exact"/>
        <w:rPr>
          <w:sz w:val="20"/>
          <w:szCs w:val="20"/>
          <w:color w:val="auto"/>
        </w:rPr>
      </w:pPr>
    </w:p>
    <w:p>
      <w:pPr>
        <w:ind w:left="180" w:firstLine="465"/>
        <w:spacing w:after="0" w:line="298" w:lineRule="auto"/>
        <w:rPr>
          <w:sz w:val="20"/>
          <w:szCs w:val="20"/>
          <w:color w:val="auto"/>
        </w:rPr>
      </w:pPr>
      <w:r>
        <w:rPr>
          <w:rFonts w:ascii="Arial" w:cs="Arial" w:eastAsia="Arial" w:hAnsi="Arial"/>
          <w:sz w:val="17"/>
          <w:szCs w:val="17"/>
          <w:color w:val="auto"/>
        </w:rPr>
        <w:t>We tested our hypothesis that increasing levels of PGRN, through inhibition of SORT1, would slow disease progression and lead to a beneficial therapeutic effect in the FTD-GRN mouse model. In this experiment, administration of the FTD-GRN mice with AL101 for four weeks increased PGRN levels in the brains of FTD-GRN mice and significantly reduced the social deficit symptoms of FTD and restored healthy behavior in this social aversion test. Moreover, no adverse effects were observed in either FTD-GRN mouse model or normal mice after the treatment with AL101.</w:t>
      </w:r>
    </w:p>
    <w:p>
      <w:pPr>
        <w:spacing w:after="0" w:line="28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PGRN Product Candidates Development Plan</w:t>
      </w:r>
    </w:p>
    <w:p>
      <w:pPr>
        <w:spacing w:after="0" w:line="124" w:lineRule="exact"/>
        <w:rPr>
          <w:sz w:val="20"/>
          <w:szCs w:val="20"/>
          <w:color w:val="auto"/>
        </w:rPr>
      </w:pPr>
    </w:p>
    <w:p>
      <w:pPr>
        <w:ind w:left="180" w:right="120" w:firstLine="465"/>
        <w:spacing w:after="0" w:line="294" w:lineRule="auto"/>
        <w:rPr>
          <w:sz w:val="20"/>
          <w:szCs w:val="20"/>
          <w:color w:val="auto"/>
        </w:rPr>
      </w:pPr>
      <w:r>
        <w:rPr>
          <w:rFonts w:ascii="Arial" w:cs="Arial" w:eastAsia="Arial" w:hAnsi="Arial"/>
          <w:sz w:val="17"/>
          <w:szCs w:val="17"/>
          <w:color w:val="auto"/>
        </w:rPr>
        <w:t>Our PGRN product candidates have demonstrated target engagement, increases in the disease associated pharmacodynamic marker PGRN in the brains of mice, rats, non-human primates, and healthy volunteers, and reduction of social deficit symptoms of FTD in a social aversion test using FTD-GRN mice following intravenous injection. Our strategy is to first advance AL001 in fast progressing orphan indications with the highest unmet need and strongest evidence of causal connection, treating genetically defined patient populations to generate proof-of-concept data. We then intend to advance AL101 for more common neurodegenerative diseases such as Alzheimer’s disease and Parkinson’s disease.</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103</w:t>
      </w:r>
    </w:p>
    <w:p>
      <w:pPr>
        <w:sectPr>
          <w:pgSz w:w="12240" w:h="15840" w:orient="portrait"/>
          <w:cols w:equalWidth="0" w:num="1">
            <w:col w:w="11800"/>
          </w:cols>
          <w:pgMar w:left="120" w:top="336" w:right="320" w:bottom="1440" w:gutter="0" w:footer="0" w:header="0"/>
        </w:sectPr>
      </w:pPr>
    </w:p>
    <w:bookmarkStart w:id="111" w:name="page112"/>
    <w:bookmarkEnd w:id="11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72" w:lineRule="auto"/>
        <w:rPr>
          <w:sz w:val="20"/>
          <w:szCs w:val="20"/>
          <w:color w:val="auto"/>
        </w:rPr>
      </w:pPr>
      <w:r>
        <w:rPr>
          <w:rFonts w:ascii="Arial" w:cs="Arial" w:eastAsia="Arial" w:hAnsi="Arial"/>
          <w:sz w:val="18"/>
          <w:szCs w:val="18"/>
          <w:color w:val="auto"/>
        </w:rPr>
        <w:t>In the second half of 2018, AL001 successfully demonstrated proof-of-mechanism in a dose-escalating Phase 1a study in healthy volunteers by showing a statistically significant increase in PGRN levels relative to baseline when compared to pooled placebo in plasma in the five dose cohorts and in CSF as measured in the three highest dose cohorts at the pre-specified follow-up time point. We plan to advance AL001 into a Phase 1b study with proof-of-mechanism data in FTD-GRN patients expected in the first half of 2019 and into a Phase 2 study with proof-of-concept data expected in the first half of 2020 (Figure 10). We also plan to include an additional genetic subset of FTD patients (FTD-C9orf72) in 2019. Following proof-of-concept data in FTD-GRN, we plan to expand to additional FTD subpopulations.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1109980</wp:posOffset>
            </wp:positionH>
            <wp:positionV relativeFrom="paragraph">
              <wp:posOffset>147955</wp:posOffset>
            </wp:positionV>
            <wp:extent cx="5397500" cy="1919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397500" cy="191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Figure 10. Clinical plan for AL001 in FTD-GRN.</w:t>
      </w:r>
    </w:p>
    <w:p>
      <w:pPr>
        <w:spacing w:after="0" w:line="35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PGRN Proof-of-Mechanism Data in Healthy Volunteers</w:t>
      </w:r>
    </w:p>
    <w:p>
      <w:pPr>
        <w:spacing w:after="0" w:line="124"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AL001 is currently being tested in a randomized, double-blind, placebo-controlled, dose-escalating Phase 1a study in the United States. As of January 25, 2019, 44 healthy volunteers were randomized and received a single dose of AL001 or placebo. Each of the dose levels consisted of a cohort of eight healthy volunteers, with six receiving AL001 and two receiving placebo, representing a six to two randomization ratio of AL001 to placebo. The primary endpoints of the study are safety and tolerability. The secondary endpoints include pharmacokinetic and pharmacodynamic measurements, including changes of PGRN in serum and the CSF. Pharmacodynamic characteristics include the biochemical and physiological effects of a product candidate, and pharmacokinetic characteristics describe the time course, for example, product candidate absorption, distribution, metabolism, and excretion.</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104</w:t>
      </w:r>
    </w:p>
    <w:p>
      <w:pPr>
        <w:sectPr>
          <w:pgSz w:w="12240" w:h="15840" w:orient="portrait"/>
          <w:cols w:equalWidth="0" w:num="1">
            <w:col w:w="11720"/>
          </w:cols>
          <w:pgMar w:left="120" w:top="337" w:right="400" w:bottom="1440" w:gutter="0" w:footer="0" w:header="0"/>
        </w:sectPr>
      </w:pPr>
    </w:p>
    <w:bookmarkStart w:id="112" w:name="page113"/>
    <w:bookmarkEnd w:id="11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color w:val="auto"/>
        </w:rPr>
        <w:t>The subjects were dosed in five cohorts in escalating dose levels of AL001, and data for plasma PGRN levels of the cohorts and CSF PGRN levels of the three highest dose cohorts are available. Additional subjects are being enrolled at a previous dose level to further assess pharmacodynamic effects of AL001. While the study is still blinded to the individual subjects’ treatment assignments, pooled analysis of active versus placebo subjects was conducted to assess potential pharmacodynamic effects of AL001. There were no drug-related serious adverse events or dose limiting adverse events reported in the study, achieving the primary endpoint. Moreover, statistically significant increases in plasma and CSF PGRN levels relative to baseline were also observed, successfully demonstrating proof-of-mechanism for AL001. The magnitude and duration of the effect in plasma and CSF PGRN levels appeared to be dose dependent. Results available to date in this dose-escalating Phase 1a study in healthy subjects successfully demonstrate proof-of-mechanism for AL001 in both plasma and CSF.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2169795</wp:posOffset>
            </wp:positionH>
            <wp:positionV relativeFrom="paragraph">
              <wp:posOffset>130175</wp:posOffset>
            </wp:positionV>
            <wp:extent cx="3287395" cy="32238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87395" cy="322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 w:right="200"/>
        <w:spacing w:after="0" w:line="311" w:lineRule="auto"/>
        <w:rPr>
          <w:sz w:val="20"/>
          <w:szCs w:val="20"/>
          <w:color w:val="auto"/>
        </w:rPr>
      </w:pPr>
      <w:r>
        <w:rPr>
          <w:rFonts w:ascii="Arial" w:cs="Arial" w:eastAsia="Arial" w:hAnsi="Arial"/>
          <w:sz w:val="18"/>
          <w:szCs w:val="18"/>
          <w:b w:val="1"/>
          <w:bCs w:val="1"/>
          <w:color w:val="auto"/>
        </w:rPr>
        <w:t>Figure 11. AL001 increases the level of PGRN in cerebral spinal fluid in healthy volunteers in measured cohorts at the pre-specified follow-up time point (the thirteenth day following injection) compared to pooled placebo in CSF (**** indicates p&lt;0.0001 by T-test).</w:t>
      </w:r>
    </w:p>
    <w:p>
      <w:pPr>
        <w:spacing w:after="0" w:line="154" w:lineRule="exact"/>
        <w:rPr>
          <w:sz w:val="20"/>
          <w:szCs w:val="20"/>
          <w:color w:val="auto"/>
        </w:rPr>
      </w:pPr>
    </w:p>
    <w:p>
      <w:pPr>
        <w:ind w:left="180" w:right="60" w:firstLine="465"/>
        <w:spacing w:after="0" w:line="275" w:lineRule="auto"/>
        <w:rPr>
          <w:sz w:val="20"/>
          <w:szCs w:val="20"/>
          <w:color w:val="auto"/>
        </w:rPr>
      </w:pPr>
      <w:r>
        <w:rPr>
          <w:rFonts w:ascii="Arial" w:cs="Arial" w:eastAsia="Arial" w:hAnsi="Arial"/>
          <w:sz w:val="19"/>
          <w:szCs w:val="19"/>
          <w:color w:val="auto"/>
        </w:rPr>
        <w:t>We plan to have Phase 2 trial proof-of-concept data in FTD-GRN patients in the first half of 2020 and expect to include multiple CSF biomarkers, multiple types of brain imaging (Figure 12), and multiple cognitive and behavioral tests.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105</w:t>
      </w:r>
    </w:p>
    <w:p>
      <w:pPr>
        <w:sectPr>
          <w:pgSz w:w="12240" w:h="15840" w:orient="portrait"/>
          <w:cols w:equalWidth="0" w:num="1">
            <w:col w:w="11820"/>
          </w:cols>
          <w:pgMar w:left="120" w:top="336" w:right="300" w:bottom="1440" w:gutter="0" w:footer="0" w:header="0"/>
        </w:sectPr>
      </w:pPr>
    </w:p>
    <w:bookmarkStart w:id="113" w:name="page114"/>
    <w:bookmarkEnd w:id="11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2015490</wp:posOffset>
            </wp:positionH>
            <wp:positionV relativeFrom="paragraph">
              <wp:posOffset>217805</wp:posOffset>
            </wp:positionV>
            <wp:extent cx="3585845" cy="33051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585845" cy="3305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80" w:right="500"/>
        <w:spacing w:after="0" w:line="282" w:lineRule="auto"/>
        <w:rPr>
          <w:sz w:val="20"/>
          <w:szCs w:val="20"/>
          <w:color w:val="auto"/>
        </w:rPr>
      </w:pPr>
      <w:r>
        <w:rPr>
          <w:rFonts w:ascii="Arial" w:cs="Arial" w:eastAsia="Arial" w:hAnsi="Arial"/>
          <w:sz w:val="19"/>
          <w:szCs w:val="19"/>
          <w:b w:val="1"/>
          <w:bCs w:val="1"/>
          <w:color w:val="auto"/>
        </w:rPr>
        <w:t>Figure 12. Decreasing clinical risk with volumetric brain imaging. The change in brain volume loss was driven by symptomatic mutation carriers.</w:t>
      </w:r>
      <w:r>
        <w:rPr>
          <w:rFonts w:ascii="Arial" w:cs="Arial" w:eastAsia="Arial" w:hAnsi="Arial"/>
          <w:sz w:val="16"/>
          <w:szCs w:val="16"/>
          <w:b w:val="1"/>
          <w:bCs w:val="1"/>
          <w:color w:val="auto"/>
        </w:rPr>
        <w:t>2,3</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Potential Additional Applications for Our PGRN Program</w:t>
      </w:r>
    </w:p>
    <w:p>
      <w:pPr>
        <w:spacing w:after="0" w:line="124" w:lineRule="exact"/>
        <w:rPr>
          <w:sz w:val="20"/>
          <w:szCs w:val="20"/>
          <w:color w:val="auto"/>
        </w:rPr>
      </w:pPr>
    </w:p>
    <w:p>
      <w:pPr>
        <w:jc w:val="both"/>
        <w:ind w:left="180" w:right="120" w:firstLine="465"/>
        <w:spacing w:after="0" w:line="274" w:lineRule="auto"/>
        <w:rPr>
          <w:sz w:val="20"/>
          <w:szCs w:val="20"/>
          <w:color w:val="auto"/>
        </w:rPr>
      </w:pPr>
      <w:r>
        <w:rPr>
          <w:rFonts w:ascii="Arial" w:cs="Arial" w:eastAsia="Arial" w:hAnsi="Arial"/>
          <w:sz w:val="18"/>
          <w:szCs w:val="18"/>
          <w:color w:val="auto"/>
        </w:rPr>
        <w:t>Our initial PGRN program is currently targeted only at patients with FTD-GRN, which is a subset of the total FTD patient population. Beyond FTD-GRN, we believe AL001 has the potential to treat other rare diseases that share pathological mechanisms with FTD-GRN. In order to treat any other rare diseases and the broader FTD patient population, we will be required to conduct additional clinical studies in order to obtain the applicable approvals for that specific patient population. We also plan to include an additional genetic subset of FTD patients (FTD-C9orf72) in 2019. Following proof-of-concept data in FTD-GRN, we intend to expand to additional FTD subpopulations.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73660</wp:posOffset>
            </wp:positionV>
            <wp:extent cx="7423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20" w:lineRule="exact"/>
        <w:rPr>
          <w:sz w:val="20"/>
          <w:szCs w:val="20"/>
          <w:color w:val="auto"/>
        </w:rPr>
      </w:pPr>
    </w:p>
    <w:p>
      <w:pPr>
        <w:ind w:left="300" w:hanging="121"/>
        <w:spacing w:after="0"/>
        <w:tabs>
          <w:tab w:leader="none" w:pos="300" w:val="left"/>
        </w:tabs>
        <w:numPr>
          <w:ilvl w:val="0"/>
          <w:numId w:val="69"/>
        </w:numPr>
        <w:rPr>
          <w:rFonts w:ascii="Arial" w:cs="Arial" w:eastAsia="Arial" w:hAnsi="Arial"/>
          <w:sz w:val="12"/>
          <w:szCs w:val="12"/>
          <w:color w:val="auto"/>
        </w:rPr>
      </w:pPr>
      <w:r>
        <w:rPr>
          <w:rFonts w:ascii="Arial" w:cs="Arial" w:eastAsia="Arial" w:hAnsi="Arial"/>
          <w:sz w:val="14"/>
          <w:szCs w:val="14"/>
          <w:color w:val="auto"/>
        </w:rPr>
        <w:t>Boeve, B., Baker, M., Dickson, D., Parisi, J., Giannini, C., et al. “Frontotemporal dementia and parkinsonism associated with the IVS1+1G-&gt;A mutation in progranulin: a clinicopathologic</w:t>
      </w:r>
    </w:p>
    <w:p>
      <w:pPr>
        <w:spacing w:after="0" w:line="7" w:lineRule="exact"/>
        <w:rPr>
          <w:rFonts w:ascii="Arial" w:cs="Arial" w:eastAsia="Arial" w:hAnsi="Arial"/>
          <w:sz w:val="12"/>
          <w:szCs w:val="12"/>
          <w:color w:val="auto"/>
        </w:rPr>
      </w:pPr>
    </w:p>
    <w:p>
      <w:pPr>
        <w:ind w:left="300"/>
        <w:spacing w:after="0" w:line="218" w:lineRule="auto"/>
        <w:rPr>
          <w:rFonts w:ascii="Arial" w:cs="Arial" w:eastAsia="Arial" w:hAnsi="Arial"/>
          <w:sz w:val="12"/>
          <w:szCs w:val="12"/>
          <w:color w:val="auto"/>
        </w:rPr>
      </w:pPr>
      <w:r>
        <w:rPr>
          <w:rFonts w:ascii="Arial" w:cs="Arial" w:eastAsia="Arial" w:hAnsi="Arial"/>
          <w:sz w:val="15"/>
          <w:szCs w:val="15"/>
          <w:color w:val="auto"/>
        </w:rPr>
        <w:t>study.” Brain: a Journal of Neurology. Volume 129, Issue 11, November 2006.</w:t>
      </w:r>
    </w:p>
    <w:p>
      <w:pPr>
        <w:ind w:left="300" w:right="20" w:hanging="121"/>
        <w:spacing w:after="0" w:line="233" w:lineRule="auto"/>
        <w:tabs>
          <w:tab w:leader="none" w:pos="300" w:val="left"/>
        </w:tabs>
        <w:numPr>
          <w:ilvl w:val="0"/>
          <w:numId w:val="70"/>
        </w:numPr>
        <w:rPr>
          <w:rFonts w:ascii="Arial" w:cs="Arial" w:eastAsia="Arial" w:hAnsi="Arial"/>
          <w:sz w:val="13"/>
          <w:szCs w:val="13"/>
          <w:color w:val="auto"/>
        </w:rPr>
      </w:pPr>
      <w:r>
        <w:rPr>
          <w:rFonts w:ascii="Arial" w:cs="Arial" w:eastAsia="Arial" w:hAnsi="Arial"/>
          <w:sz w:val="15"/>
          <w:szCs w:val="15"/>
          <w:color w:val="auto"/>
        </w:rPr>
        <w:t xml:space="preserve">Sha, S., Miller, Z., Min, S., Zhou, Y., Brown, J., et al. “An 8-week, open-label, dose-finding study of nimodipine for the treatment of progranulin insufficiency from GRN gene mutations.” </w:t>
      </w:r>
      <w:r>
        <w:rPr>
          <w:rFonts w:ascii="Arial" w:cs="Arial" w:eastAsia="Arial" w:hAnsi="Arial"/>
          <w:sz w:val="15"/>
          <w:szCs w:val="15"/>
          <w:i w:val="1"/>
          <w:iCs w:val="1"/>
          <w:color w:val="auto"/>
        </w:rPr>
        <w:t>Alzheimer’s &amp; Dementia: Translational Research &amp; Clinical Interventions</w:t>
      </w:r>
      <w:r>
        <w:rPr>
          <w:rFonts w:ascii="Arial" w:cs="Arial" w:eastAsia="Arial" w:hAnsi="Arial"/>
          <w:sz w:val="15"/>
          <w:szCs w:val="15"/>
          <w:color w:val="auto"/>
        </w:rPr>
        <w:t>. Volume 3, Issue 4, November 2017.</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106</w:t>
      </w:r>
    </w:p>
    <w:p>
      <w:pPr>
        <w:sectPr>
          <w:pgSz w:w="12240" w:h="15840" w:orient="portrait"/>
          <w:cols w:equalWidth="0" w:num="1">
            <w:col w:w="11720"/>
          </w:cols>
          <w:pgMar w:left="120" w:top="336" w:right="400" w:bottom="1440" w:gutter="0" w:footer="0" w:header="0"/>
        </w:sectPr>
      </w:pPr>
    </w:p>
    <w:bookmarkStart w:id="114" w:name="page115"/>
    <w:bookmarkEnd w:id="11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77" w:lineRule="auto"/>
        <w:rPr>
          <w:sz w:val="20"/>
          <w:szCs w:val="20"/>
          <w:color w:val="auto"/>
        </w:rPr>
      </w:pPr>
      <w:r>
        <w:rPr>
          <w:rFonts w:ascii="Arial" w:cs="Arial" w:eastAsia="Arial" w:hAnsi="Arial"/>
          <w:sz w:val="18"/>
          <w:szCs w:val="18"/>
          <w:color w:val="auto"/>
        </w:rPr>
        <w:t>In addition, polymorphic mutations that moderately reduce the expression levels of PGRN have also been shown to increase the risk of developing Alzheimer’s disease and Parkinson’s disease, and increased PGRN levels have been demonstrated to be protective for these diseases in animal models. We are developing AL101 ultimately to target these large chronic neurodegenerative diseases (Figure 13). For our other programs, we anticipate following a similar development approach to expand into additional patient populations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144780</wp:posOffset>
            </wp:positionV>
            <wp:extent cx="5478780" cy="258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478780" cy="258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80" w:right="20"/>
        <w:spacing w:after="0" w:line="282" w:lineRule="auto"/>
        <w:rPr>
          <w:sz w:val="20"/>
          <w:szCs w:val="20"/>
          <w:color w:val="auto"/>
        </w:rPr>
      </w:pPr>
      <w:r>
        <w:rPr>
          <w:rFonts w:ascii="Arial" w:cs="Arial" w:eastAsia="Arial" w:hAnsi="Arial"/>
          <w:sz w:val="19"/>
          <w:szCs w:val="19"/>
          <w:b w:val="1"/>
          <w:bCs w:val="1"/>
          <w:color w:val="auto"/>
        </w:rPr>
        <w:t>Figure 13. Our PGRN programs have broad therapeutic potential, including FTD and other more prevalent neurodegenerative diseases such as Parkinson’s disease and Alzheimer’s disease. (Figure not to scale.)</w:t>
      </w:r>
    </w:p>
    <w:p>
      <w:pPr>
        <w:spacing w:after="0" w:line="28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TREM2 Program</w:t>
      </w:r>
    </w:p>
    <w:p>
      <w:pPr>
        <w:spacing w:after="0" w:line="130" w:lineRule="exact"/>
        <w:rPr>
          <w:sz w:val="20"/>
          <w:szCs w:val="20"/>
          <w:color w:val="auto"/>
        </w:rPr>
      </w:pPr>
    </w:p>
    <w:p>
      <w:pPr>
        <w:ind w:left="180" w:right="100" w:firstLine="465"/>
        <w:spacing w:after="0" w:line="270" w:lineRule="auto"/>
        <w:rPr>
          <w:sz w:val="20"/>
          <w:szCs w:val="20"/>
          <w:color w:val="auto"/>
        </w:rPr>
      </w:pPr>
      <w:r>
        <w:rPr>
          <w:rFonts w:ascii="Arial" w:cs="Arial" w:eastAsia="Arial" w:hAnsi="Arial"/>
          <w:sz w:val="18"/>
          <w:szCs w:val="18"/>
          <w:color w:val="auto"/>
        </w:rPr>
        <w:t>TREM2 is a transmembrane receptor protein that is expressed on a subset of innate immune cells and selectively on microglia in the brain. TREM2 on microglia cells is thought to promote improved cell migration to the site of injury, improved cell survival, increased phagocytosis, and increased cell proliferation. Rare individuals with homozygous TREM2 mutations, or mutations on both chromosomal copies, may develop neurodegeneration by the age of 40 with an average lifespan of 10 years following diagnosis. A gene variant in one of the two copies of TREM2 is found to increase the risk of Alzheimer’s disease by threefold. Not only do mutations in a single copy of TREM2 increase the risk of Alzheimer’s disease significantly, but Alzheimer’s disease patients with TREM2 mutations exhibit an earlier onset of symptoms by three years and an increased rate of brain volume loss compared to individuals without such mutation. Evidence also suggests that gain of function mutation leading to increased extension of TREM2 confer a protective phenotype against Alzheimer’s disease.</w:t>
      </w:r>
    </w:p>
    <w:p>
      <w:pPr>
        <w:spacing w:after="0" w:line="191" w:lineRule="exact"/>
        <w:rPr>
          <w:sz w:val="20"/>
          <w:szCs w:val="20"/>
          <w:color w:val="auto"/>
        </w:rPr>
      </w:pPr>
    </w:p>
    <w:p>
      <w:pPr>
        <w:ind w:left="180" w:right="340" w:firstLine="465"/>
        <w:spacing w:after="0" w:line="304" w:lineRule="auto"/>
        <w:rPr>
          <w:sz w:val="20"/>
          <w:szCs w:val="20"/>
          <w:color w:val="auto"/>
        </w:rPr>
      </w:pPr>
      <w:r>
        <w:rPr>
          <w:rFonts w:ascii="Arial" w:cs="Arial" w:eastAsia="Arial" w:hAnsi="Arial"/>
          <w:sz w:val="18"/>
          <w:szCs w:val="18"/>
          <w:color w:val="auto"/>
        </w:rPr>
        <w:t>The discovery of strong genetic linkage of TREM2 to Alzheimer’s disease in 2013 was one of the first examples in which large scale genomic analyses were used to identify a rare gene variation and link it to an increase in the risk of late-onset Alzheimer’s disease.</w:t>
      </w:r>
    </w:p>
    <w:p>
      <w:pPr>
        <w:spacing w:after="0" w:line="160"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TREM2 binds to membrane lipids and lipoproteins such as Apolipoprotein E (ApoE) which are normally found in the brain. Mutations in the gene for ApoE are also known to significantly increase the risk of development of Alzheimer’s disease and is the single highest risk factor for Alzheimer’s disease.</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107</w:t>
      </w:r>
    </w:p>
    <w:p>
      <w:pPr>
        <w:sectPr>
          <w:pgSz w:w="12240" w:h="15840" w:orient="portrait"/>
          <w:cols w:equalWidth="0" w:num="1">
            <w:col w:w="11800"/>
          </w:cols>
          <w:pgMar w:left="120" w:top="336" w:right="320" w:bottom="1440" w:gutter="0" w:footer="0" w:header="0"/>
        </w:sectPr>
      </w:pPr>
    </w:p>
    <w:bookmarkStart w:id="115" w:name="page116"/>
    <w:bookmarkEnd w:id="11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AL002 for the Treatment of Alzheimer’s Disease</w:t>
      </w:r>
    </w:p>
    <w:p>
      <w:pPr>
        <w:spacing w:after="0" w:line="124"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Our product candidate, AL002, is a humanized, TREM2 activating, monoclonal antibody that is intended to be delivered by intravenous, peripheral infusion into the blood stream (Figure 14). AL002 is a microglia cell regulator that modulates the TREM2 receptor and is being developed for the treatment of Alzheimer’s disease in collaboration with AbbVie.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2994025</wp:posOffset>
            </wp:positionH>
            <wp:positionV relativeFrom="paragraph">
              <wp:posOffset>150495</wp:posOffset>
            </wp:positionV>
            <wp:extent cx="1638935" cy="32873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638935" cy="3287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Figure 14. Mechanism of action of our TREM2 activating product candidate AL002.</w:t>
      </w:r>
    </w:p>
    <w:p>
      <w:pPr>
        <w:spacing w:after="0" w:line="244" w:lineRule="exact"/>
        <w:rPr>
          <w:sz w:val="20"/>
          <w:szCs w:val="20"/>
          <w:color w:val="auto"/>
        </w:rPr>
      </w:pPr>
    </w:p>
    <w:p>
      <w:pPr>
        <w:ind w:left="180" w:right="380" w:firstLine="465"/>
        <w:spacing w:after="0" w:line="256" w:lineRule="auto"/>
        <w:rPr>
          <w:sz w:val="20"/>
          <w:szCs w:val="20"/>
          <w:color w:val="auto"/>
        </w:rPr>
      </w:pPr>
      <w:r>
        <w:rPr>
          <w:rFonts w:ascii="Arial" w:cs="Arial" w:eastAsia="Arial" w:hAnsi="Arial"/>
          <w:sz w:val="19"/>
          <w:szCs w:val="19"/>
          <w:color w:val="auto"/>
        </w:rPr>
        <w:t>There are currently no cures or disease-modifying therapies for Alzheimer’s disease and there are only two classes of approved therapies for symptomatic treatment: acetylcholinesterase inhibitors and glutamatergic modulators. These drugs are designed to help preserve neuronal communication, but only provide temporary benefit and do not slow or halt neuronal death. In addition, antidepressants and antipsychotics are often prescribed off-label to treat the symptoms of severe Alzheimer’s disease in patients suffering from agitation, aggressive behaviors, psychosis, and depression.</w:t>
      </w:r>
    </w:p>
    <w:p>
      <w:pPr>
        <w:spacing w:after="0" w:line="204" w:lineRule="exact"/>
        <w:rPr>
          <w:sz w:val="20"/>
          <w:szCs w:val="20"/>
          <w:color w:val="auto"/>
        </w:rPr>
      </w:pPr>
    </w:p>
    <w:p>
      <w:pPr>
        <w:ind w:left="180" w:right="160" w:firstLine="465"/>
        <w:spacing w:after="0" w:line="259" w:lineRule="auto"/>
        <w:rPr>
          <w:sz w:val="20"/>
          <w:szCs w:val="20"/>
          <w:color w:val="auto"/>
        </w:rPr>
      </w:pPr>
      <w:r>
        <w:rPr>
          <w:rFonts w:ascii="Arial" w:cs="Arial" w:eastAsia="Arial" w:hAnsi="Arial"/>
          <w:sz w:val="19"/>
          <w:szCs w:val="19"/>
          <w:color w:val="auto"/>
        </w:rPr>
        <w:t>Recent drug candidates under development for Alzheimer’s disease include those focused on blocking synthesis, enhancing clearance or disaggregating misfolded amyloid-beta or TAU proteins in the brain, reversing chronic inflammation, and repairing vascular dysfunction, metabolic dysregulation, as well as neurotoxicity. Almost all of these candidates were designed to target just one of the multiple Alzheimer’s disease pathologies, and most of these drug candidates have so far failed to demonstrate any significant benefit.</w:t>
      </w:r>
    </w:p>
    <w:p>
      <w:pPr>
        <w:spacing w:after="0" w:line="198" w:lineRule="exact"/>
        <w:rPr>
          <w:sz w:val="20"/>
          <w:szCs w:val="20"/>
          <w:color w:val="auto"/>
        </w:rPr>
      </w:pPr>
    </w:p>
    <w:p>
      <w:pPr>
        <w:ind w:left="180" w:firstLine="465"/>
        <w:spacing w:after="0" w:line="298" w:lineRule="auto"/>
        <w:rPr>
          <w:sz w:val="20"/>
          <w:szCs w:val="20"/>
          <w:color w:val="auto"/>
        </w:rPr>
      </w:pPr>
      <w:r>
        <w:rPr>
          <w:rFonts w:ascii="Arial" w:cs="Arial" w:eastAsia="Arial" w:hAnsi="Arial"/>
          <w:sz w:val="17"/>
          <w:szCs w:val="17"/>
          <w:color w:val="auto"/>
        </w:rPr>
        <w:t>Although amyloid-beta plaques and TAU protein in the brain represent physical pathologies of the disease and are believed to cause a loss of neuronal connectivity in the brain and neuronal death, recent scientific data paints a more complex picture. Therapeutic approaches that address only one of the multiple pathologies observed in Alzheimer’s disease, for example, pathology-directed therapies that clear amyloid-beta or TAU proteins, have had limited efficacy. More efficacious therapies will require addressing additional pathologies which we believe are associated with microglial failure.</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108</w:t>
      </w:r>
    </w:p>
    <w:p>
      <w:pPr>
        <w:sectPr>
          <w:pgSz w:w="12240" w:h="15840" w:orient="portrait"/>
          <w:cols w:equalWidth="0" w:num="1">
            <w:col w:w="11820"/>
          </w:cols>
          <w:pgMar w:left="120" w:top="336" w:right="300" w:bottom="1440" w:gutter="0" w:footer="0" w:header="0"/>
        </w:sectPr>
      </w:pPr>
    </w:p>
    <w:bookmarkStart w:id="116" w:name="page117"/>
    <w:bookmarkEnd w:id="11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TREM2 Preclinical Data</w:t>
      </w:r>
    </w:p>
    <w:p>
      <w:pPr>
        <w:spacing w:after="0" w:line="124"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color w:val="auto"/>
        </w:rPr>
        <w:t>AL002 binds to TREM2 on the surface of microglia and is designed to optimize microglial activity through the phosphorylation of Spleen Associated Tyrosine Kinase (Syk). We have demonstrated that AL002s, an antibody that is functionally similar to AL002 but cross-reacts to the mouse TREM2, can normalize gene expression signature associated with Alzheimer’s disease, induce microglial proliferation, increase microglial survival, increase the number of microglia surrounding amyloid-beta plaques, and increase the compaction, insulation, and phagocytosis of these pathological proteins (Figure 15). Moreover, AL002s following intraperitoneal injection increases migration of microglia to sites of neurodegenerative damage, and restores cognitive ability in animal models (Figure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1816735</wp:posOffset>
            </wp:positionH>
            <wp:positionV relativeFrom="paragraph">
              <wp:posOffset>156845</wp:posOffset>
            </wp:positionV>
            <wp:extent cx="3993515" cy="21101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993515" cy="211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80" w:right="600"/>
        <w:spacing w:after="0" w:line="311" w:lineRule="auto"/>
        <w:rPr>
          <w:sz w:val="20"/>
          <w:szCs w:val="20"/>
          <w:color w:val="auto"/>
        </w:rPr>
      </w:pPr>
      <w:r>
        <w:rPr>
          <w:rFonts w:ascii="Arial" w:cs="Arial" w:eastAsia="Arial" w:hAnsi="Arial"/>
          <w:sz w:val="18"/>
          <w:szCs w:val="18"/>
          <w:b w:val="1"/>
          <w:bCs w:val="1"/>
          <w:color w:val="auto"/>
        </w:rPr>
        <w:t>Figure 15. AL002s statistically significantly increases the number of microglia around amyloid-beta plaques (left) and reduces the area occupied by amyloid-beta plaques (right) in a mouse model of Alzheimer’s disease (**** indicates p&lt;0.0001 by 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2151380</wp:posOffset>
            </wp:positionH>
            <wp:positionV relativeFrom="paragraph">
              <wp:posOffset>125095</wp:posOffset>
            </wp:positionV>
            <wp:extent cx="3314700" cy="25266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14700" cy="2526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80" w:right="40"/>
        <w:spacing w:after="0" w:line="282" w:lineRule="auto"/>
        <w:rPr>
          <w:sz w:val="20"/>
          <w:szCs w:val="20"/>
          <w:color w:val="auto"/>
        </w:rPr>
      </w:pPr>
      <w:r>
        <w:rPr>
          <w:rFonts w:ascii="Arial" w:cs="Arial" w:eastAsia="Arial" w:hAnsi="Arial"/>
          <w:sz w:val="19"/>
          <w:szCs w:val="19"/>
          <w:b w:val="1"/>
          <w:bCs w:val="1"/>
          <w:color w:val="auto"/>
        </w:rPr>
        <w:t>Figure 16. AL002s statistically significantly improves cognitive deficit in a mouse model of Alzheimer’s disease (**** indicates p&lt;0.0001 by T-test).</w:t>
      </w:r>
    </w:p>
    <w:p>
      <w:pPr>
        <w:spacing w:after="0" w:line="106" w:lineRule="exact"/>
        <w:rPr>
          <w:sz w:val="20"/>
          <w:szCs w:val="20"/>
          <w:color w:val="auto"/>
        </w:rPr>
      </w:pPr>
    </w:p>
    <w:p>
      <w:pPr>
        <w:jc w:val="center"/>
        <w:ind w:right="-339"/>
        <w:spacing w:after="0"/>
        <w:rPr>
          <w:sz w:val="20"/>
          <w:szCs w:val="20"/>
          <w:color w:val="auto"/>
        </w:rPr>
      </w:pPr>
      <w:r>
        <w:rPr>
          <w:rFonts w:ascii="Arial" w:cs="Arial" w:eastAsia="Arial" w:hAnsi="Arial"/>
          <w:sz w:val="19"/>
          <w:szCs w:val="19"/>
          <w:color w:val="auto"/>
        </w:rPr>
        <w:t>109</w:t>
      </w:r>
    </w:p>
    <w:p>
      <w:pPr>
        <w:sectPr>
          <w:pgSz w:w="12240" w:h="15840" w:orient="portrait"/>
          <w:cols w:equalWidth="0" w:num="1">
            <w:col w:w="11660"/>
          </w:cols>
          <w:pgMar w:left="120" w:top="336" w:right="460" w:bottom="1440" w:gutter="0" w:footer="0" w:header="0"/>
        </w:sectPr>
      </w:pPr>
    </w:p>
    <w:bookmarkStart w:id="117" w:name="page118"/>
    <w:bookmarkEnd w:id="11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AL002 Development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1109980</wp:posOffset>
            </wp:positionH>
            <wp:positionV relativeFrom="paragraph">
              <wp:posOffset>178435</wp:posOffset>
            </wp:positionV>
            <wp:extent cx="5397500" cy="17113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397500" cy="171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Figure 17. Clinical plan for AL002 in Alzheimer’s disease.</w:t>
      </w:r>
    </w:p>
    <w:p>
      <w:pPr>
        <w:spacing w:after="0" w:line="244"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AL002 is currently being tested in a randomized, double-blind, placebo-controlled, dose-escalating Phase 1 study that is ongoing in Australia. Up to 48 healthy volunteers and 12 Alzheimer’s patients will be randomized and receive four doses of AL002 or placebo. The primary endpoints of the study are safety and tolerability. The secondary endpoints include pharmacokinetic measurements, including serum and CSF concentrations of AL002 at specific time points. As of January 25, 2019, in all six dose cohorts enrolled to date, no drug-related serious adverse events or dose-limiting adverse events have been reported.</w:t>
      </w:r>
    </w:p>
    <w:p>
      <w:pPr>
        <w:spacing w:after="0" w:line="204" w:lineRule="exact"/>
        <w:rPr>
          <w:sz w:val="20"/>
          <w:szCs w:val="20"/>
          <w:color w:val="auto"/>
        </w:rPr>
      </w:pPr>
    </w:p>
    <w:p>
      <w:pPr>
        <w:ind w:left="180" w:right="100" w:firstLine="465"/>
        <w:spacing w:after="0" w:line="259" w:lineRule="auto"/>
        <w:rPr>
          <w:sz w:val="20"/>
          <w:szCs w:val="20"/>
          <w:color w:val="auto"/>
        </w:rPr>
      </w:pPr>
      <w:r>
        <w:rPr>
          <w:rFonts w:ascii="Arial" w:cs="Arial" w:eastAsia="Arial" w:hAnsi="Arial"/>
          <w:sz w:val="19"/>
          <w:szCs w:val="19"/>
          <w:color w:val="auto"/>
        </w:rPr>
        <w:t>In addition to safety in healthy adults as well as Alzheimer’s disease patients, CSF levels of target engagement and signaling biomarkers, which were validated in non-human primates after AL002 systemic administration, will be used along with biomarkers associated with immune activity in the brain to determine optimal dosing regimen and evaluate proof-of-mechanism in healthy volunteers and Alzheimer’s disease patients and safety of AL002 (Figure 17).</w:t>
      </w:r>
    </w:p>
    <w:p>
      <w:pPr>
        <w:spacing w:after="0" w:line="198"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color w:val="auto"/>
        </w:rPr>
        <w:t>Following the Phase 1 study, we intend to launch a double-blind placebo-controlled Phase 2 proof-of-concept trial in Alzheimer’s disease patients in early stages of the disease. In addition to measuring molecular and genetic biomarkers, we intend to use novel imaging modalities to specifically look at the levels of activated microglia in the brain. Moreover, imaging techniques focused on pathological proteins and neuronal health will also be employed for an early read-out on various molecular and genetic biomarkers, imaging assessments and clinical measures to establish proof-of-concept enabling pivotal Phase 3 studies.</w:t>
      </w:r>
    </w:p>
    <w:p>
      <w:pPr>
        <w:spacing w:after="0" w:line="204" w:lineRule="exact"/>
        <w:rPr>
          <w:sz w:val="20"/>
          <w:szCs w:val="20"/>
          <w:color w:val="auto"/>
        </w:rPr>
      </w:pPr>
    </w:p>
    <w:p>
      <w:pPr>
        <w:ind w:left="180" w:right="80" w:firstLine="465"/>
        <w:spacing w:after="0" w:line="263" w:lineRule="auto"/>
        <w:rPr>
          <w:sz w:val="20"/>
          <w:szCs w:val="20"/>
          <w:color w:val="auto"/>
        </w:rPr>
      </w:pPr>
      <w:r>
        <w:rPr>
          <w:rFonts w:ascii="Arial" w:cs="Arial" w:eastAsia="Arial" w:hAnsi="Arial"/>
          <w:sz w:val="19"/>
          <w:szCs w:val="19"/>
          <w:color w:val="auto"/>
        </w:rPr>
        <w:t>These clinical trials have been designed in close collaboration with AbbVie. Our desired outcome is to achieve informative endpoints to enable efficient Phase 3 clinical trial design and a rapid advancement towards marketing approval. For more information on our collaboration with AbbVie see the section titled “Business—Strategic Alliance with AbbVie.”</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SIGLEC 3 Program</w:t>
      </w:r>
    </w:p>
    <w:p>
      <w:pPr>
        <w:spacing w:after="0" w:line="130"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color w:val="auto"/>
        </w:rPr>
        <w:t>Large scale genomic profiling of datasets from Alzheimer’s disease patients has been used to identify the association between certain variants of SIGLEC 3, also known as CD33, and increased risk to develop Alzheimer’s disease. SIGLEC 3 is an inhibitory receptor expressed on microglia and acts as the brakes of the immune system in the brain, slowing down microglial activity. Excessive inhibition of the microglia by the disease risk variant of SIGLEC 3, which increases expression of the inhibitory SIGLEC 3 receptor on microglia, leads to reduced functionality of the myeloid cells, and consequently, increased deposition of amyloid-beta plaques, and accelerated loss of tissue in the brain of Alzheimer’s disease patients that carry this risk variant.</w:t>
      </w:r>
    </w:p>
    <w:p>
      <w:pPr>
        <w:spacing w:after="0" w:line="204" w:lineRule="exact"/>
        <w:rPr>
          <w:sz w:val="20"/>
          <w:szCs w:val="20"/>
          <w:color w:val="auto"/>
        </w:rPr>
      </w:pPr>
    </w:p>
    <w:p>
      <w:pPr>
        <w:ind w:left="180" w:right="180" w:firstLine="465"/>
        <w:spacing w:after="0" w:line="275" w:lineRule="auto"/>
        <w:rPr>
          <w:sz w:val="20"/>
          <w:szCs w:val="20"/>
          <w:color w:val="auto"/>
        </w:rPr>
      </w:pPr>
      <w:r>
        <w:rPr>
          <w:rFonts w:ascii="Arial" w:cs="Arial" w:eastAsia="Arial" w:hAnsi="Arial"/>
          <w:sz w:val="19"/>
          <w:szCs w:val="19"/>
          <w:color w:val="auto"/>
        </w:rPr>
        <w:t>Our analysis further showed that the natural inhibitory ligands for SIGLEC 3, which are required for activation of SIGLEC 3, are upregulated in the brain of Alzheimer’s disease patients, further reducing the functionality of the microglia.</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110</w:t>
      </w:r>
    </w:p>
    <w:p>
      <w:pPr>
        <w:sectPr>
          <w:pgSz w:w="12240" w:h="15840" w:orient="portrait"/>
          <w:cols w:equalWidth="0" w:num="1">
            <w:col w:w="11800"/>
          </w:cols>
          <w:pgMar w:left="120" w:top="336" w:right="320" w:bottom="1440" w:gutter="0" w:footer="0" w:header="0"/>
        </w:sectPr>
      </w:pPr>
    </w:p>
    <w:bookmarkStart w:id="118" w:name="page119"/>
    <w:bookmarkEnd w:id="11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74" w:lineRule="auto"/>
        <w:rPr>
          <w:sz w:val="20"/>
          <w:szCs w:val="20"/>
          <w:color w:val="auto"/>
        </w:rPr>
      </w:pPr>
      <w:r>
        <w:rPr>
          <w:rFonts w:ascii="Arial" w:cs="Arial" w:eastAsia="Arial" w:hAnsi="Arial"/>
          <w:sz w:val="18"/>
          <w:szCs w:val="18"/>
          <w:color w:val="auto"/>
        </w:rPr>
        <w:t>Consistent with the genetic findings in humans, Alzheimer’s disease mouse models, in which the gene for SIGLEC 3 was genetically ablated, have microglia with improved phagocytosis of beta amyloid and displayed fewer amyloid-beta plaques compared to the same Alzheimer’s disease model that expressed the mouse SIGLEC 3 gene. In line with the findings that the presence of SIGLEC 3 increased the severity of Alzheimer’s disease, a reduced number of certain disease associated microglia that are thought to counteract the progression of Alzheimer’s disease was observed when the human SIGLEC 3 in Alzheimer’s disease mouse models was over-expressed.</w:t>
      </w:r>
    </w:p>
    <w:p>
      <w:pPr>
        <w:spacing w:after="0" w:line="188" w:lineRule="exact"/>
        <w:rPr>
          <w:sz w:val="20"/>
          <w:szCs w:val="20"/>
          <w:color w:val="auto"/>
        </w:rPr>
      </w:pPr>
    </w:p>
    <w:p>
      <w:pPr>
        <w:ind w:left="180" w:right="100" w:firstLine="465"/>
        <w:spacing w:after="0" w:line="275" w:lineRule="auto"/>
        <w:rPr>
          <w:sz w:val="20"/>
          <w:szCs w:val="20"/>
          <w:color w:val="auto"/>
        </w:rPr>
      </w:pPr>
      <w:r>
        <w:rPr>
          <w:rFonts w:ascii="Arial" w:cs="Arial" w:eastAsia="Arial" w:hAnsi="Arial"/>
          <w:sz w:val="19"/>
          <w:szCs w:val="19"/>
          <w:color w:val="auto"/>
        </w:rPr>
        <w:t>Taken together, this data supports the hypothesis that blocking the function of SIGLEC 3 would increase the number of beneficial microglia and elicit a therapeutic benefit in Alzheimer’s disease.</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AL003 for Treatment of Alzheimer’s Disease</w:t>
      </w:r>
    </w:p>
    <w:p>
      <w:pPr>
        <w:spacing w:after="0" w:line="124" w:lineRule="exact"/>
        <w:rPr>
          <w:sz w:val="20"/>
          <w:szCs w:val="20"/>
          <w:color w:val="auto"/>
        </w:rPr>
      </w:pPr>
    </w:p>
    <w:p>
      <w:pPr>
        <w:ind w:left="180" w:right="140" w:firstLine="465"/>
        <w:spacing w:after="0" w:line="259" w:lineRule="auto"/>
        <w:rPr>
          <w:sz w:val="20"/>
          <w:szCs w:val="20"/>
          <w:color w:val="auto"/>
        </w:rPr>
      </w:pPr>
      <w:r>
        <w:rPr>
          <w:rFonts w:ascii="Arial" w:cs="Arial" w:eastAsia="Arial" w:hAnsi="Arial"/>
          <w:sz w:val="19"/>
          <w:szCs w:val="19"/>
          <w:color w:val="auto"/>
        </w:rPr>
        <w:t>Our product candidate, AL003, is a SIGLEC 3 blocking, monoclonal antibody (Figure 18) that is intended to be delivered by intravenous, peripheral infusion into the blood stream. The function of SIGLEC 3 on microglia is similar to the inhibitory function of PD-1 on T-cells. AL003 acts similarly to PD-1 inhibitors that have been employed successfully in immunotherapy of cancer. Both approaches aim to remove the “brakes” on the immune system to allow the system to work at its full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2142490</wp:posOffset>
            </wp:positionH>
            <wp:positionV relativeFrom="paragraph">
              <wp:posOffset>152400</wp:posOffset>
            </wp:positionV>
            <wp:extent cx="3332480" cy="33413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32480" cy="3341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Figure 18. Mechanism of action of our SIGLEC 3 blocking product candidate AL003.</w:t>
      </w:r>
    </w:p>
    <w:p>
      <w:pPr>
        <w:spacing w:after="0" w:line="244" w:lineRule="exact"/>
        <w:rPr>
          <w:sz w:val="20"/>
          <w:szCs w:val="20"/>
          <w:color w:val="auto"/>
        </w:rPr>
      </w:pPr>
    </w:p>
    <w:p>
      <w:pPr>
        <w:ind w:left="180" w:right="40" w:firstLine="465"/>
        <w:spacing w:after="0" w:line="284" w:lineRule="auto"/>
        <w:rPr>
          <w:sz w:val="20"/>
          <w:szCs w:val="20"/>
          <w:color w:val="auto"/>
        </w:rPr>
      </w:pPr>
      <w:r>
        <w:rPr>
          <w:rFonts w:ascii="Arial" w:cs="Arial" w:eastAsia="Arial" w:hAnsi="Arial"/>
          <w:sz w:val="18"/>
          <w:szCs w:val="18"/>
          <w:color w:val="auto"/>
        </w:rPr>
        <w:t>We intend to initiate a Phase 1 trial of AL003 in the first half of 2019 in healthy adults and patients with mild to moderate Alzheimer’s disease to assess preliminary safety of AL003. Proof-of-mechanism data can be obtained by analysis of levels of fluid biomarkers. Following positive results in this trial, we intend to launch a Phase 2 proof-of-concept trial for AL003 in Alzheimer’s disease patients.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SIGLEC 3 Preclinical Data</w:t>
      </w:r>
    </w:p>
    <w:p>
      <w:pPr>
        <w:spacing w:after="0" w:line="124" w:lineRule="exact"/>
        <w:rPr>
          <w:sz w:val="20"/>
          <w:szCs w:val="20"/>
          <w:color w:val="auto"/>
        </w:rPr>
      </w:pPr>
    </w:p>
    <w:p>
      <w:pPr>
        <w:ind w:left="180" w:right="40" w:firstLine="465"/>
        <w:spacing w:after="0" w:line="275" w:lineRule="auto"/>
        <w:rPr>
          <w:sz w:val="20"/>
          <w:szCs w:val="20"/>
          <w:color w:val="auto"/>
        </w:rPr>
      </w:pPr>
      <w:r>
        <w:rPr>
          <w:rFonts w:ascii="Arial" w:cs="Arial" w:eastAsia="Arial" w:hAnsi="Arial"/>
          <w:sz w:val="19"/>
          <w:szCs w:val="19"/>
          <w:color w:val="auto"/>
        </w:rPr>
        <w:t>The activity of AL003 in mice was assessed in immunodeficient mice containing human immune cells to recapitulate the human immune system as closely as possible. AL003 injected into the bloodstream of these mice</w:t>
      </w:r>
    </w:p>
    <w:p>
      <w:pPr>
        <w:sectPr>
          <w:pgSz w:w="12240" w:h="15840" w:orient="portrait"/>
          <w:cols w:equalWidth="0" w:num="1">
            <w:col w:w="11700"/>
          </w:cols>
          <w:pgMar w:left="120" w:top="336" w:right="420" w:bottom="1440" w:gutter="0" w:footer="0" w:header="0"/>
        </w:sectPr>
      </w:pPr>
    </w:p>
    <w:p>
      <w:pPr>
        <w:spacing w:after="0" w:line="113"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111</w:t>
      </w:r>
    </w:p>
    <w:p>
      <w:pPr>
        <w:sectPr>
          <w:pgSz w:w="12240" w:h="15840" w:orient="portrait"/>
          <w:cols w:equalWidth="0" w:num="1">
            <w:col w:w="11700"/>
          </w:cols>
          <w:pgMar w:left="120" w:top="336" w:right="420" w:bottom="1440" w:gutter="0" w:footer="0" w:header="0"/>
          <w:type w:val="continuous"/>
        </w:sectPr>
      </w:pPr>
    </w:p>
    <w:bookmarkStart w:id="119" w:name="page120"/>
    <w:bookmarkEnd w:id="11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0"/>
        <w:spacing w:after="0" w:line="263" w:lineRule="auto"/>
        <w:rPr>
          <w:sz w:val="20"/>
          <w:szCs w:val="20"/>
          <w:color w:val="auto"/>
        </w:rPr>
      </w:pPr>
      <w:r>
        <w:rPr>
          <w:rFonts w:ascii="Arial" w:cs="Arial" w:eastAsia="Arial" w:hAnsi="Arial"/>
          <w:sz w:val="19"/>
          <w:szCs w:val="19"/>
          <w:color w:val="auto"/>
        </w:rPr>
        <w:t>blocks SIGLEC 3 on immune cells. In addition, a single intraperitoneal injection of AL003 into mice that express the human SIGLEC 3 in microglia leads to a long lasting, statistically significant blockade of SIGLEC 3 on the cell surface of microglia in the brain, indicating that AL003 is able to cross the blood brain barrier and exert its desired activity (Figure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150495</wp:posOffset>
            </wp:positionV>
            <wp:extent cx="1910715" cy="21913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910715" cy="2191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0" w:right="320"/>
        <w:spacing w:after="0" w:line="658" w:lineRule="auto"/>
        <w:rPr>
          <w:sz w:val="20"/>
          <w:szCs w:val="20"/>
          <w:color w:val="auto"/>
        </w:rPr>
      </w:pPr>
      <w:r>
        <w:rPr>
          <w:rFonts w:ascii="Arial" w:cs="Arial" w:eastAsia="Arial" w:hAnsi="Arial"/>
          <w:sz w:val="19"/>
          <w:szCs w:val="19"/>
          <w:b w:val="1"/>
          <w:bCs w:val="1"/>
          <w:color w:val="auto"/>
        </w:rPr>
        <w:t xml:space="preserve">Figure 19. AL003 blocks SIGLEC 3 on microglia in mouse brain following injection to the blood stream (**** indicates p&lt;0.0001 by T-test). </w:t>
      </w:r>
      <w:r>
        <w:rPr>
          <w:rFonts w:ascii="Arial" w:cs="Arial" w:eastAsia="Arial" w:hAnsi="Arial"/>
          <w:sz w:val="19"/>
          <w:szCs w:val="19"/>
          <w:b w:val="1"/>
          <w:bCs w:val="1"/>
          <w:i w:val="1"/>
          <w:iCs w:val="1"/>
          <w:color w:val="auto"/>
        </w:rPr>
        <w:t>AL003 Development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1056005</wp:posOffset>
            </wp:positionH>
            <wp:positionV relativeFrom="paragraph">
              <wp:posOffset>-77470</wp:posOffset>
            </wp:positionV>
            <wp:extent cx="5514975" cy="17475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14975" cy="174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Figure 20. Clinical plan for AL003 in Alzheimer’s disease.</w:t>
      </w:r>
    </w:p>
    <w:p>
      <w:pPr>
        <w:spacing w:after="0" w:line="244" w:lineRule="exact"/>
        <w:rPr>
          <w:sz w:val="20"/>
          <w:szCs w:val="20"/>
          <w:color w:val="auto"/>
        </w:rPr>
      </w:pPr>
    </w:p>
    <w:p>
      <w:pPr>
        <w:ind w:left="180" w:firstLine="465"/>
        <w:spacing w:after="0" w:line="336" w:lineRule="auto"/>
        <w:rPr>
          <w:sz w:val="20"/>
          <w:szCs w:val="20"/>
          <w:color w:val="auto"/>
        </w:rPr>
      </w:pPr>
      <w:r>
        <w:rPr>
          <w:rFonts w:ascii="Arial" w:cs="Arial" w:eastAsia="Arial" w:hAnsi="Arial"/>
          <w:sz w:val="17"/>
          <w:szCs w:val="17"/>
          <w:color w:val="auto"/>
        </w:rPr>
        <w:t>Our AL003 product candidate follows a similar clinical development plan to AL002 with some modifications. We plan to initiate a Phase 1 trial of AL003 in the first half of 2019. This Phase 1 trial is designed to establish safety of AL003 in healthy subjects as well as Alzheimer’s patients.</w:t>
      </w:r>
    </w:p>
    <w:p>
      <w:pPr>
        <w:spacing w:after="0" w:line="137" w:lineRule="exact"/>
        <w:rPr>
          <w:sz w:val="20"/>
          <w:szCs w:val="20"/>
          <w:color w:val="auto"/>
        </w:rPr>
      </w:pPr>
    </w:p>
    <w:p>
      <w:pPr>
        <w:ind w:left="180" w:right="580" w:firstLine="465"/>
        <w:spacing w:after="0" w:line="275" w:lineRule="auto"/>
        <w:rPr>
          <w:sz w:val="20"/>
          <w:szCs w:val="20"/>
          <w:color w:val="auto"/>
        </w:rPr>
      </w:pPr>
      <w:r>
        <w:rPr>
          <w:rFonts w:ascii="Arial" w:cs="Arial" w:eastAsia="Arial" w:hAnsi="Arial"/>
          <w:sz w:val="19"/>
          <w:szCs w:val="19"/>
          <w:color w:val="auto"/>
        </w:rPr>
        <w:t>Following positive results in this trial, we intend to launch a double-blind placebo-controlled Phase 2 proof-of-concept trial in Alzheimer’s patients (Figure 20).</w:t>
      </w:r>
    </w:p>
    <w:p>
      <w:pPr>
        <w:spacing w:after="0" w:line="184" w:lineRule="exact"/>
        <w:rPr>
          <w:sz w:val="20"/>
          <w:szCs w:val="20"/>
          <w:color w:val="auto"/>
        </w:rPr>
      </w:pPr>
    </w:p>
    <w:p>
      <w:pPr>
        <w:ind w:left="180" w:right="180" w:firstLine="465"/>
        <w:spacing w:after="0" w:line="259" w:lineRule="auto"/>
        <w:rPr>
          <w:sz w:val="20"/>
          <w:szCs w:val="20"/>
          <w:color w:val="auto"/>
        </w:rPr>
      </w:pPr>
      <w:r>
        <w:rPr>
          <w:rFonts w:ascii="Arial" w:cs="Arial" w:eastAsia="Arial" w:hAnsi="Arial"/>
          <w:sz w:val="19"/>
          <w:szCs w:val="19"/>
          <w:color w:val="auto"/>
        </w:rPr>
        <w:t>During this planned Phase 2 trial, in addition to measuring molecular and genetic biomarkers, we intend to use novel imaging modalities to measure the levels of immune activity in the brain. Moreover, imaging techniques focused on pathological proteins and neuronal health will also be employed for an early read out on various molecular and genetic biomarkers, imaging assessments and clinical measures to establish proof-of-concept enabling pivotal Phase 3 studies.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112</w:t>
      </w:r>
    </w:p>
    <w:p>
      <w:pPr>
        <w:sectPr>
          <w:pgSz w:w="12240" w:h="15840" w:orient="portrait"/>
          <w:cols w:equalWidth="0" w:num="1">
            <w:col w:w="11780"/>
          </w:cols>
          <w:pgMar w:left="120" w:top="336" w:right="340" w:bottom="1440" w:gutter="0" w:footer="0" w:header="0"/>
        </w:sectPr>
      </w:pPr>
    </w:p>
    <w:bookmarkStart w:id="120" w:name="page121"/>
    <w:bookmarkEnd w:id="12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80" w:firstLine="465"/>
        <w:spacing w:after="0" w:line="263" w:lineRule="auto"/>
        <w:rPr>
          <w:sz w:val="20"/>
          <w:szCs w:val="20"/>
          <w:color w:val="auto"/>
        </w:rPr>
      </w:pPr>
      <w:r>
        <w:rPr>
          <w:rFonts w:ascii="Arial" w:cs="Arial" w:eastAsia="Arial" w:hAnsi="Arial"/>
          <w:sz w:val="19"/>
          <w:szCs w:val="19"/>
          <w:color w:val="auto"/>
        </w:rPr>
        <w:t>These clinical trials have been designed in close collaboration with AbbVie. Our desired outcome is to achieve informative endpoints to enable efficient Phase 3 clinical trial design and a rapid advancement towards marketing approval. For more information on our collaboration with AbbVie see the section titled “Business—Strategic Alliance with AbbVie.”</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Expansion of Our Discovery Platform to Other Indications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Immuno-oncology</w:t>
      </w:r>
    </w:p>
    <w:p>
      <w:pPr>
        <w:spacing w:after="0" w:line="124" w:lineRule="exact"/>
        <w:rPr>
          <w:sz w:val="20"/>
          <w:szCs w:val="20"/>
          <w:color w:val="auto"/>
        </w:rPr>
      </w:pPr>
    </w:p>
    <w:p>
      <w:pPr>
        <w:ind w:left="180" w:right="20" w:firstLine="465"/>
        <w:spacing w:after="0" w:line="294" w:lineRule="auto"/>
        <w:rPr>
          <w:sz w:val="20"/>
          <w:szCs w:val="20"/>
          <w:color w:val="auto"/>
        </w:rPr>
      </w:pPr>
      <w:r>
        <w:rPr>
          <w:rFonts w:ascii="Arial" w:cs="Arial" w:eastAsia="Arial" w:hAnsi="Arial"/>
          <w:sz w:val="17"/>
          <w:szCs w:val="17"/>
          <w:color w:val="auto"/>
        </w:rPr>
        <w:t>Microglia display similar gene expression signature and function to the innate cells of the peripheral immune system. These peripheral innate cells such as macrophages, NK cells and others, likely play a significant role in multiple chronic diseases including cancer, inflammation, and autoimmune disorders. We are leveraging our expertise in innate immune system to develop additional innate immune check-point focused programs, including programs targeting the Siglec protein family and the SIRP protein family, for peripheral disorders, particularly cancer. We believe that products focused on innate immune biology will complement and expand the efficacy of current immuno-oncology drugs that target the adaptive immune system.</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Combination Therapies</w:t>
      </w:r>
    </w:p>
    <w:p>
      <w:pPr>
        <w:spacing w:after="0" w:line="124" w:lineRule="exact"/>
        <w:rPr>
          <w:sz w:val="20"/>
          <w:szCs w:val="20"/>
          <w:color w:val="auto"/>
        </w:rPr>
      </w:pPr>
    </w:p>
    <w:p>
      <w:pPr>
        <w:ind w:left="180" w:firstLine="465"/>
        <w:spacing w:after="0" w:line="274" w:lineRule="auto"/>
        <w:rPr>
          <w:sz w:val="20"/>
          <w:szCs w:val="20"/>
          <w:color w:val="auto"/>
        </w:rPr>
      </w:pPr>
      <w:r>
        <w:rPr>
          <w:rFonts w:ascii="Arial" w:cs="Arial" w:eastAsia="Arial" w:hAnsi="Arial"/>
          <w:sz w:val="18"/>
          <w:szCs w:val="18"/>
          <w:color w:val="auto"/>
        </w:rPr>
        <w:t>Our therapies are also likely to act in conjunction with each other or with other experimental drugs that are designed to remove pathological proteins. Therapies such as antibodies against amyloid-beta, the TAU filaments or misfolded alpha-synuclein protein are designed to tag the pathological proteins and recruit microglia to dispose of the drug pathological protein complex. Aging microglia are less likely to perform this function effectively and our immuno-neurology therapies could ameliorate this deficiency. We are continuing to explore various combination strategies in preclinical models and will, in the future, consider moving this strategy into the clinic based upon results from preclinical models.</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Strategic Alliance with AbbVie</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Overview</w:t>
      </w:r>
    </w:p>
    <w:p>
      <w:pPr>
        <w:spacing w:after="0" w:line="124" w:lineRule="exact"/>
        <w:rPr>
          <w:sz w:val="20"/>
          <w:szCs w:val="20"/>
          <w:color w:val="auto"/>
        </w:rPr>
      </w:pPr>
    </w:p>
    <w:p>
      <w:pPr>
        <w:ind w:left="180" w:right="40" w:firstLine="465"/>
        <w:spacing w:after="0" w:line="275" w:lineRule="auto"/>
        <w:rPr>
          <w:sz w:val="20"/>
          <w:szCs w:val="20"/>
          <w:color w:val="auto"/>
        </w:rPr>
      </w:pPr>
      <w:r>
        <w:rPr>
          <w:rFonts w:ascii="Arial" w:cs="Arial" w:eastAsia="Arial" w:hAnsi="Arial"/>
          <w:sz w:val="19"/>
          <w:szCs w:val="19"/>
          <w:color w:val="auto"/>
        </w:rPr>
        <w:t>In October 2017, we entered into the AbbVie Agreement. The primary goal of our global strategic collaboration with AbbVie is to co-develop and commercialize therapeutics to treat Alzheimer’s and other neurodegenerative diseases.</w:t>
      </w:r>
    </w:p>
    <w:p>
      <w:pPr>
        <w:spacing w:after="0" w:line="184" w:lineRule="exact"/>
        <w:rPr>
          <w:sz w:val="20"/>
          <w:szCs w:val="20"/>
          <w:color w:val="auto"/>
        </w:rPr>
      </w:pPr>
    </w:p>
    <w:p>
      <w:pPr>
        <w:ind w:left="180" w:right="60" w:firstLine="465"/>
        <w:spacing w:after="0" w:line="269" w:lineRule="auto"/>
        <w:rPr>
          <w:sz w:val="20"/>
          <w:szCs w:val="20"/>
          <w:color w:val="auto"/>
        </w:rPr>
      </w:pPr>
      <w:r>
        <w:rPr>
          <w:rFonts w:ascii="Arial" w:cs="Arial" w:eastAsia="Arial" w:hAnsi="Arial"/>
          <w:sz w:val="18"/>
          <w:szCs w:val="18"/>
          <w:color w:val="auto"/>
        </w:rPr>
        <w:t>Under the AbbVie Agreement, we granted AbbVie an exclusive option to global development and commercialization for our TREM2 and SIGLEC 3 programs. The terms of the AbbVie Agreement included initial upfront payments of $205.0 million and $20.0 million from the sale of shares of our Series E preferred stock, and if AbbVie exercises its option for both programs, we are eligible for up to an additional $985.6 million in option exercise and milestone payments. Following AbbVie’s exercise of its option, Alector and AbbVie will share the development costs and will split global profits after marketing approval. However, following AbbVie’s option exercise for a program, we may opt out of sharing in development costs and profits or losses from that program and instead receive a tiered royalty on sales of products from that program. We are responsible for the design and execution of Phase 1 and Phase 2 studies, taking advantage of our significant in-house expertise in running clinical trials in Alzheimer’s disease. Following its exercise of an option for a program, AbbVie will be responsible for certain development activities and global commercialization, taking advantage of its global clinical trial expertise and commercialization networks. Through this partnership, we aim to leverage the strengths of both organizations efficiently to best achieve the desired outcome.</w:t>
      </w:r>
    </w:p>
    <w:p>
      <w:pPr>
        <w:spacing w:after="0" w:line="190" w:lineRule="exact"/>
        <w:rPr>
          <w:sz w:val="20"/>
          <w:szCs w:val="20"/>
          <w:color w:val="auto"/>
        </w:rPr>
      </w:pPr>
    </w:p>
    <w:p>
      <w:pPr>
        <w:ind w:left="180" w:right="180" w:firstLine="465"/>
        <w:spacing w:after="0" w:line="256" w:lineRule="auto"/>
        <w:rPr>
          <w:sz w:val="20"/>
          <w:szCs w:val="20"/>
          <w:color w:val="auto"/>
        </w:rPr>
      </w:pPr>
      <w:r>
        <w:rPr>
          <w:rFonts w:ascii="Arial" w:cs="Arial" w:eastAsia="Arial" w:hAnsi="Arial"/>
          <w:sz w:val="19"/>
          <w:szCs w:val="19"/>
          <w:b w:val="1"/>
          <w:bCs w:val="1"/>
          <w:i w:val="1"/>
          <w:iCs w:val="1"/>
          <w:color w:val="auto"/>
        </w:rPr>
        <w:t xml:space="preserve">Exercise of options. </w:t>
      </w:r>
      <w:r>
        <w:rPr>
          <w:rFonts w:ascii="Arial" w:cs="Arial" w:eastAsia="Arial" w:hAnsi="Arial"/>
          <w:sz w:val="19"/>
          <w:szCs w:val="19"/>
          <w:color w:val="auto"/>
        </w:rPr>
        <w:t>AbbVie may exercise its option for a program at any time until the expiration of an option term for that program. For each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program, the option term ends following a fixed period after AbbVie’s receipt of the data package that includes certain information relating to the applicable program’s research and development activities. If AbbVie fails to exercise its option during the option term for a product candidate, we will retain all rights to that program. If AbbVie exercises its option for a program, then AbbVie will lead development and commercialization activities worldwide. Once AbbVie opts in with respect to a given product</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113</w:t>
      </w:r>
    </w:p>
    <w:p>
      <w:pPr>
        <w:sectPr>
          <w:pgSz w:w="12240" w:h="15840" w:orient="portrait"/>
          <w:cols w:equalWidth="0" w:num="1">
            <w:col w:w="11800"/>
          </w:cols>
          <w:pgMar w:left="120" w:top="336" w:right="320" w:bottom="1440" w:gutter="0" w:footer="0" w:header="0"/>
        </w:sectPr>
      </w:pPr>
    </w:p>
    <w:bookmarkStart w:id="121" w:name="page122"/>
    <w:bookmarkEnd w:id="12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color w:val="auto"/>
        </w:rPr>
        <w:t>candidate, AbbVie must use commercially reasonable efforts to develop and commercialize the corresponding product globally.</w:t>
      </w:r>
    </w:p>
    <w:p>
      <w:pPr>
        <w:spacing w:after="0" w:line="238" w:lineRule="exact"/>
        <w:rPr>
          <w:sz w:val="20"/>
          <w:szCs w:val="20"/>
          <w:color w:val="auto"/>
        </w:rPr>
      </w:pPr>
    </w:p>
    <w:p>
      <w:pPr>
        <w:ind w:left="180" w:firstLine="465"/>
        <w:spacing w:after="0" w:line="277" w:lineRule="auto"/>
        <w:rPr>
          <w:sz w:val="20"/>
          <w:szCs w:val="20"/>
          <w:color w:val="auto"/>
        </w:rPr>
      </w:pPr>
      <w:r>
        <w:rPr>
          <w:rFonts w:ascii="Arial" w:cs="Arial" w:eastAsia="Arial" w:hAnsi="Arial"/>
          <w:sz w:val="18"/>
          <w:szCs w:val="18"/>
          <w:b w:val="1"/>
          <w:bCs w:val="1"/>
          <w:i w:val="1"/>
          <w:iCs w:val="1"/>
          <w:color w:val="auto"/>
        </w:rPr>
        <w:t xml:space="preserve">Governance. </w:t>
      </w:r>
      <w:r>
        <w:rPr>
          <w:rFonts w:ascii="Arial" w:cs="Arial" w:eastAsia="Arial" w:hAnsi="Arial"/>
          <w:sz w:val="18"/>
          <w:szCs w:val="18"/>
          <w:color w:val="auto"/>
        </w:rPr>
        <w:t>The collaboration is governed by a joint steering committee (JSC). The JSC may establish additional subcommittees to oversee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particular projects or activities. Subject to limitations specified in the AbbVie Agreement, if the applicable governance committee is unable to make a decision by consensus and the parties are unable to resolve the issue through escalation to specified senior executive officers of the parties, then the issue is escalated to an alternative dispute resolution subject to final decision-making rights retained by each party.</w:t>
      </w:r>
    </w:p>
    <w:p>
      <w:pPr>
        <w:spacing w:after="0" w:line="185" w:lineRule="exact"/>
        <w:rPr>
          <w:sz w:val="20"/>
          <w:szCs w:val="20"/>
          <w:color w:val="auto"/>
        </w:rPr>
      </w:pPr>
    </w:p>
    <w:p>
      <w:pPr>
        <w:ind w:left="180" w:right="320" w:firstLine="465"/>
        <w:spacing w:after="0" w:line="275" w:lineRule="auto"/>
        <w:rPr>
          <w:sz w:val="20"/>
          <w:szCs w:val="20"/>
          <w:color w:val="auto"/>
        </w:rPr>
      </w:pPr>
      <w:r>
        <w:rPr>
          <w:rFonts w:ascii="Arial" w:cs="Arial" w:eastAsia="Arial" w:hAnsi="Arial"/>
          <w:sz w:val="19"/>
          <w:szCs w:val="19"/>
          <w:b w:val="1"/>
          <w:bCs w:val="1"/>
          <w:i w:val="1"/>
          <w:iCs w:val="1"/>
          <w:color w:val="auto"/>
        </w:rPr>
        <w:t xml:space="preserve">Exclusivity. </w:t>
      </w:r>
      <w:r>
        <w:rPr>
          <w:rFonts w:ascii="Arial" w:cs="Arial" w:eastAsia="Arial" w:hAnsi="Arial"/>
          <w:sz w:val="19"/>
          <w:szCs w:val="19"/>
          <w:color w:val="auto"/>
        </w:rPr>
        <w:t>During the term of the AbbVie Agreement, each of Alector and AbbVie are subject to exclusivity requirements prohibiting certain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activities outside of the AbbVie Agreement directed to targets under the AbbVie Agreement.</w:t>
      </w:r>
    </w:p>
    <w:p>
      <w:pPr>
        <w:spacing w:after="0" w:line="184" w:lineRule="exact"/>
        <w:rPr>
          <w:sz w:val="20"/>
          <w:szCs w:val="20"/>
          <w:color w:val="auto"/>
        </w:rPr>
      </w:pPr>
    </w:p>
    <w:p>
      <w:pPr>
        <w:ind w:left="180" w:right="40" w:firstLine="465"/>
        <w:spacing w:after="0" w:line="254" w:lineRule="auto"/>
        <w:rPr>
          <w:sz w:val="20"/>
          <w:szCs w:val="20"/>
          <w:color w:val="auto"/>
        </w:rPr>
      </w:pPr>
      <w:r>
        <w:rPr>
          <w:rFonts w:ascii="Arial" w:cs="Arial" w:eastAsia="Arial" w:hAnsi="Arial"/>
          <w:sz w:val="19"/>
          <w:szCs w:val="19"/>
          <w:b w:val="1"/>
          <w:bCs w:val="1"/>
          <w:i w:val="1"/>
          <w:iCs w:val="1"/>
          <w:color w:val="auto"/>
        </w:rPr>
        <w:t xml:space="preserve">Intellectual Property. </w:t>
      </w:r>
      <w:r>
        <w:rPr>
          <w:rFonts w:ascii="Arial" w:cs="Arial" w:eastAsia="Arial" w:hAnsi="Arial"/>
          <w:sz w:val="19"/>
          <w:szCs w:val="19"/>
          <w:color w:val="auto"/>
        </w:rPr>
        <w:t>Ownership of intellectual property created in connection with the AbbVie Agreement is generally determined on the basis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inventorship. Generally, each party has the first right to prosecute and maintain its own patents. We generally have the first right to prosecute and maintain joint patents prior to AbbVie’s exercise of its option for the program relating to such patent, and AbbVie has the right following its exercise of such option. AbbVie has the first right to prosecute any infringement of jointly held patents developed under the AbbVie Agreement and our patents that are licensed under the AbbVie Agreement. Additionally, AbbVie has the sole right to prosecute its own patents. AbbVie has the first right to defend against claims that a product developed under either of the programs that are the subject of the AbbVie Agreement infringe third party intellectual property rights.</w:t>
      </w:r>
    </w:p>
    <w:p>
      <w:pPr>
        <w:spacing w:after="0" w:line="207" w:lineRule="exact"/>
        <w:rPr>
          <w:sz w:val="20"/>
          <w:szCs w:val="20"/>
          <w:color w:val="auto"/>
        </w:rPr>
      </w:pPr>
    </w:p>
    <w:p>
      <w:pPr>
        <w:ind w:left="180" w:right="20" w:firstLine="465"/>
        <w:spacing w:after="0" w:line="277" w:lineRule="auto"/>
        <w:rPr>
          <w:sz w:val="20"/>
          <w:szCs w:val="20"/>
          <w:color w:val="auto"/>
        </w:rPr>
      </w:pPr>
      <w:r>
        <w:rPr>
          <w:rFonts w:ascii="Arial" w:cs="Arial" w:eastAsia="Arial" w:hAnsi="Arial"/>
          <w:sz w:val="18"/>
          <w:szCs w:val="18"/>
          <w:b w:val="1"/>
          <w:bCs w:val="1"/>
          <w:i w:val="1"/>
          <w:iCs w:val="1"/>
          <w:color w:val="auto"/>
        </w:rPr>
        <w:t xml:space="preserve">Term and Termination. </w:t>
      </w:r>
      <w:r>
        <w:rPr>
          <w:rFonts w:ascii="Arial" w:cs="Arial" w:eastAsia="Arial" w:hAnsi="Arial"/>
          <w:sz w:val="18"/>
          <w:szCs w:val="18"/>
          <w:color w:val="auto"/>
        </w:rPr>
        <w:t>At any point during the term of the AbbVie Agreement, including during the research, development, and clinical trial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 AbbVie can terminate the AbbVie Agreement in its entirety, or with respect to either program under the AbbVie Agreement, for convenience. In that event, all rights related to the applicable program revert to us. Additionally, AbbVie or we and can terminate the AbbVie Agreement in connection with a material breach of the AbbVie Agreement by the other party that remains uncured for a specified period of time.</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Adimab Collaboration Agreement</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Overview</w:t>
      </w:r>
    </w:p>
    <w:p>
      <w:pPr>
        <w:spacing w:after="0" w:line="124" w:lineRule="exact"/>
        <w:rPr>
          <w:sz w:val="20"/>
          <w:szCs w:val="20"/>
          <w:color w:val="auto"/>
        </w:rPr>
      </w:pPr>
    </w:p>
    <w:p>
      <w:pPr>
        <w:ind w:left="180" w:right="80" w:firstLine="465"/>
        <w:spacing w:after="0" w:line="259" w:lineRule="auto"/>
        <w:rPr>
          <w:sz w:val="20"/>
          <w:szCs w:val="20"/>
          <w:color w:val="auto"/>
        </w:rPr>
      </w:pPr>
      <w:r>
        <w:rPr>
          <w:rFonts w:ascii="Arial" w:cs="Arial" w:eastAsia="Arial" w:hAnsi="Arial"/>
          <w:sz w:val="19"/>
          <w:szCs w:val="19"/>
          <w:color w:val="auto"/>
        </w:rPr>
        <w:t>In 2014, we entered into the Adimab Collaboration Agreement. Under the Adimab Collaboration Agreement, we are required to fund, and we and Adimab are required to use commercially reasonable efforts to conduct, certain research to discover and optimize antibodies directed against targets selected by us. We are developing antibodies discovered by Adimab in our AL001 and AL101 product candidates, and we are developing antibodies optimized by Adimab in our AL002 and AL003 product candidates.</w:t>
      </w:r>
    </w:p>
    <w:p>
      <w:pPr>
        <w:spacing w:after="0" w:line="198" w:lineRule="exact"/>
        <w:rPr>
          <w:sz w:val="20"/>
          <w:szCs w:val="20"/>
          <w:color w:val="auto"/>
        </w:rPr>
      </w:pPr>
    </w:p>
    <w:p>
      <w:pPr>
        <w:ind w:left="180" w:right="100" w:firstLine="465"/>
        <w:spacing w:after="0" w:line="259" w:lineRule="auto"/>
        <w:rPr>
          <w:sz w:val="20"/>
          <w:szCs w:val="20"/>
          <w:color w:val="auto"/>
        </w:rPr>
      </w:pPr>
      <w:r>
        <w:rPr>
          <w:rFonts w:ascii="Arial" w:cs="Arial" w:eastAsia="Arial" w:hAnsi="Arial"/>
          <w:sz w:val="19"/>
          <w:szCs w:val="19"/>
          <w:b w:val="1"/>
          <w:bCs w:val="1"/>
          <w:i w:val="1"/>
          <w:iCs w:val="1"/>
          <w:color w:val="auto"/>
        </w:rPr>
        <w:t xml:space="preserve">Governance. </w:t>
      </w:r>
      <w:r>
        <w:rPr>
          <w:rFonts w:ascii="Arial" w:cs="Arial" w:eastAsia="Arial" w:hAnsi="Arial"/>
          <w:sz w:val="19"/>
          <w:szCs w:val="19"/>
          <w:color w:val="auto"/>
        </w:rPr>
        <w:t>Our collaboration with Adimab is governed by a research committee consisting of at least two representatives from each party.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research committee prioritizes among research programs and prepares and finalizes new proposed research plans, among other activities. If the research committee is unable to make a decision by consensus and the parties are unable to resolve the issue through escalation to specified senior executive officers of the parties, then either party may seek arbitration of the matter.</w:t>
      </w:r>
    </w:p>
    <w:p>
      <w:pPr>
        <w:spacing w:after="0" w:line="198" w:lineRule="exact"/>
        <w:rPr>
          <w:sz w:val="20"/>
          <w:szCs w:val="20"/>
          <w:color w:val="auto"/>
        </w:rPr>
      </w:pPr>
    </w:p>
    <w:p>
      <w:pPr>
        <w:ind w:left="180" w:right="420" w:firstLine="465"/>
        <w:spacing w:after="0" w:line="275" w:lineRule="auto"/>
        <w:rPr>
          <w:sz w:val="20"/>
          <w:szCs w:val="20"/>
          <w:color w:val="auto"/>
        </w:rPr>
      </w:pPr>
      <w:r>
        <w:rPr>
          <w:rFonts w:ascii="Arial" w:cs="Arial" w:eastAsia="Arial" w:hAnsi="Arial"/>
          <w:sz w:val="19"/>
          <w:szCs w:val="19"/>
          <w:b w:val="1"/>
          <w:bCs w:val="1"/>
          <w:i w:val="1"/>
          <w:iCs w:val="1"/>
          <w:color w:val="auto"/>
        </w:rPr>
        <w:t xml:space="preserve">Exclusivity. </w:t>
      </w:r>
      <w:r>
        <w:rPr>
          <w:rFonts w:ascii="Arial" w:cs="Arial" w:eastAsia="Arial" w:hAnsi="Arial"/>
          <w:sz w:val="19"/>
          <w:szCs w:val="19"/>
          <w:color w:val="auto"/>
        </w:rPr>
        <w:t>Pursuant to the Adimab Collaboration Agreement, each party is subject to limitations on its ability to use information or material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provided by the other outside the scope of the collaboration.</w:t>
      </w:r>
    </w:p>
    <w:p>
      <w:pPr>
        <w:spacing w:after="0" w:line="184" w:lineRule="exact"/>
        <w:rPr>
          <w:sz w:val="20"/>
          <w:szCs w:val="20"/>
          <w:color w:val="auto"/>
        </w:rPr>
      </w:pPr>
    </w:p>
    <w:p>
      <w:pPr>
        <w:jc w:val="both"/>
        <w:ind w:left="180" w:right="480" w:firstLine="465"/>
        <w:spacing w:after="0" w:line="308" w:lineRule="auto"/>
        <w:rPr>
          <w:sz w:val="20"/>
          <w:szCs w:val="20"/>
          <w:color w:val="auto"/>
        </w:rPr>
      </w:pPr>
      <w:r>
        <w:rPr>
          <w:rFonts w:ascii="Arial" w:cs="Arial" w:eastAsia="Arial" w:hAnsi="Arial"/>
          <w:sz w:val="17"/>
          <w:szCs w:val="17"/>
          <w:b w:val="1"/>
          <w:bCs w:val="1"/>
          <w:i w:val="1"/>
          <w:iCs w:val="1"/>
          <w:color w:val="auto"/>
        </w:rPr>
        <w:t xml:space="preserve">Intellectual Property. </w:t>
      </w:r>
      <w:r>
        <w:rPr>
          <w:rFonts w:ascii="Arial" w:cs="Arial" w:eastAsia="Arial" w:hAnsi="Arial"/>
          <w:sz w:val="17"/>
          <w:szCs w:val="17"/>
          <w:color w:val="auto"/>
        </w:rPr>
        <w:t>Ownership of intellectual property arising from the research is generally owned by the party that invents or creates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intellectual property, although certain categories of intellectual property are specifically assigned to one party or the other. For example, patent rights relating to improvements to Adimab’s background platform technology that are invented in the course of the research are assigned to</w:t>
      </w:r>
    </w:p>
    <w:p>
      <w:pPr>
        <w:spacing w:after="0" w:line="8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114</w:t>
      </w:r>
    </w:p>
    <w:p>
      <w:pPr>
        <w:sectPr>
          <w:pgSz w:w="12240" w:h="15840" w:orient="portrait"/>
          <w:cols w:equalWidth="0" w:num="1">
            <w:col w:w="11820"/>
          </w:cols>
          <w:pgMar w:left="120" w:top="336" w:right="300" w:bottom="1440" w:gutter="0" w:footer="0" w:header="0"/>
        </w:sectPr>
      </w:pPr>
    </w:p>
    <w:bookmarkStart w:id="122" w:name="page123"/>
    <w:bookmarkEnd w:id="12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91" w:lineRule="auto"/>
        <w:rPr>
          <w:sz w:val="20"/>
          <w:szCs w:val="20"/>
          <w:color w:val="auto"/>
        </w:rPr>
      </w:pPr>
      <w:r>
        <w:rPr>
          <w:rFonts w:ascii="Arial" w:cs="Arial" w:eastAsia="Arial" w:hAnsi="Arial"/>
          <w:sz w:val="17"/>
          <w:szCs w:val="17"/>
          <w:color w:val="auto"/>
        </w:rPr>
        <w:t>Adimab. Prior to our exercise of the option described below, we and Adimab each grant the other a non-exclusive license to the relevant intellectual property we own to allow each party to carry out its rights and obligations in connection with the research; and except for Adimab’s retained rights to continue using and licensing its own libraries, each party agrees not to practice or license the patents arising out of the research that it owns for any purpose other than to carry out its rights and obligations in connection with the research. Generally, each party has the obligation to prosecute, maintain, defend, and enforce its own patents, but we are subject to certain contractual restrictions on our ability to prosecute, practice, and license certain of our patents that arose out of the research. These restrictions are lifted once we exercise the option described below as to such patents.</w:t>
      </w:r>
    </w:p>
    <w:p>
      <w:pPr>
        <w:spacing w:after="0" w:line="175" w:lineRule="exact"/>
        <w:rPr>
          <w:sz w:val="20"/>
          <w:szCs w:val="20"/>
          <w:color w:val="auto"/>
        </w:rPr>
      </w:pPr>
    </w:p>
    <w:p>
      <w:pPr>
        <w:ind w:left="180" w:firstLine="465"/>
        <w:spacing w:after="0" w:line="285" w:lineRule="auto"/>
        <w:rPr>
          <w:sz w:val="20"/>
          <w:szCs w:val="20"/>
          <w:color w:val="auto"/>
        </w:rPr>
      </w:pPr>
      <w:r>
        <w:rPr>
          <w:rFonts w:ascii="Arial" w:cs="Arial" w:eastAsia="Arial" w:hAnsi="Arial"/>
          <w:sz w:val="17"/>
          <w:szCs w:val="17"/>
          <w:b w:val="1"/>
          <w:bCs w:val="1"/>
          <w:i w:val="1"/>
          <w:iCs w:val="1"/>
          <w:color w:val="auto"/>
        </w:rPr>
        <w:t xml:space="preserve">Exercise of Options. </w:t>
      </w:r>
      <w:r>
        <w:rPr>
          <w:rFonts w:ascii="Arial" w:cs="Arial" w:eastAsia="Arial" w:hAnsi="Arial"/>
          <w:sz w:val="17"/>
          <w:szCs w:val="17"/>
          <w:color w:val="auto"/>
        </w:rPr>
        <w:t>The Adimab Collaboration Agreement granted us an exclusive option to obtain certain rights relating to a specified number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antibodies discovered or optimized by Adimab directed against the targets we selected. The option extended to ownership of patent rights specifically covering the sequences of such antibodies, and the right to obtain worldwide, royalty-bearing, sublicensable licenses under certain technology owned or developed by Adimab to research, develop, make, have made, use, sell, offer to sell, import and export such antibodies and products based on such antibodies for all human therapeutic, prophylactic and diagnostic uses. These licenses are exclusive, except as to Adimab background and platform technology and Adimab’s retained rights to continue using and licensing its own libraries, as to which the licenses are be non-exclusive. We have confirmed with Adimab in writing that key patents we have filed relating to the programs partnered with AbbVie claim inventions owned solely by us, and do not include any such background or platform technology of Adimab. All of our options under the Adimab Collaboration Agreement have either expired, are in the process of being exercised, or, with respect to multiple targets and hundreds of antibodies (including the target programs partnered with AbbVie), have already been exercised. Upon our exercise of the option with respect to a target, we are subject to an obligation to devote commercially reasonable efforts to commercialize products using the optioned rights to such target. The assigned and licensed patent rights we obtained from these option exercises are described in more detail above under the section titled “Business—Intellectual Property.”</w:t>
      </w:r>
    </w:p>
    <w:p>
      <w:pPr>
        <w:spacing w:after="0" w:line="181" w:lineRule="exact"/>
        <w:rPr>
          <w:sz w:val="20"/>
          <w:szCs w:val="20"/>
          <w:color w:val="auto"/>
        </w:rPr>
      </w:pPr>
    </w:p>
    <w:p>
      <w:pPr>
        <w:ind w:left="180" w:right="100" w:firstLine="465"/>
        <w:spacing w:after="0" w:line="256" w:lineRule="auto"/>
        <w:rPr>
          <w:sz w:val="20"/>
          <w:szCs w:val="20"/>
          <w:color w:val="auto"/>
        </w:rPr>
      </w:pPr>
      <w:r>
        <w:rPr>
          <w:rFonts w:ascii="Arial" w:cs="Arial" w:eastAsia="Arial" w:hAnsi="Arial"/>
          <w:sz w:val="19"/>
          <w:szCs w:val="19"/>
          <w:b w:val="1"/>
          <w:bCs w:val="1"/>
          <w:i w:val="1"/>
          <w:iCs w:val="1"/>
          <w:color w:val="auto"/>
        </w:rPr>
        <w:t xml:space="preserve">Financial terms. </w:t>
      </w:r>
      <w:r>
        <w:rPr>
          <w:rFonts w:ascii="Arial" w:cs="Arial" w:eastAsia="Arial" w:hAnsi="Arial"/>
          <w:sz w:val="19"/>
          <w:szCs w:val="19"/>
          <w:color w:val="auto"/>
        </w:rPr>
        <w:t>We fund Adimab’s research in connection with our collaboration, in accordance with the terms and limitations described in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Adimab Collaboration Agreement. We also have potential milestone payments per program for use of antibodies and low- to mid-single digit royalty payments for commercial sales of products incorporating such antibodies. However, if we enter into any transaction granting rights to the inventions or sell products created as a result of a collaboration with a third party, we have a choice to pay a share of the resulting revenue instead of royalties from such sales.</w:t>
      </w:r>
    </w:p>
    <w:p>
      <w:pPr>
        <w:spacing w:after="0" w:line="204" w:lineRule="exact"/>
        <w:rPr>
          <w:sz w:val="20"/>
          <w:szCs w:val="20"/>
          <w:color w:val="auto"/>
        </w:rPr>
      </w:pPr>
    </w:p>
    <w:p>
      <w:pPr>
        <w:ind w:left="180" w:right="60" w:firstLine="465"/>
        <w:spacing w:after="0" w:line="289" w:lineRule="auto"/>
        <w:rPr>
          <w:sz w:val="20"/>
          <w:szCs w:val="20"/>
          <w:color w:val="auto"/>
        </w:rPr>
      </w:pPr>
      <w:r>
        <w:rPr>
          <w:rFonts w:ascii="Arial" w:cs="Arial" w:eastAsia="Arial" w:hAnsi="Arial"/>
          <w:sz w:val="17"/>
          <w:szCs w:val="17"/>
          <w:b w:val="1"/>
          <w:bCs w:val="1"/>
          <w:i w:val="1"/>
          <w:iCs w:val="1"/>
          <w:color w:val="auto"/>
        </w:rPr>
        <w:t xml:space="preserve">Term and Termination. </w:t>
      </w:r>
      <w:r>
        <w:rPr>
          <w:rFonts w:ascii="Arial" w:cs="Arial" w:eastAsia="Arial" w:hAnsi="Arial"/>
          <w:sz w:val="17"/>
          <w:szCs w:val="17"/>
          <w:color w:val="auto"/>
        </w:rPr>
        <w:t>We are able to terminate the Adimab Collaboration Agreement, in its entirety or with respect to a products or antibodies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directed to particular targets, on three months prior written notice to Adimab. In addition, either party can terminate the Adimab Agreement in its entirety, or, subject to certain limitations, with respect to specific optioned rights, for material breaches that remain uncured after 90 days’ notice to the breaching party. In the case of a termination before expiration of the Adimab Agreement, we would have certain continuing payment obligations to Adimab, or would be required to adhere to certain restrictions as to the fruits of the collaboration. The Adimab Collaboration Agreement expires on the twelfth anniversary of the first commercial sale of the products created under the collaboration, on a product-by-product and country-by-country basis. The licenses we and Adimab granted to each other do not survive, subject to certain limitations.</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Manufacturing</w:t>
      </w:r>
    </w:p>
    <w:p>
      <w:pPr>
        <w:spacing w:after="0" w:line="130" w:lineRule="exact"/>
        <w:rPr>
          <w:sz w:val="20"/>
          <w:szCs w:val="20"/>
          <w:color w:val="auto"/>
        </w:rPr>
      </w:pPr>
    </w:p>
    <w:p>
      <w:pPr>
        <w:ind w:left="180" w:right="40" w:firstLine="465"/>
        <w:spacing w:after="0" w:line="255" w:lineRule="auto"/>
        <w:rPr>
          <w:sz w:val="20"/>
          <w:szCs w:val="20"/>
          <w:color w:val="auto"/>
        </w:rPr>
      </w:pPr>
      <w:r>
        <w:rPr>
          <w:rFonts w:ascii="Arial" w:cs="Arial" w:eastAsia="Arial" w:hAnsi="Arial"/>
          <w:sz w:val="19"/>
          <w:szCs w:val="19"/>
          <w:color w:val="auto"/>
        </w:rPr>
        <w:t>We must manufacture our product candidates for clinical trial use in compliance with cGMP regulations.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FDA or comparable foreign regulatory authority’s satisfaction before any product is approved for human clinical trial use. Our third-party manufacturers will also be subject to periodic inspections of their respective facilities</w:t>
      </w:r>
    </w:p>
    <w:p>
      <w:pPr>
        <w:spacing w:after="0" w:line="13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115</w:t>
      </w:r>
    </w:p>
    <w:p>
      <w:pPr>
        <w:sectPr>
          <w:pgSz w:w="12240" w:h="15840" w:orient="portrait"/>
          <w:cols w:equalWidth="0" w:num="1">
            <w:col w:w="11760"/>
          </w:cols>
          <w:pgMar w:left="120" w:top="336" w:right="360" w:bottom="1440" w:gutter="0" w:footer="0" w:header="0"/>
        </w:sectPr>
      </w:pPr>
    </w:p>
    <w:bookmarkStart w:id="123" w:name="page124"/>
    <w:bookmarkEnd w:id="12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spacing w:after="0" w:line="275" w:lineRule="auto"/>
        <w:rPr>
          <w:sz w:val="20"/>
          <w:szCs w:val="20"/>
          <w:color w:val="auto"/>
        </w:rPr>
      </w:pPr>
      <w:r>
        <w:rPr>
          <w:rFonts w:ascii="Arial" w:cs="Arial" w:eastAsia="Arial" w:hAnsi="Arial"/>
          <w:sz w:val="19"/>
          <w:szCs w:val="19"/>
          <w:color w:val="auto"/>
        </w:rPr>
        <w:t>for general cGMP compliance by the FDA and other foreign authorities. These inspections may include review of procedures and operations used in the testing and manufacture of our products to assess compliance with applicable regulations.</w:t>
      </w:r>
    </w:p>
    <w:p>
      <w:pPr>
        <w:spacing w:after="0" w:line="184" w:lineRule="exact"/>
        <w:rPr>
          <w:sz w:val="20"/>
          <w:szCs w:val="20"/>
          <w:color w:val="auto"/>
        </w:rPr>
      </w:pPr>
    </w:p>
    <w:p>
      <w:pPr>
        <w:ind w:left="180" w:right="40" w:firstLine="465"/>
        <w:spacing w:after="0" w:line="254" w:lineRule="auto"/>
        <w:rPr>
          <w:sz w:val="20"/>
          <w:szCs w:val="20"/>
          <w:color w:val="auto"/>
        </w:rPr>
      </w:pPr>
      <w:r>
        <w:rPr>
          <w:rFonts w:ascii="Arial" w:cs="Arial" w:eastAsia="Arial" w:hAnsi="Arial"/>
          <w:sz w:val="19"/>
          <w:szCs w:val="19"/>
          <w:color w:val="auto"/>
        </w:rPr>
        <w:t>We do not currently have the infrastructure or internal capability to manufacture our product candidates for use in clinical trials and commercialization. We rely, and expect to continue to rely, on third-party cGMP manufacturers for the production of our products for human clinical trials in compliance with FDA and other foreign authority regulations for such products. We rely on CDMOs to manufacture and supply our preclinical and clinical materials to be used during the preclinical and clinical development of our product candidates. As part of our broad manufacturing strategy to expedite the manufacturing of our product candidates and minimize manufacturing risk, we have established non-exclusive relationships with several CDMOs, including Lonza Biologics for the manufacturing of AL001 and AL002, Celonic AG for the manufacturing of AL003, and EMD Millipore Corporation for the manufacturing of AL101.</w:t>
      </w:r>
    </w:p>
    <w:p>
      <w:pPr>
        <w:spacing w:after="0" w:line="207"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We do not have long-term supply agreements and we purchase our required drug product on a development manufacturing services agreement or purchase order basis. We expect to continue to rely on third-party manufacturers for the commercial supply of any of our product candidates for which we obtain marketing approval. We have personnel with significant technical, manufacturing, analytical, quality, regulatory, including cGMP, and project management experience to oversee our third-party manufacturers and to manage manufacturing and quality data and information for regulatory compliance purposes.</w:t>
      </w:r>
    </w:p>
    <w:p>
      <w:pPr>
        <w:spacing w:after="0" w:line="204" w:lineRule="exact"/>
        <w:rPr>
          <w:sz w:val="20"/>
          <w:szCs w:val="20"/>
          <w:color w:val="auto"/>
        </w:rPr>
      </w:pPr>
    </w:p>
    <w:p>
      <w:pPr>
        <w:ind w:left="180" w:firstLine="465"/>
        <w:spacing w:after="0" w:line="298" w:lineRule="auto"/>
        <w:rPr>
          <w:sz w:val="20"/>
          <w:szCs w:val="20"/>
          <w:color w:val="auto"/>
        </w:rPr>
      </w:pPr>
      <w:r>
        <w:rPr>
          <w:rFonts w:ascii="Arial" w:cs="Arial" w:eastAsia="Arial" w:hAnsi="Arial"/>
          <w:sz w:val="17"/>
          <w:szCs w:val="17"/>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Contract manufacturers often encounter difficulties involving production yields, quality control and quality assurance, as well as shortages of qualified personnel. Any of these actions or events could have a material impact on the availability of our products.</w:t>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Commercialization Plan</w:t>
      </w:r>
    </w:p>
    <w:p>
      <w:pPr>
        <w:spacing w:after="0" w:line="130"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color w:val="auto"/>
        </w:rPr>
        <w:t>We do not currently have any approved drugs and we do not expect to have any approved drugs in the near term. Therefore, we have no sales, marketing or commercial product distribution capabilities and have no experience as a company in marketing drugs. When, and if any of our product candidates are approved for commercialization, we intend to develop a commercialization infrastructure for those products in the United States, Europe, Asia, and potentially in certain other key markets. We may also rely on partnerships, such as our AbbVie collaboration, to provide commercialization infrastructure, including sales and marketing and commercial distribution.</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Intellectual Property</w:t>
      </w:r>
    </w:p>
    <w:p>
      <w:pPr>
        <w:spacing w:after="0" w:line="130" w:lineRule="exact"/>
        <w:rPr>
          <w:sz w:val="20"/>
          <w:szCs w:val="20"/>
          <w:color w:val="auto"/>
        </w:rPr>
      </w:pPr>
    </w:p>
    <w:p>
      <w:pPr>
        <w:ind w:left="180" w:right="20" w:firstLine="465"/>
        <w:spacing w:after="0" w:line="288" w:lineRule="auto"/>
        <w:rPr>
          <w:sz w:val="20"/>
          <w:szCs w:val="20"/>
          <w:color w:val="auto"/>
        </w:rPr>
      </w:pPr>
      <w:r>
        <w:rPr>
          <w:rFonts w:ascii="Arial" w:cs="Arial" w:eastAsia="Arial" w:hAnsi="Arial"/>
          <w:sz w:val="17"/>
          <w:szCs w:val="17"/>
          <w:color w:val="auto"/>
        </w:rPr>
        <w:t>Our success depends in part on our ability to obtain and maintain proprietary protection for our product candidates, technology and know-how, to operate without infringing the proprietary rights of others and to prevent others from infringing our proprietary rights. Our strategy is to seek to protect our proprietary position by, among other methods, pursuing and obtaining patent protection in the United States and in jurisdictions outside of the United States related to our proprietary technology, inventions, improvements and product candidates that are important to the development and implementation of our business. Our patent portfolio is intended to cover our product candidates and related components, their methods of use and processes for their manufacture, our proprietary reagents and assays and any other inventions that are commercially important to our business. We also rely on trademarks as well as trade secret protection of our confidential information and know-how relating to our proprietary technology, platforms and product candidates. We believe that we have substantial know-how and trade secrets relating to our technology and product candidates.</w:t>
      </w:r>
    </w:p>
    <w:p>
      <w:pPr>
        <w:spacing w:after="0" w:line="177" w:lineRule="exact"/>
        <w:rPr>
          <w:sz w:val="20"/>
          <w:szCs w:val="20"/>
          <w:color w:val="auto"/>
        </w:rPr>
      </w:pPr>
    </w:p>
    <w:p>
      <w:pPr>
        <w:ind w:left="180" w:right="20" w:firstLine="465"/>
        <w:spacing w:after="0" w:line="275" w:lineRule="auto"/>
        <w:rPr>
          <w:sz w:val="20"/>
          <w:szCs w:val="20"/>
          <w:color w:val="auto"/>
        </w:rPr>
      </w:pPr>
      <w:r>
        <w:rPr>
          <w:rFonts w:ascii="Arial" w:cs="Arial" w:eastAsia="Arial" w:hAnsi="Arial"/>
          <w:sz w:val="19"/>
          <w:szCs w:val="19"/>
          <w:color w:val="auto"/>
        </w:rPr>
        <w:t>Our patent portfolio as of contains over 25 families, which include one issued patent and over 100 pending patent applications, directed to over 15 different targets and/or technologies, that are solely owned or exclusively</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116</w:t>
      </w:r>
    </w:p>
    <w:p>
      <w:pPr>
        <w:sectPr>
          <w:pgSz w:w="12240" w:h="15840" w:orient="portrait"/>
          <w:cols w:equalWidth="0" w:num="1">
            <w:col w:w="11780"/>
          </w:cols>
          <w:pgMar w:left="120" w:top="336" w:right="340" w:bottom="1440" w:gutter="0" w:footer="0" w:header="0"/>
        </w:sectPr>
      </w:pPr>
    </w:p>
    <w:bookmarkStart w:id="124" w:name="page125"/>
    <w:bookmarkEnd w:id="12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91" w:lineRule="auto"/>
        <w:rPr>
          <w:sz w:val="20"/>
          <w:szCs w:val="20"/>
          <w:color w:val="auto"/>
        </w:rPr>
      </w:pPr>
      <w:r>
        <w:rPr>
          <w:rFonts w:ascii="Arial" w:cs="Arial" w:eastAsia="Arial" w:hAnsi="Arial"/>
          <w:sz w:val="17"/>
          <w:szCs w:val="17"/>
          <w:color w:val="auto"/>
        </w:rPr>
        <w:t>licensed by us. For our product candidates, we generally pursue multilayered patent protection covering the composition of matter based on binding epitopes of the product candidates on the target protein, functional characteristics of the product candidates, degenerative sequence of the product candidates, and/or specific sequence of the product candidates. In addition to composition of matter coverage, we also generally pursue claims directed to methods of making, nucleic acids, formulations, and methods of use of the product candidates. The method of use claims further include claims directed to patient selection criteria, biomarkers, disease subgroups, pharmacodynamic and clinical end-points, and dosage regimes. As further described below, we intend to strengthen the patent protection of our product candidates and technologies through additional patent application filings.</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PGRN Programs</w:t>
      </w:r>
    </w:p>
    <w:p>
      <w:pPr>
        <w:spacing w:after="0" w:line="124" w:lineRule="exact"/>
        <w:rPr>
          <w:sz w:val="20"/>
          <w:szCs w:val="20"/>
          <w:color w:val="auto"/>
        </w:rPr>
      </w:pPr>
    </w:p>
    <w:p>
      <w:pPr>
        <w:ind w:left="180" w:right="140" w:firstLine="465"/>
        <w:spacing w:after="0" w:line="255" w:lineRule="auto"/>
        <w:rPr>
          <w:sz w:val="20"/>
          <w:szCs w:val="20"/>
          <w:color w:val="auto"/>
        </w:rPr>
      </w:pPr>
      <w:r>
        <w:rPr>
          <w:rFonts w:ascii="Arial" w:cs="Arial" w:eastAsia="Arial" w:hAnsi="Arial"/>
          <w:sz w:val="19"/>
          <w:szCs w:val="19"/>
          <w:color w:val="auto"/>
        </w:rPr>
        <w:t>We own three patent families directed to our PGRN programs, AL001 and AL101, which include one issued U.S. patent, four pending U.S. non-provisional patent applications, one pending U.S. provisional patent application, and multiple pending foreign patent applications covering the compositions and uses of our PGRN program product candidates and one U.S. non-provisional patent application to methods of screening. Two patent families are expected to expire in 2036 and the third patent family, assuming that the necessary non-provisional patent applications are timely filed and all other applicable requirements are satisfied for the U.S. provisional patent application, in 2039, in both cases excluding any patent term adjustments and any patent term extensions.</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TREM2 Program</w:t>
      </w:r>
    </w:p>
    <w:p>
      <w:pPr>
        <w:spacing w:after="0" w:line="124" w:lineRule="exact"/>
        <w:rPr>
          <w:sz w:val="20"/>
          <w:szCs w:val="20"/>
          <w:color w:val="auto"/>
        </w:rPr>
      </w:pPr>
    </w:p>
    <w:p>
      <w:pPr>
        <w:jc w:val="both"/>
        <w:ind w:left="180" w:right="40" w:firstLine="465"/>
        <w:spacing w:after="0" w:line="308" w:lineRule="auto"/>
        <w:rPr>
          <w:sz w:val="20"/>
          <w:szCs w:val="20"/>
          <w:color w:val="auto"/>
        </w:rPr>
      </w:pPr>
      <w:r>
        <w:rPr>
          <w:rFonts w:ascii="Arial" w:cs="Arial" w:eastAsia="Arial" w:hAnsi="Arial"/>
          <w:sz w:val="17"/>
          <w:szCs w:val="17"/>
          <w:color w:val="auto"/>
        </w:rPr>
        <w:t>We own three patent families directed to the TREM2 program, which include four pending U.S. non-provisional patent applications, and multiple pending foreign patent applications all covering the compositions and uses of our TREM2 program product candidates. The patent families are expected to expire in 2035, 2036, and 2038, respectively, in all cases excluding any patent term adjustments and any patent term extensions.</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SIGLEC 3 Program</w:t>
      </w:r>
    </w:p>
    <w:p>
      <w:pPr>
        <w:spacing w:after="0" w:line="124" w:lineRule="exact"/>
        <w:rPr>
          <w:sz w:val="20"/>
          <w:szCs w:val="20"/>
          <w:color w:val="auto"/>
        </w:rPr>
      </w:pPr>
    </w:p>
    <w:p>
      <w:pPr>
        <w:ind w:left="180" w:right="120" w:firstLine="465"/>
        <w:spacing w:after="0" w:line="274" w:lineRule="auto"/>
        <w:rPr>
          <w:sz w:val="20"/>
          <w:szCs w:val="20"/>
          <w:color w:val="auto"/>
        </w:rPr>
      </w:pPr>
      <w:r>
        <w:rPr>
          <w:rFonts w:ascii="Arial" w:cs="Arial" w:eastAsia="Arial" w:hAnsi="Arial"/>
          <w:sz w:val="18"/>
          <w:szCs w:val="18"/>
          <w:color w:val="auto"/>
        </w:rPr>
        <w:t>We own four patent families directed to the SIGLEC 3 program, which include three pending U.S. non-provisional patent applications, one pending U.S. provisional patent application, and multiple pending foreign patent applications covering the compositions and uses of our SIGLEC 3 program product candidates. Two patent families are expected to expire in 2036, the third patent family in 2038, and the fourth patent family, assuming that the necessary non-provisional patent applications are timely filed and all other applicable requirements are satisfied for the U.S. provisional patent application, in 2039, in all cases excluding any patent term adjustments and any patent term extensions.</w:t>
      </w:r>
    </w:p>
    <w:p>
      <w:pPr>
        <w:spacing w:after="0" w:line="188" w:lineRule="exact"/>
        <w:rPr>
          <w:sz w:val="20"/>
          <w:szCs w:val="20"/>
          <w:color w:val="auto"/>
        </w:rPr>
      </w:pPr>
    </w:p>
    <w:p>
      <w:pPr>
        <w:ind w:left="180" w:right="20" w:firstLine="465"/>
        <w:spacing w:after="0" w:line="269" w:lineRule="auto"/>
        <w:rPr>
          <w:sz w:val="20"/>
          <w:szCs w:val="20"/>
          <w:color w:val="auto"/>
        </w:rPr>
      </w:pPr>
      <w:r>
        <w:rPr>
          <w:rFonts w:ascii="Arial" w:cs="Arial" w:eastAsia="Arial" w:hAnsi="Arial"/>
          <w:sz w:val="18"/>
          <w:szCs w:val="18"/>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U.S. Patent and Trademark Office in examining and granting a patent, or may be shortened if a patent is terminally disclaimed over a commonly owned patent or a patent naming a common inventor and having an earlier expiration date. The Hatch-Waxman Act permits a patent term extension of up to five years beyond the expiration date of a U.S. patent as partial compensation for the length of time the drug is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w:t>
      </w:r>
    </w:p>
    <w:p>
      <w:pPr>
        <w:spacing w:after="0" w:line="194" w:lineRule="exact"/>
        <w:rPr>
          <w:sz w:val="20"/>
          <w:szCs w:val="20"/>
          <w:color w:val="auto"/>
        </w:rPr>
      </w:pPr>
    </w:p>
    <w:p>
      <w:pPr>
        <w:ind w:left="180" w:right="180" w:firstLine="465"/>
        <w:spacing w:after="0" w:line="308" w:lineRule="auto"/>
        <w:rPr>
          <w:sz w:val="20"/>
          <w:szCs w:val="20"/>
          <w:color w:val="auto"/>
        </w:rPr>
      </w:pPr>
      <w:r>
        <w:rPr>
          <w:rFonts w:ascii="Arial" w:cs="Arial" w:eastAsia="Arial" w:hAnsi="Arial"/>
          <w:sz w:val="17"/>
          <w:szCs w:val="17"/>
          <w:color w:val="auto"/>
        </w:rPr>
        <w:t>Similar provisions are available in the European Union and certain other foreign jurisdictions to extend the term of a patent that covers an approved drug. In the future, if and when our product candidates receive approval by the FDA or foreign regulatory authorities, we expect to apply for patent term extensions on issued patents covering those products, depending upon the length of the clinical trials for each drug and other factors.</w:t>
      </w:r>
    </w:p>
    <w:p>
      <w:pPr>
        <w:spacing w:after="0" w:line="8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117</w:t>
      </w:r>
    </w:p>
    <w:p>
      <w:pPr>
        <w:sectPr>
          <w:pgSz w:w="12240" w:h="15840" w:orient="portrait"/>
          <w:cols w:equalWidth="0" w:num="1">
            <w:col w:w="11800"/>
          </w:cols>
          <w:pgMar w:left="120" w:top="336" w:right="320" w:bottom="1440" w:gutter="0" w:footer="0" w:header="0"/>
        </w:sectPr>
      </w:pPr>
    </w:p>
    <w:bookmarkStart w:id="125" w:name="page126"/>
    <w:bookmarkEnd w:id="12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Expiration dates referred to above are without regard to potential patent term extension or other market exclusivity that may be available to us.</w:t>
      </w:r>
    </w:p>
    <w:p>
      <w:pPr>
        <w:spacing w:after="0" w:line="249" w:lineRule="exact"/>
        <w:rPr>
          <w:sz w:val="20"/>
          <w:szCs w:val="20"/>
          <w:color w:val="auto"/>
        </w:rPr>
      </w:pPr>
    </w:p>
    <w:p>
      <w:pPr>
        <w:ind w:left="180" w:right="100" w:firstLine="465"/>
        <w:spacing w:after="0" w:line="259" w:lineRule="auto"/>
        <w:rPr>
          <w:sz w:val="20"/>
          <w:szCs w:val="20"/>
          <w:color w:val="auto"/>
        </w:rPr>
      </w:pPr>
      <w:r>
        <w:rPr>
          <w:rFonts w:ascii="Arial" w:cs="Arial" w:eastAsia="Arial" w:hAnsi="Arial"/>
          <w:sz w:val="19"/>
          <w:szCs w:val="19"/>
          <w:color w:val="auto"/>
        </w:rPr>
        <w:t>We also rely, in some circumstances, on trade secrets to protect our technology. However, trade secrets can be difficult to protect.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30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Government Regulation</w:t>
      </w:r>
    </w:p>
    <w:p>
      <w:pPr>
        <w:spacing w:after="0" w:line="130" w:lineRule="exact"/>
        <w:rPr>
          <w:sz w:val="20"/>
          <w:szCs w:val="20"/>
          <w:color w:val="auto"/>
        </w:rPr>
      </w:pPr>
    </w:p>
    <w:p>
      <w:pPr>
        <w:ind w:left="180" w:right="200" w:firstLine="465"/>
        <w:spacing w:after="0" w:line="274"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drug and biological products. Generally, before a new drug or biologic can be marketed, considerable data demonstrating its quality, safety and efficacy must be obtained, organized into a format specific for each regulatory authority, submitted for review and approved by the regulatory authority.</w:t>
      </w:r>
    </w:p>
    <w:p>
      <w:pPr>
        <w:spacing w:after="0" w:line="30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U.S. Drug Development</w:t>
      </w:r>
    </w:p>
    <w:p>
      <w:pPr>
        <w:spacing w:after="0" w:line="124" w:lineRule="exact"/>
        <w:rPr>
          <w:sz w:val="20"/>
          <w:szCs w:val="20"/>
          <w:color w:val="auto"/>
        </w:rPr>
      </w:pPr>
    </w:p>
    <w:p>
      <w:pPr>
        <w:ind w:left="180" w:firstLine="465"/>
        <w:spacing w:after="0" w:line="288" w:lineRule="auto"/>
        <w:rPr>
          <w:sz w:val="20"/>
          <w:szCs w:val="20"/>
          <w:color w:val="auto"/>
        </w:rPr>
      </w:pPr>
      <w:r>
        <w:rPr>
          <w:rFonts w:ascii="Arial" w:cs="Arial" w:eastAsia="Arial" w:hAnsi="Arial"/>
          <w:sz w:val="17"/>
          <w:szCs w:val="17"/>
          <w:color w:val="auto"/>
        </w:rPr>
        <w:t>In the United States, the FDA regulates drugs under the Food, Drug, and Cosmetic Act (FDCA) and biologics under the FDCA and the Public Health Service Act (PHSA). Both drugs and biologics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Any future product candidates must be approved by the FDA through either a BLA or NDA process before they may be legally marketed in the</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United States. The process generally involves the following:</w:t>
      </w:r>
    </w:p>
    <w:p>
      <w:pPr>
        <w:spacing w:after="0" w:line="125" w:lineRule="exact"/>
        <w:rPr>
          <w:sz w:val="20"/>
          <w:szCs w:val="20"/>
          <w:color w:val="auto"/>
        </w:rPr>
      </w:pPr>
    </w:p>
    <w:p>
      <w:pPr>
        <w:ind w:left="1100" w:hanging="350"/>
        <w:spacing w:after="0"/>
        <w:tabs>
          <w:tab w:leader="none" w:pos="11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Completion of extensive preclinical studies in accordance with applicable regulations, including studies conducted in accordance with GLP;</w:t>
      </w:r>
    </w:p>
    <w:p>
      <w:pPr>
        <w:spacing w:after="0" w:line="161" w:lineRule="exact"/>
        <w:rPr>
          <w:rFonts w:ascii="Arial" w:cs="Arial" w:eastAsia="Arial" w:hAnsi="Arial"/>
          <w:sz w:val="17"/>
          <w:szCs w:val="17"/>
          <w:color w:val="auto"/>
        </w:rPr>
      </w:pPr>
    </w:p>
    <w:p>
      <w:pPr>
        <w:ind w:left="1100" w:hanging="350"/>
        <w:spacing w:after="0"/>
        <w:tabs>
          <w:tab w:leader="none" w:pos="11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Submission to the FDA of an IND, which must become effective before human clinical trials may begin;</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(IRB), or ethics committee at each clinical trial site before each trial may be initiated;</w:t>
      </w:r>
    </w:p>
    <w:p>
      <w:pPr>
        <w:spacing w:after="0" w:line="161" w:lineRule="exact"/>
        <w:rPr>
          <w:rFonts w:ascii="Arial" w:cs="Arial" w:eastAsia="Arial" w:hAnsi="Arial"/>
          <w:sz w:val="17"/>
          <w:szCs w:val="17"/>
          <w:color w:val="auto"/>
        </w:rPr>
      </w:pPr>
    </w:p>
    <w:p>
      <w:pPr>
        <w:jc w:val="both"/>
        <w:ind w:left="1100" w:right="320" w:hanging="350"/>
        <w:spacing w:after="0" w:line="263" w:lineRule="auto"/>
        <w:tabs>
          <w:tab w:leader="none" w:pos="11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Performance of adequate and well-controlled human clinical trials in accordance with applicable IND regulations, good clinical practice (GCP), requirements and other clinical trial-related regulations to establish the safety and efficacy of the investigational product for each proposed indication;</w:t>
      </w:r>
    </w:p>
    <w:p>
      <w:pPr>
        <w:spacing w:after="0" w:line="94" w:lineRule="exact"/>
        <w:rPr>
          <w:rFonts w:ascii="Arial" w:cs="Arial" w:eastAsia="Arial" w:hAnsi="Arial"/>
          <w:sz w:val="19"/>
          <w:szCs w:val="19"/>
          <w:color w:val="auto"/>
        </w:rPr>
      </w:pPr>
    </w:p>
    <w:p>
      <w:pPr>
        <w:ind w:left="1100" w:hanging="350"/>
        <w:spacing w:after="0"/>
        <w:tabs>
          <w:tab w:leader="none" w:pos="11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Submission to the FDA of an NDA or BLA;</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 determination by the FDA within 60 days of its receipt of an NDA or BLA to accept the filing for review;</w:t>
      </w:r>
    </w:p>
    <w:p>
      <w:pPr>
        <w:spacing w:after="0" w:line="138" w:lineRule="exact"/>
        <w:rPr>
          <w:rFonts w:ascii="Arial" w:cs="Arial" w:eastAsia="Arial" w:hAnsi="Arial"/>
          <w:sz w:val="19"/>
          <w:szCs w:val="19"/>
          <w:color w:val="auto"/>
        </w:rPr>
      </w:pPr>
    </w:p>
    <w:p>
      <w:pPr>
        <w:ind w:left="1100" w:right="60" w:hanging="350"/>
        <w:spacing w:after="0" w:line="263" w:lineRule="auto"/>
        <w:tabs>
          <w:tab w:leader="none" w:pos="11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Satisfactory completion of a FDA pre-approval inspection of the manufacturing facility or facilities where the drug or biologic will be produced to assess compliance with cGMP, requirements to assure that the facilities, methods and controls are adequate to preserve the drug or biologic’s identity, strength, quality and purity;</w:t>
      </w:r>
    </w:p>
    <w:p>
      <w:pPr>
        <w:spacing w:after="0" w:line="94" w:lineRule="exact"/>
        <w:rPr>
          <w:rFonts w:ascii="Arial" w:cs="Arial" w:eastAsia="Arial" w:hAnsi="Arial"/>
          <w:sz w:val="19"/>
          <w:szCs w:val="19"/>
          <w:color w:val="auto"/>
        </w:rPr>
      </w:pPr>
    </w:p>
    <w:p>
      <w:pPr>
        <w:ind w:left="1100" w:hanging="350"/>
        <w:spacing w:after="0"/>
        <w:tabs>
          <w:tab w:leader="none" w:pos="11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Potential FDA audit of the preclinical study and/or clinical trial sites that generated the data in support of the NDA or BLA;</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118</w:t>
      </w:r>
    </w:p>
    <w:p>
      <w:pPr>
        <w:sectPr>
          <w:pgSz w:w="12240" w:h="15840" w:orient="portrait"/>
          <w:cols w:equalWidth="0" w:num="1">
            <w:col w:w="11800"/>
          </w:cols>
          <w:pgMar w:left="120" w:top="336" w:right="320" w:bottom="1440" w:gutter="0" w:footer="0" w:header="0"/>
        </w:sectPr>
      </w:pPr>
    </w:p>
    <w:bookmarkStart w:id="126" w:name="page127"/>
    <w:bookmarkEnd w:id="12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800" w:hanging="350"/>
        <w:spacing w:after="0" w:line="275" w:lineRule="auto"/>
        <w:tabs>
          <w:tab w:leader="none" w:pos="11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FDA review and approval of the NDA or BLA, including consideration of the views of any FDA advisory committee, prior to any commercial marketing or sale of the drug or biologic in the United States; and</w:t>
      </w:r>
    </w:p>
    <w:p>
      <w:pPr>
        <w:spacing w:after="0" w:line="84" w:lineRule="exact"/>
        <w:rPr>
          <w:rFonts w:ascii="Arial" w:cs="Arial" w:eastAsia="Arial" w:hAnsi="Arial"/>
          <w:sz w:val="19"/>
          <w:szCs w:val="19"/>
          <w:color w:val="auto"/>
        </w:rPr>
      </w:pPr>
    </w:p>
    <w:p>
      <w:pPr>
        <w:ind w:left="1100" w:right="560" w:hanging="350"/>
        <w:spacing w:after="0" w:line="275" w:lineRule="auto"/>
        <w:tabs>
          <w:tab w:leader="none" w:pos="11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Compliance with any post-approval requirements, including the potential requirement to implement a Risk Evaluation and Mitigation Strategy (REMS), and the potential requirement to conduct post-approval studies.</w:t>
      </w:r>
    </w:p>
    <w:p>
      <w:pPr>
        <w:spacing w:after="0" w:line="184" w:lineRule="exact"/>
        <w:rPr>
          <w:sz w:val="20"/>
          <w:szCs w:val="20"/>
          <w:color w:val="auto"/>
        </w:rPr>
      </w:pPr>
    </w:p>
    <w:p>
      <w:pPr>
        <w:ind w:left="180" w:right="120" w:firstLine="465"/>
        <w:spacing w:after="0" w:line="263" w:lineRule="auto"/>
        <w:rPr>
          <w:sz w:val="20"/>
          <w:szCs w:val="20"/>
          <w:color w:val="auto"/>
        </w:rPr>
      </w:pPr>
      <w:r>
        <w:rPr>
          <w:rFonts w:ascii="Arial" w:cs="Arial" w:eastAsia="Arial" w:hAnsi="Arial"/>
          <w:sz w:val="19"/>
          <w:szCs w:val="19"/>
          <w:color w:val="auto"/>
        </w:rPr>
        <w:t>The data required to support an NDA or BLA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Preclinical Studies and IND</w:t>
      </w:r>
    </w:p>
    <w:p>
      <w:pPr>
        <w:spacing w:after="0" w:line="124" w:lineRule="exact"/>
        <w:rPr>
          <w:sz w:val="20"/>
          <w:szCs w:val="20"/>
          <w:color w:val="auto"/>
        </w:rPr>
      </w:pPr>
    </w:p>
    <w:p>
      <w:pPr>
        <w:ind w:left="180" w:right="180" w:firstLine="465"/>
        <w:spacing w:after="0" w:line="256" w:lineRule="auto"/>
        <w:rPr>
          <w:sz w:val="20"/>
          <w:szCs w:val="20"/>
          <w:color w:val="auto"/>
        </w:rPr>
      </w:pPr>
      <w:r>
        <w:rPr>
          <w:rFonts w:ascii="Arial" w:cs="Arial" w:eastAsia="Arial" w:hAnsi="Arial"/>
          <w:sz w:val="19"/>
          <w:szCs w:val="19"/>
          <w:color w:val="auto"/>
        </w:rPr>
        <w:t>The preclinical developmental stage generally involves laboratory evaluations of drug chemistry, formulation and stability, as well as studies to evaluate toxicity in animals, which support subsequent clinical testing.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w:t>
      </w:r>
    </w:p>
    <w:p>
      <w:pPr>
        <w:spacing w:after="0" w:line="204" w:lineRule="exact"/>
        <w:rPr>
          <w:sz w:val="20"/>
          <w:szCs w:val="20"/>
          <w:color w:val="auto"/>
        </w:rPr>
      </w:pPr>
    </w:p>
    <w:p>
      <w:pPr>
        <w:ind w:left="180" w:firstLine="465"/>
        <w:spacing w:after="0" w:line="253" w:lineRule="auto"/>
        <w:rPr>
          <w:sz w:val="20"/>
          <w:szCs w:val="20"/>
          <w:color w:val="auto"/>
        </w:rPr>
      </w:pPr>
      <w:r>
        <w:rPr>
          <w:rFonts w:ascii="Arial" w:cs="Arial" w:eastAsia="Arial" w:hAnsi="Arial"/>
          <w:sz w:val="19"/>
          <w:szCs w:val="19"/>
          <w:color w:val="auto"/>
        </w:rPr>
        <w:t xml:space="preserve">Preclinical studies include laboratory evaluation of product chemistry and formulation, as well as </w:t>
      </w:r>
      <w:r>
        <w:rPr>
          <w:rFonts w:ascii="Arial" w:cs="Arial" w:eastAsia="Arial" w:hAnsi="Arial"/>
          <w:sz w:val="19"/>
          <w:szCs w:val="19"/>
          <w:i w:val="1"/>
          <w:iCs w:val="1"/>
          <w:color w:val="auto"/>
        </w:rPr>
        <w:t>in vitro</w:t>
      </w:r>
      <w:r>
        <w:rPr>
          <w:rFonts w:ascii="Arial" w:cs="Arial" w:eastAsia="Arial" w:hAnsi="Arial"/>
          <w:sz w:val="19"/>
          <w:szCs w:val="19"/>
          <w:color w:val="auto"/>
        </w:rPr>
        <w:t xml:space="preserve"> and animal studies to assess the potential for adverse events and in some cases to establish a rationale for therapeutic use.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Clinical Trials</w:t>
      </w:r>
    </w:p>
    <w:p>
      <w:pPr>
        <w:spacing w:after="0" w:line="124" w:lineRule="exact"/>
        <w:rPr>
          <w:sz w:val="20"/>
          <w:szCs w:val="20"/>
          <w:color w:val="auto"/>
        </w:rPr>
      </w:pPr>
    </w:p>
    <w:p>
      <w:pPr>
        <w:ind w:left="180" w:right="20" w:firstLine="465"/>
        <w:spacing w:after="0" w:line="269" w:lineRule="auto"/>
        <w:rPr>
          <w:sz w:val="20"/>
          <w:szCs w:val="20"/>
          <w:color w:val="auto"/>
        </w:rPr>
      </w:pPr>
      <w:r>
        <w:rPr>
          <w:rFonts w:ascii="Arial" w:cs="Arial" w:eastAsia="Arial" w:hAnsi="Arial"/>
          <w:sz w:val="18"/>
          <w:szCs w:val="18"/>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190" w:lineRule="exact"/>
        <w:rPr>
          <w:sz w:val="20"/>
          <w:szCs w:val="20"/>
          <w:color w:val="auto"/>
        </w:rPr>
      </w:pPr>
    </w:p>
    <w:p>
      <w:pPr>
        <w:ind w:left="180" w:right="80" w:firstLine="465"/>
        <w:spacing w:after="0" w:line="298"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or BLA. The FDA will accept a well-designed and well-conducted foreign clinical trial not conducted under an IND if the trial was conducted in accordance with GCP requirements and the FDA is able to validate the data through an onsite inspection if deemed necessary.</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119</w:t>
      </w:r>
    </w:p>
    <w:p>
      <w:pPr>
        <w:sectPr>
          <w:pgSz w:w="12240" w:h="15840" w:orient="portrait"/>
          <w:cols w:equalWidth="0" w:num="1">
            <w:col w:w="11800"/>
          </w:cols>
          <w:pgMar w:left="120" w:top="337" w:right="320" w:bottom="1440" w:gutter="0" w:footer="0" w:header="0"/>
        </w:sectPr>
      </w:pPr>
    </w:p>
    <w:bookmarkStart w:id="127" w:name="page128"/>
    <w:bookmarkEnd w:id="12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Clinical trials in the United States generally are conducted in three sequential phases, known as Phase 1, Phase 2 and Phase 3, and may overlap.</w:t>
      </w:r>
    </w:p>
    <w:p>
      <w:pPr>
        <w:spacing w:after="0" w:line="161" w:lineRule="exact"/>
        <w:rPr>
          <w:sz w:val="20"/>
          <w:szCs w:val="20"/>
          <w:color w:val="auto"/>
        </w:rPr>
      </w:pPr>
    </w:p>
    <w:p>
      <w:pPr>
        <w:ind w:left="1100" w:right="440" w:hanging="350"/>
        <w:spacing w:after="0" w:line="263" w:lineRule="auto"/>
        <w:tabs>
          <w:tab w:leader="none" w:pos="11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w:t>
      </w:r>
    </w:p>
    <w:p>
      <w:pPr>
        <w:spacing w:after="0" w:line="94" w:lineRule="exact"/>
        <w:rPr>
          <w:rFonts w:ascii="Arial" w:cs="Arial" w:eastAsia="Arial" w:hAnsi="Arial"/>
          <w:sz w:val="19"/>
          <w:szCs w:val="19"/>
          <w:color w:val="auto"/>
        </w:rPr>
      </w:pPr>
    </w:p>
    <w:p>
      <w:pPr>
        <w:ind w:left="1100" w:right="40" w:hanging="350"/>
        <w:spacing w:after="0" w:line="263" w:lineRule="auto"/>
        <w:tabs>
          <w:tab w:leader="none" w:pos="11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94" w:lineRule="exact"/>
        <w:rPr>
          <w:rFonts w:ascii="Arial" w:cs="Arial" w:eastAsia="Arial" w:hAnsi="Arial"/>
          <w:sz w:val="19"/>
          <w:szCs w:val="19"/>
          <w:color w:val="auto"/>
        </w:rPr>
      </w:pPr>
    </w:p>
    <w:p>
      <w:pPr>
        <w:ind w:left="1100" w:right="140" w:hanging="350"/>
        <w:spacing w:after="0" w:line="277" w:lineRule="auto"/>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185" w:lineRule="exact"/>
        <w:rPr>
          <w:sz w:val="20"/>
          <w:szCs w:val="20"/>
          <w:color w:val="auto"/>
        </w:rPr>
      </w:pPr>
    </w:p>
    <w:p>
      <w:pPr>
        <w:ind w:left="180" w:right="300" w:firstLine="465"/>
        <w:spacing w:after="0" w:line="263" w:lineRule="auto"/>
        <w:rPr>
          <w:sz w:val="20"/>
          <w:szCs w:val="20"/>
          <w:color w:val="auto"/>
        </w:rPr>
      </w:pPr>
      <w:r>
        <w:rPr>
          <w:rFonts w:ascii="Arial" w:cs="Arial" w:eastAsia="Arial" w:hAnsi="Arial"/>
          <w:sz w:val="19"/>
          <w:szCs w:val="19"/>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 or BLA.</w:t>
      </w:r>
    </w:p>
    <w:p>
      <w:pPr>
        <w:spacing w:after="0" w:line="194" w:lineRule="exact"/>
        <w:rPr>
          <w:sz w:val="20"/>
          <w:szCs w:val="20"/>
          <w:color w:val="auto"/>
        </w:rPr>
      </w:pPr>
    </w:p>
    <w:p>
      <w:pPr>
        <w:ind w:left="180" w:right="60" w:firstLine="465"/>
        <w:spacing w:after="0" w:line="298" w:lineRule="auto"/>
        <w:rPr>
          <w:sz w:val="20"/>
          <w:szCs w:val="20"/>
          <w:color w:val="auto"/>
        </w:rPr>
      </w:pPr>
      <w:r>
        <w:rPr>
          <w:rFonts w:ascii="Arial" w:cs="Arial" w:eastAsia="Arial" w:hAnsi="Arial"/>
          <w:sz w:val="17"/>
          <w:szCs w:val="17"/>
          <w:color w:val="auto"/>
        </w:rPr>
        <w:t xml:space="preserve">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drug or biologic, findings from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subjects and any clinically important increase in the rate of a serious suspected adverse reaction over that listed in the protocol or investigator brochure.</w:t>
      </w:r>
    </w:p>
    <w:p>
      <w:pPr>
        <w:spacing w:after="0" w:line="170" w:lineRule="exact"/>
        <w:rPr>
          <w:sz w:val="20"/>
          <w:szCs w:val="20"/>
          <w:color w:val="auto"/>
        </w:rPr>
      </w:pPr>
    </w:p>
    <w:p>
      <w:pPr>
        <w:ind w:left="180" w:firstLine="465"/>
        <w:spacing w:after="0" w:line="268" w:lineRule="auto"/>
        <w:rPr>
          <w:sz w:val="20"/>
          <w:szCs w:val="20"/>
          <w:color w:val="auto"/>
        </w:rPr>
      </w:pPr>
      <w:r>
        <w:rPr>
          <w:rFonts w:ascii="Arial" w:cs="Arial" w:eastAsia="Arial" w:hAnsi="Arial"/>
          <w:sz w:val="18"/>
          <w:szCs w:val="18"/>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 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our product candidates do not undergo unacceptable deterioration over their shelf life.</w:t>
      </w:r>
    </w:p>
    <w:p>
      <w:pPr>
        <w:spacing w:after="0" w:line="307"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NDA/BLA Review Process</w:t>
      </w:r>
    </w:p>
    <w:p>
      <w:pPr>
        <w:spacing w:after="0" w:line="124" w:lineRule="exact"/>
        <w:rPr>
          <w:sz w:val="20"/>
          <w:szCs w:val="20"/>
          <w:color w:val="auto"/>
        </w:rPr>
      </w:pPr>
    </w:p>
    <w:p>
      <w:pPr>
        <w:ind w:left="180" w:right="40" w:firstLine="465"/>
        <w:spacing w:after="0" w:line="308" w:lineRule="auto"/>
        <w:rPr>
          <w:sz w:val="20"/>
          <w:szCs w:val="20"/>
          <w:color w:val="auto"/>
        </w:rPr>
      </w:pPr>
      <w:r>
        <w:rPr>
          <w:rFonts w:ascii="Arial" w:cs="Arial" w:eastAsia="Arial" w:hAnsi="Arial"/>
          <w:sz w:val="17"/>
          <w:szCs w:val="17"/>
          <w:color w:val="auto"/>
        </w:rPr>
        <w:t>Following completion of the clinical trials, data is analyzed to assess whether the investigational product is safe and effective for the proposed indicated use or uses. The results of preclinical studies and clinical trials are then submitted to the FDA as part of an NDA or BLA, along with proposed labeling, chemistry and manufacturing information to ensure product quality and other relevant data. In short, the NDA or BLA is a</w:t>
      </w:r>
    </w:p>
    <w:p>
      <w:pPr>
        <w:spacing w:after="0" w:line="8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120</w:t>
      </w:r>
    </w:p>
    <w:p>
      <w:pPr>
        <w:sectPr>
          <w:pgSz w:w="12240" w:h="15840" w:orient="portrait"/>
          <w:cols w:equalWidth="0" w:num="1">
            <w:col w:w="11800"/>
          </w:cols>
          <w:pgMar w:left="120" w:top="336" w:right="320" w:bottom="1440" w:gutter="0" w:footer="0" w:header="0"/>
        </w:sectPr>
      </w:pPr>
    </w:p>
    <w:bookmarkStart w:id="128" w:name="page129"/>
    <w:bookmarkEnd w:id="12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72" w:lineRule="auto"/>
        <w:rPr>
          <w:sz w:val="20"/>
          <w:szCs w:val="20"/>
          <w:color w:val="auto"/>
        </w:rPr>
      </w:pPr>
      <w:r>
        <w:rPr>
          <w:rFonts w:ascii="Arial" w:cs="Arial" w:eastAsia="Arial" w:hAnsi="Arial"/>
          <w:sz w:val="18"/>
          <w:szCs w:val="18"/>
          <w:color w:val="auto"/>
        </w:rPr>
        <w:t>request for approval to market the drug or biologic for one or more specified indications and must contain proof of safety and efficacy for a drug or safety, purity, and potency for a biologic.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or BLA must be obtained before a drug or biologic may be marketed in the United States.</w:t>
      </w:r>
    </w:p>
    <w:p>
      <w:pPr>
        <w:spacing w:after="0" w:line="190" w:lineRule="exact"/>
        <w:rPr>
          <w:sz w:val="20"/>
          <w:szCs w:val="20"/>
          <w:color w:val="auto"/>
        </w:rPr>
      </w:pPr>
    </w:p>
    <w:p>
      <w:pPr>
        <w:ind w:left="180" w:right="20" w:firstLine="465"/>
        <w:spacing w:after="0" w:line="254" w:lineRule="auto"/>
        <w:rPr>
          <w:sz w:val="20"/>
          <w:szCs w:val="20"/>
          <w:color w:val="auto"/>
        </w:rPr>
      </w:pPr>
      <w:r>
        <w:rPr>
          <w:rFonts w:ascii="Arial" w:cs="Arial" w:eastAsia="Arial" w:hAnsi="Arial"/>
          <w:sz w:val="19"/>
          <w:szCs w:val="19"/>
          <w:color w:val="auto"/>
        </w:rPr>
        <w:t>Under the Prescription Drug User Fee Act (PDUFA), as amended, each NDA or BLA must be accompanied by a user fee. FDA adjusts the PDUFA user fees on an annual basis. According to the FDA’s FY 2019 fee schedule, effective through September 30, 2019, the user fee for an application requiring clinical data, such as an NDA or BLA, is approximately $2.6 million. PDUFA also imposes an annual program fee for each marketed human drug or biologic ($309,915 in 2019) and an annual establishment fee on facilities used to manufacture prescription drugs and biologics.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207"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The FDA reviews all submitted NDAs and BLAs before it accepts them for filing, and may request additional information rather than accepting the NDA or BLA for filing. The FDA must make a decision on accepting an NDA or BLA for filing within 60 days of receipt. Once the submission is accepted for filing, the FDA begins an in-depth review of the NDA or BLA. Under the goals and policies agreed to by the FDA under PDUFA, the FDA has 10 months, from the filing date, in which to complete its initial review of a new molecular-entity NDA or original BLA and respond to the applicant, and six months from the filing date of a new molecular-entity NDA or original BLA designated for priority review. The FDA does not always meet its PDUFA goal dates for standard and priority NDAs or BLAs, and the review process is often extended by FDA requests for additional information or clarification.</w:t>
      </w:r>
    </w:p>
    <w:p>
      <w:pPr>
        <w:spacing w:after="0" w:line="207" w:lineRule="exact"/>
        <w:rPr>
          <w:sz w:val="20"/>
          <w:szCs w:val="20"/>
          <w:color w:val="auto"/>
        </w:rPr>
      </w:pPr>
    </w:p>
    <w:p>
      <w:pPr>
        <w:ind w:left="180" w:firstLine="465"/>
        <w:spacing w:after="0" w:line="283" w:lineRule="auto"/>
        <w:rPr>
          <w:sz w:val="20"/>
          <w:szCs w:val="20"/>
          <w:color w:val="auto"/>
        </w:rPr>
      </w:pPr>
      <w:r>
        <w:rPr>
          <w:rFonts w:ascii="Arial" w:cs="Arial" w:eastAsia="Arial" w:hAnsi="Arial"/>
          <w:sz w:val="17"/>
          <w:szCs w:val="17"/>
          <w:color w:val="auto"/>
        </w:rPr>
        <w:t>Before approving an NDA or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or BLA,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or BLA identified by the FDA. The Complete Response Letter may require additional clinical data, additional pivotal Phase 3 clinical trial(s) and/or other significant and time-consuming requirements related to clinical trials, preclinical studies or manufacturing. If a Complete Response Letter is issued, the applicant may either resubmit the NDA or BLA, addressing all of the deficiencies identified in the letter, or withdraw the application. Even if such data and information are submitted, the FDA may decide that the NDA or BLA does not satisfy the criteria for approval. Data obtained from clinical trials are not always conclusive and the FDA may interpret data differently than we interpret the same data.</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121</w:t>
      </w:r>
    </w:p>
    <w:p>
      <w:pPr>
        <w:sectPr>
          <w:pgSz w:w="12240" w:h="15840" w:orient="portrait"/>
          <w:cols w:equalWidth="0" w:num="1">
            <w:col w:w="11800"/>
          </w:cols>
          <w:pgMar w:left="120" w:top="336" w:right="320" w:bottom="1440" w:gutter="0" w:footer="0" w:header="0"/>
        </w:sectPr>
      </w:pPr>
    </w:p>
    <w:bookmarkStart w:id="129" w:name="page130"/>
    <w:bookmarkEnd w:id="12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Orphan Drugs</w:t>
      </w:r>
    </w:p>
    <w:p>
      <w:pPr>
        <w:spacing w:after="0" w:line="124" w:lineRule="exact"/>
        <w:rPr>
          <w:sz w:val="20"/>
          <w:szCs w:val="20"/>
          <w:color w:val="auto"/>
        </w:rPr>
      </w:pPr>
    </w:p>
    <w:p>
      <w:pPr>
        <w:ind w:left="180" w:right="40" w:firstLine="465"/>
        <w:spacing w:after="0" w:line="259" w:lineRule="auto"/>
        <w:rPr>
          <w:sz w:val="20"/>
          <w:szCs w:val="20"/>
          <w:color w:val="auto"/>
        </w:rPr>
      </w:pPr>
      <w:r>
        <w:rPr>
          <w:rFonts w:ascii="Arial" w:cs="Arial" w:eastAsia="Arial" w:hAnsi="Arial"/>
          <w:sz w:val="19"/>
          <w:szCs w:val="19"/>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198" w:lineRule="exact"/>
        <w:rPr>
          <w:sz w:val="20"/>
          <w:szCs w:val="20"/>
          <w:color w:val="auto"/>
        </w:rPr>
      </w:pPr>
    </w:p>
    <w:p>
      <w:pPr>
        <w:jc w:val="both"/>
        <w:ind w:left="180" w:right="100" w:firstLine="465"/>
        <w:spacing w:after="0" w:line="263" w:lineRule="auto"/>
        <w:rPr>
          <w:sz w:val="20"/>
          <w:szCs w:val="20"/>
          <w:color w:val="auto"/>
        </w:rPr>
      </w:pPr>
      <w:r>
        <w:rPr>
          <w:rFonts w:ascii="Arial" w:cs="Arial" w:eastAsia="Arial" w:hAnsi="Arial"/>
          <w:sz w:val="19"/>
          <w:szCs w:val="19"/>
          <w:color w:val="auto"/>
        </w:rPr>
        <w:t>Orphan drug designation must be requested before submitting an NDA or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94" w:lineRule="exact"/>
        <w:rPr>
          <w:sz w:val="20"/>
          <w:szCs w:val="20"/>
          <w:color w:val="auto"/>
        </w:rPr>
      </w:pPr>
    </w:p>
    <w:p>
      <w:pPr>
        <w:ind w:left="180" w:right="40" w:firstLine="465"/>
        <w:spacing w:after="0" w:line="286"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However, competitors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a product candidate is determined to be contained within the scope of the competitor’s product for the same indication or disease. If one of our products designated as an orphan drug receives marketing approval for an indication broader than that which is designated, it may not be entitled to orphan drug exclusivity. Orphan drug status in the European Union has similar, but not identical, requirements and benefits.</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Expedited Development and Review Programs</w:t>
      </w:r>
    </w:p>
    <w:p>
      <w:pPr>
        <w:spacing w:after="0" w:line="124" w:lineRule="exact"/>
        <w:rPr>
          <w:sz w:val="20"/>
          <w:szCs w:val="20"/>
          <w:color w:val="auto"/>
        </w:rPr>
      </w:pPr>
    </w:p>
    <w:p>
      <w:pPr>
        <w:ind w:left="180" w:firstLine="465"/>
        <w:spacing w:after="0" w:line="274"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drugs and biologics that meet certain criteria. Specifically, new drugs and biologics are eligible for fast track designation if they are intended to treat a serious or life 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 track status any time before receiving NDA or BLA approval, but ideally no later than the pre-NDA or pre-BLA meeting.</w:t>
      </w:r>
    </w:p>
    <w:p>
      <w:pPr>
        <w:spacing w:after="0" w:line="188" w:lineRule="exact"/>
        <w:rPr>
          <w:sz w:val="20"/>
          <w:szCs w:val="20"/>
          <w:color w:val="auto"/>
        </w:rPr>
      </w:pPr>
    </w:p>
    <w:p>
      <w:pPr>
        <w:jc w:val="both"/>
        <w:ind w:left="180" w:right="40" w:firstLine="465"/>
        <w:spacing w:after="0" w:line="308" w:lineRule="auto"/>
        <w:rPr>
          <w:sz w:val="20"/>
          <w:szCs w:val="20"/>
          <w:color w:val="auto"/>
        </w:rPr>
      </w:pPr>
      <w:r>
        <w:rPr>
          <w:rFonts w:ascii="Arial" w:cs="Arial" w:eastAsia="Arial" w:hAnsi="Arial"/>
          <w:sz w:val="17"/>
          <w:szCs w:val="17"/>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spacing w:after="0" w:line="160" w:lineRule="exact"/>
        <w:rPr>
          <w:sz w:val="20"/>
          <w:szCs w:val="20"/>
          <w:color w:val="auto"/>
        </w:rPr>
      </w:pPr>
    </w:p>
    <w:p>
      <w:pPr>
        <w:ind w:left="180" w:right="140" w:firstLine="465"/>
        <w:spacing w:after="0" w:line="291" w:lineRule="auto"/>
        <w:rPr>
          <w:sz w:val="20"/>
          <w:szCs w:val="20"/>
          <w:color w:val="auto"/>
        </w:rPr>
      </w:pPr>
      <w:r>
        <w:rPr>
          <w:rFonts w:ascii="Arial" w:cs="Arial" w:eastAsia="Arial" w:hAnsi="Arial"/>
          <w:sz w:val="17"/>
          <w:szCs w:val="17"/>
          <w:color w:val="auto"/>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(IMM), which is reasonably likely to predict an effect on IMM or other clinical benefit. As a condition of approval, the FDA may require that a sponsor of a drug or biologic receiving accelerated approval perform adequate and well-controlled post-marketing clinical trials. If the FDA concludes that a drug or biologic shown to be effective can be safely used only if distribution or use is restricted, it may require such post-marketing restrictions as it deems necessary to assure safe use of the product.</w:t>
      </w:r>
    </w:p>
    <w:p>
      <w:pPr>
        <w:spacing w:after="0" w:line="175" w:lineRule="exact"/>
        <w:rPr>
          <w:sz w:val="20"/>
          <w:szCs w:val="20"/>
          <w:color w:val="auto"/>
        </w:rPr>
      </w:pPr>
    </w:p>
    <w:p>
      <w:pPr>
        <w:ind w:left="180" w:right="100" w:firstLine="465"/>
        <w:spacing w:after="0" w:line="275" w:lineRule="auto"/>
        <w:rPr>
          <w:sz w:val="20"/>
          <w:szCs w:val="20"/>
          <w:color w:val="auto"/>
        </w:rPr>
      </w:pPr>
      <w:r>
        <w:rPr>
          <w:rFonts w:ascii="Arial" w:cs="Arial" w:eastAsia="Arial" w:hAnsi="Arial"/>
          <w:sz w:val="19"/>
          <w:szCs w:val="19"/>
          <w:color w:val="auto"/>
        </w:rPr>
        <w:t>Additionally, a drug or biologic may be eligible for designation as a breakthrough therapy if the product is intended, alone or in combination with one or more other drugs or biologics, to treat a serious or life-threatening</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122</w:t>
      </w:r>
    </w:p>
    <w:p>
      <w:pPr>
        <w:sectPr>
          <w:pgSz w:w="12240" w:h="15840" w:orient="portrait"/>
          <w:cols w:equalWidth="0" w:num="1">
            <w:col w:w="11820"/>
          </w:cols>
          <w:pgMar w:left="120" w:top="336" w:right="300" w:bottom="1440" w:gutter="0" w:footer="0" w:header="0"/>
        </w:sectPr>
      </w:pPr>
    </w:p>
    <w:bookmarkStart w:id="130" w:name="page131"/>
    <w:bookmarkEnd w:id="13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80"/>
        <w:spacing w:after="0" w:line="298" w:lineRule="auto"/>
        <w:rPr>
          <w:sz w:val="20"/>
          <w:szCs w:val="20"/>
          <w:color w:val="auto"/>
        </w:rPr>
      </w:pPr>
      <w:r>
        <w:rPr>
          <w:rFonts w:ascii="Arial" w:cs="Arial" w:eastAsia="Arial" w:hAnsi="Arial"/>
          <w:sz w:val="17"/>
          <w:szCs w:val="17"/>
          <w:color w:val="auto"/>
        </w:rPr>
        <w:t>condition and preliminary clinical evidence indicates that the product may demonstrate substantial improvement over currently approved therapies on one or more clinically significant endpoints. The benefits of breakthrough therapy designation include the same benefits as fast 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w:t>
      </w:r>
    </w:p>
    <w:p>
      <w:pPr>
        <w:spacing w:after="0" w:line="28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Abbreviated Licensure Pathway of Biological Products as Biosimilar or Interchangeable</w:t>
      </w:r>
    </w:p>
    <w:p>
      <w:pPr>
        <w:spacing w:after="0" w:line="124" w:lineRule="exact"/>
        <w:rPr>
          <w:sz w:val="20"/>
          <w:szCs w:val="20"/>
          <w:color w:val="auto"/>
        </w:rPr>
      </w:pPr>
    </w:p>
    <w:p>
      <w:pPr>
        <w:ind w:left="180" w:right="40" w:firstLine="465"/>
        <w:spacing w:after="0" w:line="298" w:lineRule="auto"/>
        <w:rPr>
          <w:sz w:val="20"/>
          <w:szCs w:val="20"/>
          <w:color w:val="auto"/>
        </w:rPr>
      </w:pPr>
      <w:r>
        <w:rPr>
          <w:rFonts w:ascii="Arial" w:cs="Arial" w:eastAsia="Arial" w:hAnsi="Arial"/>
          <w:sz w:val="17"/>
          <w:szCs w:val="17"/>
          <w:color w:val="auto"/>
        </w:rPr>
        <w:t>The Patient Protection and Affordable Care Act, or Affordable Care Act (ACA), signed into law in 2010, includes the BPCIA, which created an abbreviated approval pathway for biological products shown to be highly similar to an FDA-licensed reference biological product. The BPCIA attempts to minimize duplicative testing, and thereby lower development costs and increase patient access to affordable treatments. An application for licensure of a biosimilar product must include information demonstrating biosimilarity based upon the following, unless the FDA determines otherwise:</w:t>
      </w:r>
    </w:p>
    <w:p>
      <w:pPr>
        <w:spacing w:after="0" w:line="70" w:lineRule="exact"/>
        <w:rPr>
          <w:sz w:val="20"/>
          <w:szCs w:val="20"/>
          <w:color w:val="auto"/>
        </w:rPr>
      </w:pPr>
    </w:p>
    <w:p>
      <w:pPr>
        <w:ind w:left="1100" w:right="520" w:hanging="350"/>
        <w:spacing w:after="0" w:line="275" w:lineRule="auto"/>
        <w:tabs>
          <w:tab w:leader="none" w:pos="1100" w:val="left"/>
        </w:tabs>
        <w:numPr>
          <w:ilvl w:val="0"/>
          <w:numId w:val="74"/>
        </w:numPr>
        <w:rPr>
          <w:rFonts w:ascii="Arial" w:cs="Arial" w:eastAsia="Arial" w:hAnsi="Arial"/>
          <w:sz w:val="19"/>
          <w:szCs w:val="19"/>
          <w:color w:val="auto"/>
        </w:rPr>
      </w:pPr>
      <w:r>
        <w:rPr>
          <w:rFonts w:ascii="Arial" w:cs="Arial" w:eastAsia="Arial" w:hAnsi="Arial"/>
          <w:sz w:val="19"/>
          <w:szCs w:val="19"/>
          <w:color w:val="auto"/>
        </w:rPr>
        <w:t>analytical studies demonstrating that the proposed biosimilar product is highly similar to the approved product notwithstanding minor differences in clinically inactive components;</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74"/>
        </w:numPr>
        <w:rPr>
          <w:rFonts w:ascii="Arial" w:cs="Arial" w:eastAsia="Arial" w:hAnsi="Arial"/>
          <w:sz w:val="19"/>
          <w:szCs w:val="19"/>
          <w:color w:val="auto"/>
        </w:rPr>
      </w:pPr>
      <w:r>
        <w:rPr>
          <w:rFonts w:ascii="Arial" w:cs="Arial" w:eastAsia="Arial" w:hAnsi="Arial"/>
          <w:sz w:val="19"/>
          <w:szCs w:val="19"/>
          <w:color w:val="auto"/>
        </w:rPr>
        <w:t>animal studies (including the assessment of toxicity); and</w:t>
      </w:r>
    </w:p>
    <w:p>
      <w:pPr>
        <w:spacing w:after="0" w:line="138" w:lineRule="exact"/>
        <w:rPr>
          <w:rFonts w:ascii="Arial" w:cs="Arial" w:eastAsia="Arial" w:hAnsi="Arial"/>
          <w:sz w:val="19"/>
          <w:szCs w:val="19"/>
          <w:color w:val="auto"/>
        </w:rPr>
      </w:pPr>
    </w:p>
    <w:p>
      <w:pPr>
        <w:ind w:left="1100" w:right="220" w:hanging="350"/>
        <w:spacing w:after="0" w:line="336" w:lineRule="auto"/>
        <w:tabs>
          <w:tab w:leader="none" w:pos="11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clinical trial or trials (including the assessment of immunogenicity and pharmacokinetic or pharmacodynamic) sufficient to demonstrate safety, purity and potency in one or more conditions for which the reference product is licensed and intended to be used.</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 addition, an application must include information demonstrating that:</w:t>
      </w:r>
    </w:p>
    <w:p>
      <w:pPr>
        <w:spacing w:after="0" w:line="138" w:lineRule="exact"/>
        <w:rPr>
          <w:sz w:val="20"/>
          <w:szCs w:val="20"/>
          <w:color w:val="auto"/>
        </w:rPr>
      </w:pPr>
    </w:p>
    <w:p>
      <w:pPr>
        <w:ind w:left="1100" w:right="80" w:hanging="350"/>
        <w:spacing w:after="0" w:line="336" w:lineRule="auto"/>
        <w:tabs>
          <w:tab w:leader="none" w:pos="11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proposed biosimilar product and reference product utilize the same mechanism of action for the condition(s) of use prescribed, recommended or suggested in the proposed labeling, but only to the extent the mechanism(s) of action are known for the reference product;</w:t>
      </w:r>
    </w:p>
    <w:p>
      <w:pPr>
        <w:spacing w:after="0" w:line="37" w:lineRule="exact"/>
        <w:rPr>
          <w:rFonts w:ascii="Arial" w:cs="Arial" w:eastAsia="Arial" w:hAnsi="Arial"/>
          <w:sz w:val="17"/>
          <w:szCs w:val="17"/>
          <w:color w:val="auto"/>
        </w:rPr>
      </w:pPr>
    </w:p>
    <w:p>
      <w:pPr>
        <w:ind w:left="1100" w:right="440" w:hanging="350"/>
        <w:spacing w:after="0" w:line="275" w:lineRule="auto"/>
        <w:tabs>
          <w:tab w:leader="none" w:pos="110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condition or conditions of use prescribed, recommended or suggested in the labeling for the proposed biosimilar product have been previously approved for the reference product;</w:t>
      </w:r>
    </w:p>
    <w:p>
      <w:pPr>
        <w:spacing w:after="0" w:line="84" w:lineRule="exact"/>
        <w:rPr>
          <w:rFonts w:ascii="Arial" w:cs="Arial" w:eastAsia="Arial" w:hAnsi="Arial"/>
          <w:sz w:val="19"/>
          <w:szCs w:val="19"/>
          <w:color w:val="auto"/>
        </w:rPr>
      </w:pPr>
    </w:p>
    <w:p>
      <w:pPr>
        <w:ind w:left="1100" w:right="460" w:hanging="350"/>
        <w:spacing w:after="0" w:line="275" w:lineRule="auto"/>
        <w:tabs>
          <w:tab w:leader="none" w:pos="110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route of administration, the dosage form and the strength of the proposed biosimilar product are the same as those for the reference product; and</w:t>
      </w:r>
    </w:p>
    <w:p>
      <w:pPr>
        <w:spacing w:after="0" w:line="84" w:lineRule="exact"/>
        <w:rPr>
          <w:rFonts w:ascii="Arial" w:cs="Arial" w:eastAsia="Arial" w:hAnsi="Arial"/>
          <w:sz w:val="19"/>
          <w:szCs w:val="19"/>
          <w:color w:val="auto"/>
        </w:rPr>
      </w:pPr>
    </w:p>
    <w:p>
      <w:pPr>
        <w:ind w:left="1100" w:hanging="350"/>
        <w:spacing w:after="0" w:line="275" w:lineRule="auto"/>
        <w:tabs>
          <w:tab w:leader="none" w:pos="110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facility in which the biological product is manufactured, processed, packed or held meets standards designed to assure that the biological product continues to be safe, pure, and potent.</w:t>
      </w:r>
    </w:p>
    <w:p>
      <w:pPr>
        <w:spacing w:after="0" w:line="184" w:lineRule="exact"/>
        <w:rPr>
          <w:sz w:val="20"/>
          <w:szCs w:val="20"/>
          <w:color w:val="auto"/>
        </w:rPr>
      </w:pPr>
    </w:p>
    <w:p>
      <w:pPr>
        <w:ind w:left="180" w:right="20" w:firstLine="465"/>
        <w:spacing w:after="0" w:line="274" w:lineRule="auto"/>
        <w:rPr>
          <w:sz w:val="20"/>
          <w:szCs w:val="20"/>
          <w:color w:val="auto"/>
        </w:rPr>
      </w:pPr>
      <w:r>
        <w:rPr>
          <w:rFonts w:ascii="Arial" w:cs="Arial" w:eastAsia="Arial" w:hAnsi="Arial"/>
          <w:sz w:val="18"/>
          <w:szCs w:val="18"/>
          <w:color w:val="auto"/>
        </w:rPr>
        <w:t>Biosimilarity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the law provides for a designation of “interchangeability” between the reference and biosimilar products, whereby the biosimilar may be substituted for the reference product without the intervention of the healthcare provider who prescribed the reference product. The higher standard of interchangeability must be demonstrated by information sufficient to show that:</w:t>
      </w:r>
    </w:p>
    <w:p>
      <w:pPr>
        <w:spacing w:after="0" w:line="88" w:lineRule="exact"/>
        <w:rPr>
          <w:sz w:val="20"/>
          <w:szCs w:val="20"/>
          <w:color w:val="auto"/>
        </w:rPr>
      </w:pPr>
    </w:p>
    <w:p>
      <w:pPr>
        <w:ind w:left="1100" w:hanging="350"/>
        <w:spacing w:after="0"/>
        <w:tabs>
          <w:tab w:leader="none" w:pos="110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proposed product is biosimilar to the reference product;</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proposed product is expected to produce the same clinical result as the reference product in any given patient; and</w:t>
      </w:r>
    </w:p>
    <w:p>
      <w:pPr>
        <w:spacing w:after="0" w:line="138" w:lineRule="exact"/>
        <w:rPr>
          <w:rFonts w:ascii="Arial" w:cs="Arial" w:eastAsia="Arial" w:hAnsi="Arial"/>
          <w:sz w:val="19"/>
          <w:szCs w:val="19"/>
          <w:color w:val="auto"/>
        </w:rPr>
      </w:pPr>
    </w:p>
    <w:p>
      <w:pPr>
        <w:ind w:left="1100" w:right="180" w:hanging="350"/>
        <w:spacing w:after="0" w:line="263" w:lineRule="auto"/>
        <w:tabs>
          <w:tab w:leader="none" w:pos="1100" w:val="left"/>
        </w:tabs>
        <w:numPr>
          <w:ilvl w:val="0"/>
          <w:numId w:val="76"/>
        </w:numPr>
        <w:rPr>
          <w:rFonts w:ascii="Arial" w:cs="Arial" w:eastAsia="Arial" w:hAnsi="Arial"/>
          <w:sz w:val="19"/>
          <w:szCs w:val="19"/>
          <w:color w:val="auto"/>
        </w:rPr>
      </w:pPr>
      <w:r>
        <w:rPr>
          <w:rFonts w:ascii="Arial" w:cs="Arial" w:eastAsia="Arial" w:hAnsi="Arial"/>
          <w:sz w:val="19"/>
          <w:szCs w:val="19"/>
          <w:color w:val="auto"/>
        </w:rPr>
        <w:t>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spacing w:after="0" w:line="194" w:lineRule="exact"/>
        <w:rPr>
          <w:sz w:val="20"/>
          <w:szCs w:val="20"/>
          <w:color w:val="auto"/>
        </w:rPr>
      </w:pPr>
    </w:p>
    <w:p>
      <w:pPr>
        <w:ind w:left="180" w:right="40" w:firstLine="465"/>
        <w:spacing w:after="0" w:line="275" w:lineRule="auto"/>
        <w:rPr>
          <w:sz w:val="20"/>
          <w:szCs w:val="20"/>
          <w:color w:val="auto"/>
        </w:rPr>
      </w:pPr>
      <w:r>
        <w:rPr>
          <w:rFonts w:ascii="Arial" w:cs="Arial" w:eastAsia="Arial" w:hAnsi="Arial"/>
          <w:sz w:val="19"/>
          <w:szCs w:val="19"/>
          <w:color w:val="auto"/>
        </w:rPr>
        <w:t>FDA approval is required before a biosimilar may be marketed in the United States. However, complexities associated with the large and intricate structures of biological products and the process by which such products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123</w:t>
      </w:r>
    </w:p>
    <w:p>
      <w:pPr>
        <w:sectPr>
          <w:pgSz w:w="12240" w:h="15840" w:orient="portrait"/>
          <w:cols w:equalWidth="0" w:num="1">
            <w:col w:w="11780"/>
          </w:cols>
          <w:pgMar w:left="120" w:top="336" w:right="340" w:bottom="1440" w:gutter="0" w:footer="0" w:header="0"/>
        </w:sectPr>
      </w:pPr>
    </w:p>
    <w:bookmarkStart w:id="131" w:name="page132"/>
    <w:bookmarkEnd w:id="13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spacing w:after="0" w:line="263" w:lineRule="auto"/>
        <w:rPr>
          <w:sz w:val="20"/>
          <w:szCs w:val="20"/>
          <w:color w:val="auto"/>
        </w:rPr>
      </w:pPr>
      <w:r>
        <w:rPr>
          <w:rFonts w:ascii="Arial" w:cs="Arial" w:eastAsia="Arial" w:hAnsi="Arial"/>
          <w:sz w:val="19"/>
          <w:szCs w:val="19"/>
          <w:color w:val="auto"/>
        </w:rPr>
        <w:t>are manufactured pose significant hurdles to the FDA’s implementation of the law that are still being worked out by the FDA. For example, the FDA has discretion over the kind and amount of scientific evidence—laboratory, preclinical and/or clinical—required to demonstrate biosimilarity to a licensed biological product.</w:t>
      </w:r>
    </w:p>
    <w:p>
      <w:pPr>
        <w:spacing w:after="0" w:line="194" w:lineRule="exact"/>
        <w:rPr>
          <w:sz w:val="20"/>
          <w:szCs w:val="20"/>
          <w:color w:val="auto"/>
        </w:rPr>
      </w:pPr>
    </w:p>
    <w:p>
      <w:pPr>
        <w:ind w:left="180" w:right="40" w:firstLine="465"/>
        <w:spacing w:after="0" w:line="254" w:lineRule="auto"/>
        <w:rPr>
          <w:sz w:val="20"/>
          <w:szCs w:val="20"/>
          <w:color w:val="auto"/>
        </w:rPr>
      </w:pPr>
      <w:r>
        <w:rPr>
          <w:rFonts w:ascii="Arial" w:cs="Arial" w:eastAsia="Arial" w:hAnsi="Arial"/>
          <w:sz w:val="19"/>
          <w:szCs w:val="19"/>
          <w:color w:val="auto"/>
        </w:rPr>
        <w:t>The FDA intends to consider the totality of the evidence provided by a sponsor to support a demonstration of biosimilarity, and recommends that sponsors use a stepwise approach in the development of their biosimilar products. Biosimilar product applications thus may not be required to duplicate the entirety of preclinical and clinical testing used to establish the underlying safety and effectiveness of the reference product. However, the FDA may refuse to approve a biosimilar application if there is insufficient information to show that the active ingredients are the same or to demonstrate that any impurities or differences in active ingredients do not affect the safety, purity or potency of the biosimilar product. In addition, as with BLAs, biosimilar product applications will not be approved unless the product is manufactured in facilities designed to assure and preserve the biological product’s safety, purity and potency.</w:t>
      </w:r>
    </w:p>
    <w:p>
      <w:pPr>
        <w:spacing w:after="0" w:line="207" w:lineRule="exact"/>
        <w:rPr>
          <w:sz w:val="20"/>
          <w:szCs w:val="20"/>
          <w:color w:val="auto"/>
        </w:rPr>
      </w:pPr>
    </w:p>
    <w:p>
      <w:pPr>
        <w:ind w:left="180" w:right="80" w:firstLine="465"/>
        <w:spacing w:after="0" w:line="274" w:lineRule="auto"/>
        <w:rPr>
          <w:sz w:val="20"/>
          <w:szCs w:val="20"/>
          <w:color w:val="auto"/>
        </w:rPr>
      </w:pPr>
      <w:r>
        <w:rPr>
          <w:rFonts w:ascii="Arial" w:cs="Arial" w:eastAsia="Arial" w:hAnsi="Arial"/>
          <w:sz w:val="18"/>
          <w:szCs w:val="18"/>
          <w:color w:val="auto"/>
        </w:rPr>
        <w:t>The submission of a biosimilar application does not guarantee that the FDA will accept the application for filing and review, as the FDA may refuse to accept applications that it finds are insufficiently complete. The FDA will treat a biosimilar application or supplement as incomplete if, among other reasons, any applicable user fees assessed under the Biosimilar User Fee Act of 2012 have not been paid. In addition, the FDA may accept an application for filing but deny approval on the basis that the sponsor has not demonstrated biosimilarity, in which case the sponsor may choose to conduct further analytical, preclinical or clinical studies and submit a BLA for licensure as a new biological product.</w:t>
      </w:r>
    </w:p>
    <w:p>
      <w:pPr>
        <w:spacing w:after="0" w:line="188" w:lineRule="exact"/>
        <w:rPr>
          <w:sz w:val="20"/>
          <w:szCs w:val="20"/>
          <w:color w:val="auto"/>
        </w:rPr>
      </w:pPr>
    </w:p>
    <w:p>
      <w:pPr>
        <w:ind w:left="180" w:firstLine="465"/>
        <w:spacing w:after="0" w:line="268" w:lineRule="auto"/>
        <w:rPr>
          <w:sz w:val="20"/>
          <w:szCs w:val="20"/>
          <w:color w:val="auto"/>
        </w:rPr>
      </w:pPr>
      <w:r>
        <w:rPr>
          <w:rFonts w:ascii="Arial" w:cs="Arial" w:eastAsia="Arial" w:hAnsi="Arial"/>
          <w:sz w:val="18"/>
          <w:szCs w:val="18"/>
          <w:color w:val="auto"/>
        </w:rPr>
        <w:t>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 The FDA cannot approve a biosimilar application for 12 years from the date of first licensure of the reference product. Additionally, a biosimilar product sponsor may not submit an application for four years from the date of first licensure of the reference product. A reference product may also be entitled to exclusivity under other statutory provisions. For example, a reference product designated for a rare disease or condition (an orphan drug) may be entitled to seven years of exclusivity, in which case no product that is biosimilar to the reference product may be approved until either the end of the twelve-year period provided under the biosimilarity statute or the end of the seven-year orphan drug exclusivity period, whichever occurs later. In certain circumstances, a regulatory exclusivity period can extend beyond the life of a patent, and thus block biosimilarity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spacing w:after="0" w:line="196" w:lineRule="exact"/>
        <w:rPr>
          <w:sz w:val="20"/>
          <w:szCs w:val="20"/>
          <w:color w:val="auto"/>
        </w:rPr>
      </w:pPr>
    </w:p>
    <w:p>
      <w:pPr>
        <w:ind w:left="180" w:right="160" w:firstLine="465"/>
        <w:spacing w:after="0" w:line="254" w:lineRule="auto"/>
        <w:rPr>
          <w:sz w:val="20"/>
          <w:szCs w:val="20"/>
          <w:color w:val="auto"/>
        </w:rPr>
      </w:pPr>
      <w:r>
        <w:rPr>
          <w:rFonts w:ascii="Arial" w:cs="Arial" w:eastAsia="Arial" w:hAnsi="Arial"/>
          <w:sz w:val="19"/>
          <w:szCs w:val="19"/>
          <w:color w:val="auto"/>
        </w:rPr>
        <w:t>The first biological product determined to be interchangeable with a branded product for any condition of use is also entitled to a period of exclusivity, during which time the FDA may not determine that another product is interchangeable with the reference product for any condition of use. This exclusivity period extends until the earlier of: one year after the first commercial marketing of the first interchangeable product; 18 months after resolution of a patent infringement against the applicant that submitted the application for the first interchangeable product, based on a final court decision regarding all of the patents in the litigation or dismissal of the litigation with or without prejudice; 42 months after approval of the first interchangeable product, if a patent infringement suit against the applicant that submitted the application for the first interchangeable product is still ongoing; or 18 months after approval of the first interchangeable product if the applicant that submitted the application for the first interchangeable product has not been sued.</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Post-Approval Requirements</w:t>
      </w:r>
    </w:p>
    <w:p>
      <w:pPr>
        <w:spacing w:after="0" w:line="124" w:lineRule="exact"/>
        <w:rPr>
          <w:sz w:val="20"/>
          <w:szCs w:val="20"/>
          <w:color w:val="auto"/>
        </w:rPr>
      </w:pPr>
    </w:p>
    <w:p>
      <w:pPr>
        <w:ind w:left="180" w:right="420" w:firstLine="465"/>
        <w:spacing w:after="0" w:line="275" w:lineRule="auto"/>
        <w:rPr>
          <w:sz w:val="20"/>
          <w:szCs w:val="20"/>
          <w:color w:val="auto"/>
        </w:rPr>
      </w:pPr>
      <w:r>
        <w:rPr>
          <w:rFonts w:ascii="Arial" w:cs="Arial" w:eastAsia="Arial" w:hAnsi="Arial"/>
          <w:sz w:val="19"/>
          <w:szCs w:val="19"/>
          <w:color w:val="auto"/>
        </w:rPr>
        <w:t>Following approval of a new product, the manufacturer and the approved product are subject to continuing regulation by the FDA, including, among other things, monitoring and record-keeping requirements,</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124</w:t>
      </w:r>
    </w:p>
    <w:p>
      <w:pPr>
        <w:sectPr>
          <w:pgSz w:w="12240" w:h="15840" w:orient="portrait"/>
          <w:cols w:equalWidth="0" w:num="1">
            <w:col w:w="11800"/>
          </w:cols>
          <w:pgMar w:left="120" w:top="336" w:right="320" w:bottom="1440" w:gutter="0" w:footer="0" w:header="0"/>
        </w:sectPr>
      </w:pPr>
    </w:p>
    <w:bookmarkStart w:id="132" w:name="page133"/>
    <w:bookmarkEnd w:id="13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spacing w:after="0" w:line="291" w:lineRule="auto"/>
        <w:rPr>
          <w:sz w:val="20"/>
          <w:szCs w:val="20"/>
          <w:color w:val="auto"/>
        </w:rPr>
      </w:pPr>
      <w:r>
        <w:rPr>
          <w:rFonts w:ascii="Arial" w:cs="Arial" w:eastAsia="Arial" w:hAnsi="Arial"/>
          <w:sz w:val="17"/>
          <w:szCs w:val="17"/>
          <w:color w:val="auto"/>
        </w:rPr>
        <w:t>requirements to report adverse experiences and comply with promotion and advertising requirements, which include restrictions on promoting drugs for unapproved uses or patient populations, known as “off-label use”,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or biologic, including changes in indications, labeling or manufacturing processes or facilities, the applicant may be required to submit and obtain FDA approval of a new NDA/BLA or NDA/BLA supplement, which may require the development of additional data or preclinical studies and clinical trials.</w:t>
      </w:r>
    </w:p>
    <w:p>
      <w:pPr>
        <w:spacing w:after="0" w:line="175"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The FDA may also place other conditions on approvals including the requirement for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204" w:lineRule="exact"/>
        <w:rPr>
          <w:sz w:val="20"/>
          <w:szCs w:val="20"/>
          <w:color w:val="auto"/>
        </w:rPr>
      </w:pPr>
    </w:p>
    <w:p>
      <w:pPr>
        <w:ind w:left="180" w:right="80" w:firstLine="465"/>
        <w:spacing w:after="0" w:line="274"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88" w:lineRule="exact"/>
        <w:rPr>
          <w:sz w:val="20"/>
          <w:szCs w:val="20"/>
          <w:color w:val="auto"/>
        </w:rPr>
      </w:pPr>
    </w:p>
    <w:p>
      <w:pPr>
        <w:ind w:left="1100" w:hanging="350"/>
        <w:spacing w:after="0"/>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49" w:lineRule="exact"/>
        <w:rPr>
          <w:rFonts w:ascii="Arial" w:cs="Arial" w:eastAsia="Arial" w:hAnsi="Arial"/>
          <w:sz w:val="18"/>
          <w:szCs w:val="18"/>
          <w:color w:val="auto"/>
        </w:rPr>
      </w:pPr>
    </w:p>
    <w:p>
      <w:pPr>
        <w:ind w:left="1100" w:hanging="350"/>
        <w:spacing w:after="0"/>
        <w:tabs>
          <w:tab w:leader="none" w:pos="1100" w:val="left"/>
        </w:tabs>
        <w:numPr>
          <w:ilvl w:val="0"/>
          <w:numId w:val="77"/>
        </w:numPr>
        <w:rPr>
          <w:rFonts w:ascii="Arial" w:cs="Arial" w:eastAsia="Arial" w:hAnsi="Arial"/>
          <w:sz w:val="19"/>
          <w:szCs w:val="19"/>
          <w:color w:val="auto"/>
        </w:rPr>
      </w:pPr>
      <w:r>
        <w:rPr>
          <w:rFonts w:ascii="Arial" w:cs="Arial" w:eastAsia="Arial" w:hAnsi="Arial"/>
          <w:sz w:val="19"/>
          <w:szCs w:val="19"/>
          <w:color w:val="auto"/>
        </w:rPr>
        <w:t>fines, warning letters, or holds on post-approval clinical studies;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77"/>
        </w:numPr>
        <w:rPr>
          <w:rFonts w:ascii="Arial" w:cs="Arial" w:eastAsia="Arial" w:hAnsi="Arial"/>
          <w:sz w:val="19"/>
          <w:szCs w:val="19"/>
          <w:color w:val="auto"/>
        </w:rPr>
      </w:pPr>
      <w:r>
        <w:rPr>
          <w:rFonts w:ascii="Arial" w:cs="Arial" w:eastAsia="Arial" w:hAnsi="Arial"/>
          <w:sz w:val="19"/>
          <w:szCs w:val="19"/>
          <w:color w:val="auto"/>
        </w:rPr>
        <w:t>refusal of the FDA to approve pending applications or supplements to approved applications;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77"/>
        </w:numPr>
        <w:rPr>
          <w:rFonts w:ascii="Arial" w:cs="Arial" w:eastAsia="Arial" w:hAnsi="Arial"/>
          <w:sz w:val="19"/>
          <w:szCs w:val="19"/>
          <w:color w:val="auto"/>
        </w:rPr>
      </w:pPr>
      <w:r>
        <w:rPr>
          <w:rFonts w:ascii="Arial" w:cs="Arial" w:eastAsia="Arial" w:hAnsi="Arial"/>
          <w:sz w:val="19"/>
          <w:szCs w:val="19"/>
          <w:color w:val="auto"/>
        </w:rPr>
        <w:t>applications, or suspension or revocation of product license approvals;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77"/>
        </w:numPr>
        <w:rPr>
          <w:rFonts w:ascii="Arial" w:cs="Arial" w:eastAsia="Arial" w:hAnsi="Arial"/>
          <w:sz w:val="19"/>
          <w:szCs w:val="19"/>
          <w:color w:val="auto"/>
        </w:rPr>
      </w:pPr>
      <w:r>
        <w:rPr>
          <w:rFonts w:ascii="Arial" w:cs="Arial" w:eastAsia="Arial" w:hAnsi="Arial"/>
          <w:sz w:val="19"/>
          <w:szCs w:val="19"/>
          <w:color w:val="auto"/>
        </w:rPr>
        <w:t>product seizure or detention, or refusal to permit the import or export of products; or</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77"/>
        </w:numPr>
        <w:rPr>
          <w:rFonts w:ascii="Arial" w:cs="Arial" w:eastAsia="Arial" w:hAnsi="Arial"/>
          <w:sz w:val="19"/>
          <w:szCs w:val="19"/>
          <w:color w:val="auto"/>
        </w:rPr>
      </w:pPr>
      <w:r>
        <w:rPr>
          <w:rFonts w:ascii="Arial" w:cs="Arial" w:eastAsia="Arial" w:hAnsi="Arial"/>
          <w:sz w:val="19"/>
          <w:szCs w:val="19"/>
          <w:color w:val="auto"/>
        </w:rPr>
        <w:t>injunctions or the imposition of civil or criminal penalties.</w:t>
      </w:r>
    </w:p>
    <w:p>
      <w:pPr>
        <w:spacing w:after="0" w:line="238" w:lineRule="exact"/>
        <w:rPr>
          <w:sz w:val="20"/>
          <w:szCs w:val="20"/>
          <w:color w:val="auto"/>
        </w:rPr>
      </w:pPr>
    </w:p>
    <w:p>
      <w:pPr>
        <w:ind w:left="180" w:right="100" w:firstLine="465"/>
        <w:spacing w:after="0" w:line="259" w:lineRule="auto"/>
        <w:rPr>
          <w:sz w:val="20"/>
          <w:szCs w:val="20"/>
          <w:color w:val="auto"/>
        </w:rPr>
      </w:pPr>
      <w:r>
        <w:rPr>
          <w:rFonts w:ascii="Arial" w:cs="Arial" w:eastAsia="Arial" w:hAnsi="Arial"/>
          <w:sz w:val="19"/>
          <w:szCs w:val="19"/>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Other U.S. Regulatory Matters</w:t>
      </w:r>
    </w:p>
    <w:p>
      <w:pPr>
        <w:spacing w:after="0" w:line="124" w:lineRule="exact"/>
        <w:rPr>
          <w:sz w:val="20"/>
          <w:szCs w:val="20"/>
          <w:color w:val="auto"/>
        </w:rPr>
      </w:pPr>
    </w:p>
    <w:p>
      <w:pPr>
        <w:ind w:left="180" w:right="80" w:firstLine="465"/>
        <w:spacing w:after="0" w:line="298" w:lineRule="auto"/>
        <w:rPr>
          <w:sz w:val="20"/>
          <w:szCs w:val="20"/>
          <w:color w:val="auto"/>
        </w:rPr>
      </w:pPr>
      <w:r>
        <w:rPr>
          <w:rFonts w:ascii="Arial" w:cs="Arial" w:eastAsia="Arial" w:hAnsi="Arial"/>
          <w:sz w:val="17"/>
          <w:szCs w:val="17"/>
          <w:color w:val="auto"/>
        </w:rPr>
        <w:t>Manufacturing, sales, promotion and other activities following product approval are also subject to regulation by numerous regulatory authorities in the United States in addition to the FDA, including the Centers for Medicare &amp; Medicaid Services,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170" w:lineRule="exact"/>
        <w:rPr>
          <w:sz w:val="20"/>
          <w:szCs w:val="20"/>
          <w:color w:val="auto"/>
        </w:rPr>
      </w:pPr>
    </w:p>
    <w:p>
      <w:pPr>
        <w:ind w:left="180" w:right="80" w:firstLine="465"/>
        <w:spacing w:after="0" w:line="277" w:lineRule="auto"/>
        <w:rPr>
          <w:sz w:val="20"/>
          <w:szCs w:val="20"/>
          <w:color w:val="auto"/>
        </w:rPr>
      </w:pPr>
      <w:r>
        <w:rPr>
          <w:rFonts w:ascii="Arial" w:cs="Arial" w:eastAsia="Arial" w:hAnsi="Arial"/>
          <w:sz w:val="18"/>
          <w:szCs w:val="18"/>
          <w:color w:val="auto"/>
        </w:rPr>
        <w:t>For example, in the United States, sales, marketing and scientific and educational programs also must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125</w:t>
      </w:r>
    </w:p>
    <w:p>
      <w:pPr>
        <w:sectPr>
          <w:pgSz w:w="12240" w:h="15840" w:orient="portrait"/>
          <w:cols w:equalWidth="0" w:num="1">
            <w:col w:w="11780"/>
          </w:cols>
          <w:pgMar w:left="120" w:top="337" w:right="340" w:bottom="1440" w:gutter="0" w:footer="0" w:header="0"/>
        </w:sectPr>
      </w:pPr>
    </w:p>
    <w:bookmarkStart w:id="133" w:name="page134"/>
    <w:bookmarkEnd w:id="13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80"/>
        <w:spacing w:after="0" w:line="259" w:lineRule="auto"/>
        <w:rPr>
          <w:sz w:val="20"/>
          <w:szCs w:val="20"/>
          <w:color w:val="auto"/>
        </w:rPr>
      </w:pPr>
      <w:r>
        <w:rPr>
          <w:rFonts w:ascii="Arial" w:cs="Arial" w:eastAsia="Arial" w:hAnsi="Arial"/>
          <w:sz w:val="19"/>
          <w:szCs w:val="19"/>
          <w:color w:val="auto"/>
        </w:rPr>
        <w:t>may be made under a federal healthcare program, such as Medicare or Medicaid. Violations of this law are punishable by up to five years in prison, criminal fines, administrative civil money penalties and exclusion from participation in federal healthcare programs. Moreover, the ACA provides that the government may assert that a claim including items or services resulting from a violation of the federal Anti-Kickback Statute constitutes a false or fraudulent claim for purposes of the False Claims Act.</w:t>
      </w:r>
    </w:p>
    <w:p>
      <w:pPr>
        <w:spacing w:after="0" w:line="198" w:lineRule="exact"/>
        <w:rPr>
          <w:sz w:val="20"/>
          <w:szCs w:val="20"/>
          <w:color w:val="auto"/>
        </w:rPr>
      </w:pPr>
    </w:p>
    <w:p>
      <w:pPr>
        <w:ind w:left="180" w:right="100" w:firstLine="465"/>
        <w:spacing w:after="0" w:line="256" w:lineRule="auto"/>
        <w:rPr>
          <w:sz w:val="20"/>
          <w:szCs w:val="20"/>
          <w:color w:val="auto"/>
        </w:rPr>
      </w:pPr>
      <w:r>
        <w:rPr>
          <w:rFonts w:ascii="Arial" w:cs="Arial" w:eastAsia="Arial" w:hAnsi="Arial"/>
          <w:sz w:val="19"/>
          <w:szCs w:val="19"/>
          <w:color w:val="auto"/>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204" w:lineRule="exact"/>
        <w:rPr>
          <w:sz w:val="20"/>
          <w:szCs w:val="20"/>
          <w:color w:val="auto"/>
        </w:rPr>
      </w:pPr>
    </w:p>
    <w:p>
      <w:pPr>
        <w:ind w:left="180" w:firstLine="465"/>
        <w:spacing w:after="0" w:line="275" w:lineRule="auto"/>
        <w:rPr>
          <w:sz w:val="20"/>
          <w:szCs w:val="20"/>
          <w:color w:val="auto"/>
        </w:rPr>
      </w:pPr>
      <w:r>
        <w:rPr>
          <w:rFonts w:ascii="Arial" w:cs="Arial" w:eastAsia="Arial" w:hAnsi="Arial"/>
          <w:sz w:val="19"/>
          <w:szCs w:val="19"/>
          <w:color w:val="auto"/>
        </w:rPr>
        <w:t>The distribution of biologic and pharmaceutical products is subject to additional requirements and regulations, including extensive record-keeping, licensing, storage and security requirements intended to prevent the unauthorized sale of pharmaceutical products.</w:t>
      </w:r>
    </w:p>
    <w:p>
      <w:pPr>
        <w:spacing w:after="0" w:line="184" w:lineRule="exact"/>
        <w:rPr>
          <w:sz w:val="20"/>
          <w:szCs w:val="20"/>
          <w:color w:val="auto"/>
        </w:rPr>
      </w:pPr>
    </w:p>
    <w:p>
      <w:pPr>
        <w:ind w:left="180" w:right="320" w:firstLine="465"/>
        <w:spacing w:after="0" w:line="291" w:lineRule="auto"/>
        <w:rPr>
          <w:sz w:val="20"/>
          <w:szCs w:val="20"/>
          <w:color w:val="auto"/>
        </w:rPr>
      </w:pPr>
      <w:r>
        <w:rPr>
          <w:rFonts w:ascii="Arial" w:cs="Arial" w:eastAsia="Arial" w:hAnsi="Arial"/>
          <w:sz w:val="17"/>
          <w:szCs w:val="17"/>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75" w:lineRule="exact"/>
        <w:rPr>
          <w:sz w:val="20"/>
          <w:szCs w:val="20"/>
          <w:color w:val="auto"/>
        </w:rPr>
      </w:pPr>
    </w:p>
    <w:p>
      <w:pPr>
        <w:ind w:left="180" w:right="220" w:firstLine="465"/>
        <w:spacing w:after="0" w:line="308" w:lineRule="auto"/>
        <w:rPr>
          <w:sz w:val="20"/>
          <w:szCs w:val="20"/>
          <w:color w:val="auto"/>
        </w:rPr>
      </w:pPr>
      <w:r>
        <w:rPr>
          <w:rFonts w:ascii="Arial" w:cs="Arial" w:eastAsia="Arial" w:hAnsi="Arial"/>
          <w:sz w:val="17"/>
          <w:szCs w:val="17"/>
          <w:color w:val="auto"/>
        </w:rPr>
        <w:t>Changes in regulations, statutes or the interpretation of existing regulations could impact our business in the future by requiring, for example: changes to our manufacturing arrangements; additions or modifications to product labeling; the recall or discontinuation of our products; or additional record-keeping requirements. If any such changes were to be imposed, they could adversely affect the operation of our business.</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U.S. Patent-Term Restoration and Marketing Exclusivity</w:t>
      </w:r>
    </w:p>
    <w:p>
      <w:pPr>
        <w:spacing w:after="0" w:line="124" w:lineRule="exact"/>
        <w:rPr>
          <w:sz w:val="20"/>
          <w:szCs w:val="20"/>
          <w:color w:val="auto"/>
        </w:rPr>
      </w:pPr>
    </w:p>
    <w:p>
      <w:pPr>
        <w:ind w:left="180" w:right="20" w:firstLine="465"/>
        <w:spacing w:after="0" w:line="286" w:lineRule="auto"/>
        <w:rPr>
          <w:sz w:val="20"/>
          <w:szCs w:val="20"/>
          <w:color w:val="auto"/>
        </w:rPr>
      </w:pPr>
      <w:r>
        <w:rPr>
          <w:rFonts w:ascii="Arial" w:cs="Arial" w:eastAsia="Arial" w:hAnsi="Arial"/>
          <w:sz w:val="17"/>
          <w:szCs w:val="17"/>
          <w:color w:val="auto"/>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 or BLA.</w:t>
      </w:r>
    </w:p>
    <w:p>
      <w:pPr>
        <w:spacing w:after="0" w:line="181" w:lineRule="exact"/>
        <w:rPr>
          <w:sz w:val="20"/>
          <w:szCs w:val="20"/>
          <w:color w:val="auto"/>
        </w:rPr>
      </w:pPr>
    </w:p>
    <w:p>
      <w:pPr>
        <w:ind w:left="180" w:right="160" w:firstLine="465"/>
        <w:spacing w:after="0" w:line="277" w:lineRule="auto"/>
        <w:rPr>
          <w:sz w:val="20"/>
          <w:szCs w:val="20"/>
          <w:color w:val="auto"/>
        </w:rPr>
      </w:pPr>
      <w:r>
        <w:rPr>
          <w:rFonts w:ascii="Arial" w:cs="Arial" w:eastAsia="Arial" w:hAnsi="Arial"/>
          <w:sz w:val="18"/>
          <w:szCs w:val="18"/>
          <w:color w:val="auto"/>
        </w:rPr>
        <w:t>Market exclusivity provisions under the FDCA also can delay the submission or the approval of certain applications. The FDCA provides a five-year period of non-patent marketing exclusivity within the United States to the first applicant to gain approval of a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126</w:t>
      </w:r>
    </w:p>
    <w:p>
      <w:pPr>
        <w:sectPr>
          <w:pgSz w:w="12240" w:h="15840" w:orient="portrait"/>
          <w:cols w:equalWidth="0" w:num="1">
            <w:col w:w="11820"/>
          </w:cols>
          <w:pgMar w:left="120" w:top="336" w:right="300" w:bottom="1440" w:gutter="0" w:footer="0" w:header="0"/>
        </w:sectPr>
      </w:pPr>
    </w:p>
    <w:bookmarkStart w:id="134" w:name="page135"/>
    <w:bookmarkEnd w:id="13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spacing w:after="0" w:line="269" w:lineRule="auto"/>
        <w:rPr>
          <w:sz w:val="20"/>
          <w:szCs w:val="20"/>
          <w:color w:val="auto"/>
        </w:rPr>
      </w:pPr>
      <w:r>
        <w:rPr>
          <w:rFonts w:ascii="Arial" w:cs="Arial" w:eastAsia="Arial" w:hAnsi="Arial"/>
          <w:sz w:val="18"/>
          <w:szCs w:val="18"/>
          <w:color w:val="auto"/>
        </w:rPr>
        <w:t>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94" w:lineRule="exact"/>
        <w:rPr>
          <w:sz w:val="20"/>
          <w:szCs w:val="20"/>
          <w:color w:val="auto"/>
        </w:rPr>
      </w:pPr>
    </w:p>
    <w:p>
      <w:pPr>
        <w:ind w:left="180" w:right="60" w:firstLine="465"/>
        <w:spacing w:after="0" w:line="285" w:lineRule="auto"/>
        <w:rPr>
          <w:sz w:val="20"/>
          <w:szCs w:val="20"/>
          <w:color w:val="auto"/>
        </w:rPr>
      </w:pPr>
      <w:r>
        <w:rPr>
          <w:rFonts w:ascii="Arial" w:cs="Arial" w:eastAsia="Arial" w:hAnsi="Arial"/>
          <w:sz w:val="17"/>
          <w:szCs w:val="17"/>
          <w:color w:val="auto"/>
        </w:rPr>
        <w:t>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European Union Drug Development</w:t>
      </w:r>
    </w:p>
    <w:p>
      <w:pPr>
        <w:spacing w:after="0" w:line="124" w:lineRule="exact"/>
        <w:rPr>
          <w:sz w:val="20"/>
          <w:szCs w:val="20"/>
          <w:color w:val="auto"/>
        </w:rPr>
      </w:pPr>
    </w:p>
    <w:p>
      <w:pPr>
        <w:ind w:left="180" w:firstLine="465"/>
        <w:spacing w:after="0" w:line="289" w:lineRule="auto"/>
        <w:rPr>
          <w:sz w:val="20"/>
          <w:szCs w:val="20"/>
          <w:color w:val="auto"/>
        </w:rPr>
      </w:pPr>
      <w:r>
        <w:rPr>
          <w:rFonts w:ascii="Arial" w:cs="Arial" w:eastAsia="Arial" w:hAnsi="Arial"/>
          <w:sz w:val="17"/>
          <w:szCs w:val="17"/>
          <w:color w:val="auto"/>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(NCA), and one or more Ethics Committees (ECs). Under the current regime all suspected unexpected serious adverse reactions to the investigated drug that occur during the clinical trial have to be reported to the NCA and ECs of the Member State where they occurred.</w:t>
      </w:r>
    </w:p>
    <w:p>
      <w:pPr>
        <w:spacing w:after="0" w:line="178" w:lineRule="exact"/>
        <w:rPr>
          <w:sz w:val="20"/>
          <w:szCs w:val="20"/>
          <w:color w:val="auto"/>
        </w:rPr>
      </w:pPr>
    </w:p>
    <w:p>
      <w:pPr>
        <w:ind w:left="180" w:right="280" w:firstLine="465"/>
        <w:spacing w:after="0" w:line="259" w:lineRule="auto"/>
        <w:rPr>
          <w:sz w:val="20"/>
          <w:szCs w:val="20"/>
          <w:color w:val="auto"/>
        </w:rPr>
      </w:pPr>
      <w:r>
        <w:rPr>
          <w:rFonts w:ascii="Arial" w:cs="Arial" w:eastAsia="Arial" w:hAnsi="Arial"/>
          <w:sz w:val="19"/>
          <w:szCs w:val="19"/>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 will be identical. In the meantime, Clinical Trials Directive 2001/20/EC continues to govern all clinical trials performed in the EU.</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127</w:t>
      </w:r>
    </w:p>
    <w:p>
      <w:pPr>
        <w:sectPr>
          <w:pgSz w:w="12240" w:h="15840" w:orient="portrait"/>
          <w:cols w:equalWidth="0" w:num="1">
            <w:col w:w="11820"/>
          </w:cols>
          <w:pgMar w:left="120" w:top="336" w:right="300" w:bottom="1440" w:gutter="0" w:footer="0" w:header="0"/>
        </w:sectPr>
      </w:pPr>
    </w:p>
    <w:bookmarkStart w:id="135" w:name="page136"/>
    <w:bookmarkEnd w:id="13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European Union Drug Review and Approval</w:t>
      </w:r>
    </w:p>
    <w:p>
      <w:pPr>
        <w:spacing w:after="0" w:line="124" w:lineRule="exact"/>
        <w:rPr>
          <w:sz w:val="20"/>
          <w:szCs w:val="20"/>
          <w:color w:val="auto"/>
        </w:rPr>
      </w:pPr>
    </w:p>
    <w:p>
      <w:pPr>
        <w:jc w:val="both"/>
        <w:ind w:left="180" w:right="300" w:firstLine="465"/>
        <w:spacing w:after="0" w:line="263" w:lineRule="auto"/>
        <w:rPr>
          <w:sz w:val="20"/>
          <w:szCs w:val="20"/>
          <w:color w:val="auto"/>
        </w:rPr>
      </w:pPr>
      <w:r>
        <w:rPr>
          <w:rFonts w:ascii="Arial" w:cs="Arial" w:eastAsia="Arial" w:hAnsi="Arial"/>
          <w:sz w:val="19"/>
          <w:szCs w:val="19"/>
          <w:color w:val="auto"/>
        </w:rPr>
        <w:t>In the European Economic Area (EEA), which is comprised of the 27 Member States of the European Union (including Norway and excluding Croatia), Iceland and Liechtenstein, medicinal products can only be commercialized after obtaining a Marketing Authorization (MA). There are two types of marketing authorizations.</w:t>
      </w:r>
    </w:p>
    <w:p>
      <w:pPr>
        <w:spacing w:after="0" w:line="95" w:lineRule="exact"/>
        <w:rPr>
          <w:sz w:val="20"/>
          <w:szCs w:val="20"/>
          <w:color w:val="auto"/>
        </w:rPr>
      </w:pPr>
    </w:p>
    <w:p>
      <w:pPr>
        <w:ind w:left="1100" w:hanging="350"/>
        <w:spacing w:after="0" w:line="254" w:lineRule="auto"/>
        <w:tabs>
          <w:tab w:leader="none" w:pos="110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Community MA is issued by the European Commission through the Centralized Procedure, based on the opinion of the Committee for Medicinal Products for Human Use (CHMP), of the European Medicines Agency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103" w:lineRule="exact"/>
        <w:rPr>
          <w:rFonts w:ascii="Arial" w:cs="Arial" w:eastAsia="Arial" w:hAnsi="Arial"/>
          <w:sz w:val="19"/>
          <w:szCs w:val="19"/>
          <w:color w:val="auto"/>
        </w:rPr>
      </w:pPr>
    </w:p>
    <w:p>
      <w:pPr>
        <w:ind w:left="1100" w:right="60" w:hanging="350"/>
        <w:spacing w:after="0" w:line="268" w:lineRule="auto"/>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196" w:lineRule="exact"/>
        <w:rPr>
          <w:sz w:val="20"/>
          <w:szCs w:val="20"/>
          <w:color w:val="auto"/>
        </w:rPr>
      </w:pPr>
    </w:p>
    <w:p>
      <w:pPr>
        <w:ind w:left="180" w:right="120" w:firstLine="465"/>
        <w:spacing w:after="0" w:line="304" w:lineRule="auto"/>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Coverage and Reimbursement</w:t>
      </w:r>
    </w:p>
    <w:p>
      <w:pPr>
        <w:spacing w:after="0" w:line="124" w:lineRule="exact"/>
        <w:rPr>
          <w:sz w:val="20"/>
          <w:szCs w:val="20"/>
          <w:color w:val="auto"/>
        </w:rPr>
      </w:pPr>
    </w:p>
    <w:p>
      <w:pPr>
        <w:ind w:left="180" w:right="100" w:firstLine="465"/>
        <w:spacing w:after="0" w:line="255" w:lineRule="auto"/>
        <w:rPr>
          <w:sz w:val="20"/>
          <w:szCs w:val="20"/>
          <w:color w:val="auto"/>
        </w:rPr>
      </w:pPr>
      <w:r>
        <w:rPr>
          <w:rFonts w:ascii="Arial" w:cs="Arial" w:eastAsia="Arial" w:hAnsi="Arial"/>
          <w:sz w:val="19"/>
          <w:szCs w:val="19"/>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or biological products exists. Accordingly, decisions regarding the extent of coverage and amount of reimbursement to be provided for any of our products will be 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204" w:lineRule="exact"/>
        <w:rPr>
          <w:sz w:val="20"/>
          <w:szCs w:val="20"/>
          <w:color w:val="auto"/>
        </w:rPr>
      </w:pPr>
    </w:p>
    <w:p>
      <w:pPr>
        <w:ind w:left="180" w:right="100" w:firstLine="465"/>
        <w:spacing w:after="0" w:line="255" w:lineRule="auto"/>
        <w:rPr>
          <w:sz w:val="20"/>
          <w:szCs w:val="20"/>
          <w:color w:val="auto"/>
        </w:rPr>
      </w:pPr>
      <w:r>
        <w:rPr>
          <w:rFonts w:ascii="Arial" w:cs="Arial" w:eastAsia="Arial" w:hAnsi="Arial"/>
          <w:sz w:val="19"/>
          <w:szCs w:val="19"/>
          <w:color w:val="auto"/>
        </w:rPr>
        <w:t>The United States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general controls</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128</w:t>
      </w:r>
    </w:p>
    <w:p>
      <w:pPr>
        <w:sectPr>
          <w:pgSz w:w="12240" w:h="15840" w:orient="portrait"/>
          <w:cols w:equalWidth="0" w:num="1">
            <w:col w:w="11820"/>
          </w:cols>
          <w:pgMar w:left="120" w:top="336" w:right="300" w:bottom="1440" w:gutter="0" w:footer="0" w:header="0"/>
        </w:sectPr>
      </w:pPr>
    </w:p>
    <w:bookmarkStart w:id="136" w:name="page137"/>
    <w:bookmarkEnd w:id="13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840"/>
        <w:spacing w:after="0" w:line="275" w:lineRule="auto"/>
        <w:rPr>
          <w:sz w:val="20"/>
          <w:szCs w:val="20"/>
          <w:color w:val="auto"/>
        </w:rPr>
      </w:pPr>
      <w:r>
        <w:rPr>
          <w:rFonts w:ascii="Arial" w:cs="Arial" w:eastAsia="Arial" w:hAnsi="Arial"/>
          <w:sz w:val="19"/>
          <w:szCs w:val="19"/>
          <w:color w:val="auto"/>
        </w:rPr>
        <w:t>and measures, coupled with the tightening of restrictive policies in jurisdictions with existing controls and measures, could limit payments for pharmaceutical drugs.</w:t>
      </w:r>
    </w:p>
    <w:p>
      <w:pPr>
        <w:spacing w:after="0" w:line="184" w:lineRule="exact"/>
        <w:rPr>
          <w:sz w:val="20"/>
          <w:szCs w:val="20"/>
          <w:color w:val="auto"/>
        </w:rPr>
      </w:pPr>
    </w:p>
    <w:p>
      <w:pPr>
        <w:ind w:left="180" w:firstLine="465"/>
        <w:spacing w:after="0" w:line="287" w:lineRule="auto"/>
        <w:rPr>
          <w:sz w:val="20"/>
          <w:szCs w:val="20"/>
          <w:color w:val="auto"/>
        </w:rPr>
      </w:pPr>
      <w:r>
        <w:rPr>
          <w:rFonts w:ascii="Arial" w:cs="Arial" w:eastAsia="Arial" w:hAnsi="Arial"/>
          <w:sz w:val="17"/>
          <w:szCs w:val="17"/>
          <w:color w:val="auto"/>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(AMP), to 23.1% of AMP and adding a new rebate calculation for “line extensions” (i.e.,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The Centers for Medicare &amp; Medicaid Services (CMS), have proposed to expand Medicaid rebate liability to the territories of the United States as well.</w:t>
      </w:r>
    </w:p>
    <w:p>
      <w:pPr>
        <w:spacing w:after="0" w:line="178" w:lineRule="exact"/>
        <w:rPr>
          <w:sz w:val="20"/>
          <w:szCs w:val="20"/>
          <w:color w:val="auto"/>
        </w:rPr>
      </w:pPr>
    </w:p>
    <w:p>
      <w:pPr>
        <w:ind w:left="180" w:right="80" w:firstLine="465"/>
        <w:spacing w:after="0" w:line="268" w:lineRule="auto"/>
        <w:rPr>
          <w:sz w:val="20"/>
          <w:szCs w:val="20"/>
          <w:color w:val="auto"/>
        </w:rPr>
      </w:pPr>
      <w:r>
        <w:rPr>
          <w:rFonts w:ascii="Arial" w:cs="Arial" w:eastAsia="Arial" w:hAnsi="Arial"/>
          <w:sz w:val="18"/>
          <w:szCs w:val="18"/>
          <w:color w:val="auto"/>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93" w:lineRule="exact"/>
        <w:rPr>
          <w:sz w:val="20"/>
          <w:szCs w:val="20"/>
          <w:color w:val="auto"/>
        </w:rPr>
      </w:pPr>
    </w:p>
    <w:p>
      <w:pPr>
        <w:jc w:val="both"/>
        <w:ind w:left="180" w:right="180" w:firstLine="465"/>
        <w:spacing w:after="0" w:line="263" w:lineRule="auto"/>
        <w:rPr>
          <w:sz w:val="20"/>
          <w:szCs w:val="20"/>
          <w:color w:val="auto"/>
        </w:rPr>
      </w:pPr>
      <w:r>
        <w:rPr>
          <w:rFonts w:ascii="Arial" w:cs="Arial" w:eastAsia="Arial" w:hAnsi="Arial"/>
          <w:sz w:val="19"/>
          <w:szCs w:val="19"/>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w:t>
      </w:r>
    </w:p>
    <w:p>
      <w:pPr>
        <w:spacing w:after="0" w:line="194" w:lineRule="exact"/>
        <w:rPr>
          <w:sz w:val="20"/>
          <w:szCs w:val="20"/>
          <w:color w:val="auto"/>
        </w:rPr>
      </w:pPr>
    </w:p>
    <w:p>
      <w:pPr>
        <w:ind w:left="180" w:right="20" w:firstLine="465"/>
        <w:spacing w:after="0" w:line="274" w:lineRule="auto"/>
        <w:rPr>
          <w:sz w:val="20"/>
          <w:szCs w:val="20"/>
          <w:color w:val="auto"/>
        </w:rPr>
      </w:pPr>
      <w:r>
        <w:rPr>
          <w:rFonts w:ascii="Arial" w:cs="Arial" w:eastAsia="Arial" w:hAnsi="Arial"/>
          <w:sz w:val="18"/>
          <w:szCs w:val="18"/>
          <w:color w:val="auto"/>
        </w:rPr>
        <w:t>As noted above, the marketability of any products for which we receive regulatory approval for commercial sale may suffer if the government and third-party payors fail to provide adequate coverage and reimbursement. An increasing emphasis on cost containment measures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8" w:lineRule="exact"/>
        <w:rPr>
          <w:sz w:val="20"/>
          <w:szCs w:val="20"/>
          <w:color w:val="auto"/>
        </w:rPr>
      </w:pPr>
    </w:p>
    <w:p>
      <w:pPr>
        <w:ind w:left="180" w:right="140" w:firstLine="465"/>
        <w:spacing w:after="0" w:line="291" w:lineRule="auto"/>
        <w:rPr>
          <w:sz w:val="20"/>
          <w:szCs w:val="20"/>
          <w:color w:val="auto"/>
        </w:rPr>
      </w:pPr>
      <w:r>
        <w:rPr>
          <w:rFonts w:ascii="Arial" w:cs="Arial" w:eastAsia="Arial" w:hAnsi="Arial"/>
          <w:sz w:val="17"/>
          <w:szCs w:val="17"/>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129</w:t>
      </w:r>
    </w:p>
    <w:p>
      <w:pPr>
        <w:sectPr>
          <w:pgSz w:w="12240" w:h="15840" w:orient="portrait"/>
          <w:cols w:equalWidth="0" w:num="1">
            <w:col w:w="11800"/>
          </w:cols>
          <w:pgMar w:left="120" w:top="336" w:right="320" w:bottom="1440" w:gutter="0" w:footer="0" w:header="0"/>
        </w:sectPr>
      </w:pPr>
    </w:p>
    <w:bookmarkStart w:id="137" w:name="page138"/>
    <w:bookmarkEnd w:id="13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0"/>
        <w:spacing w:after="0" w:line="275" w:lineRule="auto"/>
        <w:rPr>
          <w:sz w:val="20"/>
          <w:szCs w:val="20"/>
          <w:color w:val="auto"/>
        </w:rPr>
      </w:pPr>
      <w:r>
        <w:rPr>
          <w:rFonts w:ascii="Arial" w:cs="Arial" w:eastAsia="Arial" w:hAnsi="Arial"/>
          <w:sz w:val="19"/>
          <w:szCs w:val="19"/>
          <w:color w:val="auto"/>
        </w:rPr>
        <w:t>arrangements for any of our products. Historically, products launched in the European Union do not follow price structures of the United States and generally prices tend to be significantly lower.</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Scientific Advisory Board</w:t>
      </w:r>
    </w:p>
    <w:p>
      <w:pPr>
        <w:spacing w:after="0" w:line="130" w:lineRule="exact"/>
        <w:rPr>
          <w:sz w:val="20"/>
          <w:szCs w:val="20"/>
          <w:color w:val="auto"/>
        </w:rPr>
      </w:pPr>
    </w:p>
    <w:p>
      <w:pPr>
        <w:ind w:left="180" w:right="40" w:firstLine="465"/>
        <w:spacing w:after="0" w:line="308" w:lineRule="auto"/>
        <w:rPr>
          <w:sz w:val="20"/>
          <w:szCs w:val="20"/>
          <w:color w:val="auto"/>
        </w:rPr>
      </w:pPr>
      <w:r>
        <w:rPr>
          <w:rFonts w:ascii="Arial" w:cs="Arial" w:eastAsia="Arial" w:hAnsi="Arial"/>
          <w:sz w:val="17"/>
          <w:szCs w:val="17"/>
          <w:color w:val="auto"/>
        </w:rPr>
        <w:t>We have assembled a highly qualified scientific advisory board comprised of advisors who have, collectively, deep expertise in neurodegenerative diseases, genomics, protein engineering, drug development, and drug discovery as well as translational medicine. Our scientists work in collaboration with these advisors to identify new disease targets, develop a biomarker strategy, and accelerate discovery and development.</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180"/>
        </w:trPr>
        <w:tc>
          <w:tcPr>
            <w:tcW w:w="3840" w:type="dxa"/>
            <w:vAlign w:val="bottom"/>
            <w:gridSpan w:val="3"/>
          </w:tcPr>
          <w:p>
            <w:pPr>
              <w:spacing w:after="0"/>
              <w:rPr>
                <w:sz w:val="20"/>
                <w:szCs w:val="20"/>
                <w:color w:val="auto"/>
              </w:rPr>
            </w:pPr>
            <w:r>
              <w:rPr>
                <w:rFonts w:ascii="Arial" w:cs="Arial" w:eastAsia="Arial" w:hAnsi="Arial"/>
                <w:sz w:val="15"/>
                <w:szCs w:val="15"/>
                <w:b w:val="1"/>
                <w:bCs w:val="1"/>
                <w:color w:val="auto"/>
              </w:rPr>
              <w:t>Name</w:t>
            </w:r>
          </w:p>
        </w:tc>
        <w:tc>
          <w:tcPr>
            <w:tcW w:w="860" w:type="dxa"/>
            <w:vAlign w:val="bottom"/>
          </w:tcPr>
          <w:p>
            <w:pPr>
              <w:spacing w:after="0"/>
              <w:rPr>
                <w:sz w:val="15"/>
                <w:szCs w:val="15"/>
                <w:color w:val="auto"/>
              </w:rPr>
            </w:pPr>
          </w:p>
        </w:tc>
        <w:tc>
          <w:tcPr>
            <w:tcW w:w="5980" w:type="dxa"/>
            <w:vAlign w:val="bottom"/>
          </w:tcPr>
          <w:p>
            <w:pPr>
              <w:ind w:left="2460"/>
              <w:spacing w:after="0"/>
              <w:rPr>
                <w:sz w:val="20"/>
                <w:szCs w:val="20"/>
                <w:color w:val="auto"/>
              </w:rPr>
            </w:pPr>
            <w:r>
              <w:rPr>
                <w:rFonts w:ascii="Arial" w:cs="Arial" w:eastAsia="Arial" w:hAnsi="Arial"/>
                <w:sz w:val="15"/>
                <w:szCs w:val="15"/>
                <w:b w:val="1"/>
                <w:bCs w:val="1"/>
                <w:color w:val="auto"/>
              </w:rPr>
              <w:t>Affiliated Entity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line="217" w:lineRule="exact"/>
              <w:rPr>
                <w:sz w:val="20"/>
                <w:szCs w:val="20"/>
                <w:color w:val="auto"/>
              </w:rPr>
            </w:pPr>
            <w:r>
              <w:rPr>
                <w:rFonts w:ascii="Arial" w:cs="Arial" w:eastAsia="Arial" w:hAnsi="Arial"/>
                <w:sz w:val="19"/>
                <w:szCs w:val="19"/>
                <w:color w:val="auto"/>
              </w:rPr>
              <w:t>Adam Boxer, M.D., Ph.D.</w:t>
            </w:r>
          </w:p>
        </w:tc>
        <w:tc>
          <w:tcPr>
            <w:tcW w:w="86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line="217" w:lineRule="exact"/>
              <w:rPr>
                <w:sz w:val="20"/>
                <w:szCs w:val="20"/>
                <w:color w:val="auto"/>
              </w:rPr>
            </w:pPr>
            <w:r>
              <w:rPr>
                <w:rFonts w:ascii="Arial" w:cs="Arial" w:eastAsia="Arial" w:hAnsi="Arial"/>
                <w:sz w:val="19"/>
                <w:szCs w:val="19"/>
                <w:color w:val="auto"/>
              </w:rPr>
              <w:t>Director of UCSF Neuroscience Clinical Research Unit</w:t>
            </w:r>
          </w:p>
        </w:tc>
        <w:tc>
          <w:tcPr>
            <w:tcW w:w="0" w:type="dxa"/>
            <w:vAlign w:val="bottom"/>
          </w:tcPr>
          <w:p>
            <w:pPr>
              <w:spacing w:after="0"/>
              <w:rPr>
                <w:sz w:val="1"/>
                <w:szCs w:val="1"/>
                <w:color w:val="auto"/>
              </w:rPr>
            </w:pPr>
          </w:p>
        </w:tc>
      </w:tr>
      <w:tr>
        <w:trPr>
          <w:trHeight w:val="341"/>
        </w:trPr>
        <w:tc>
          <w:tcPr>
            <w:tcW w:w="3840" w:type="dxa"/>
            <w:vAlign w:val="bottom"/>
            <w:gridSpan w:val="3"/>
          </w:tcPr>
          <w:p>
            <w:pPr>
              <w:spacing w:after="0"/>
              <w:rPr>
                <w:sz w:val="20"/>
                <w:szCs w:val="20"/>
                <w:color w:val="auto"/>
              </w:rPr>
            </w:pPr>
            <w:r>
              <w:rPr>
                <w:rFonts w:ascii="Arial" w:cs="Arial" w:eastAsia="Arial" w:hAnsi="Arial"/>
                <w:sz w:val="19"/>
                <w:szCs w:val="19"/>
                <w:color w:val="auto"/>
              </w:rPr>
              <w:t>Marco Colonna, M.D.</w:t>
            </w:r>
          </w:p>
        </w:tc>
        <w:tc>
          <w:tcPr>
            <w:tcW w:w="6840" w:type="dxa"/>
            <w:vAlign w:val="bottom"/>
            <w:gridSpan w:val="2"/>
          </w:tcPr>
          <w:p>
            <w:pPr>
              <w:ind w:left="860"/>
              <w:spacing w:after="0"/>
              <w:rPr>
                <w:sz w:val="20"/>
                <w:szCs w:val="20"/>
                <w:color w:val="auto"/>
              </w:rPr>
            </w:pPr>
            <w:r>
              <w:rPr>
                <w:rFonts w:ascii="Arial" w:cs="Arial" w:eastAsia="Arial" w:hAnsi="Arial"/>
                <w:sz w:val="19"/>
                <w:szCs w:val="19"/>
                <w:color w:val="auto"/>
              </w:rPr>
              <w:t>Washington University School of Medicine in St. Louis</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Stephen Hauser, M.D.</w:t>
            </w:r>
          </w:p>
        </w:tc>
        <w:tc>
          <w:tcPr>
            <w:tcW w:w="6840" w:type="dxa"/>
            <w:vAlign w:val="bottom"/>
            <w:gridSpan w:val="2"/>
            <w:shd w:val="clear" w:color="auto" w:fill="CCEEFF"/>
          </w:tcPr>
          <w:p>
            <w:pPr>
              <w:ind w:left="860"/>
              <w:spacing w:after="0"/>
              <w:rPr>
                <w:sz w:val="20"/>
                <w:szCs w:val="20"/>
                <w:color w:val="auto"/>
              </w:rPr>
            </w:pPr>
            <w:r>
              <w:rPr>
                <w:rFonts w:ascii="Arial" w:cs="Arial" w:eastAsia="Arial" w:hAnsi="Arial"/>
                <w:sz w:val="19"/>
                <w:szCs w:val="19"/>
                <w:color w:val="auto"/>
              </w:rPr>
              <w:t>Chair of the Department of Neurology at UCSF</w:t>
            </w:r>
          </w:p>
        </w:tc>
        <w:tc>
          <w:tcPr>
            <w:tcW w:w="0" w:type="dxa"/>
            <w:vAlign w:val="bottom"/>
          </w:tcPr>
          <w:p>
            <w:pPr>
              <w:spacing w:after="0"/>
              <w:rPr>
                <w:sz w:val="1"/>
                <w:szCs w:val="1"/>
                <w:color w:val="auto"/>
              </w:rPr>
            </w:pPr>
          </w:p>
        </w:tc>
      </w:tr>
      <w:tr>
        <w:trPr>
          <w:trHeight w:val="341"/>
        </w:trPr>
        <w:tc>
          <w:tcPr>
            <w:tcW w:w="3840" w:type="dxa"/>
            <w:vAlign w:val="bottom"/>
            <w:gridSpan w:val="3"/>
          </w:tcPr>
          <w:p>
            <w:pPr>
              <w:spacing w:after="0"/>
              <w:rPr>
                <w:sz w:val="20"/>
                <w:szCs w:val="20"/>
                <w:color w:val="auto"/>
              </w:rPr>
            </w:pPr>
            <w:r>
              <w:rPr>
                <w:rFonts w:ascii="Arial" w:cs="Arial" w:eastAsia="Arial" w:hAnsi="Arial"/>
                <w:sz w:val="19"/>
                <w:szCs w:val="19"/>
                <w:color w:val="auto"/>
              </w:rPr>
              <w:t>Michael Heneka, M.D.</w:t>
            </w:r>
          </w:p>
        </w:tc>
        <w:tc>
          <w:tcPr>
            <w:tcW w:w="6840" w:type="dxa"/>
            <w:vAlign w:val="bottom"/>
            <w:gridSpan w:val="2"/>
          </w:tcPr>
          <w:p>
            <w:pPr>
              <w:ind w:left="860"/>
              <w:spacing w:after="0"/>
              <w:rPr>
                <w:sz w:val="20"/>
                <w:szCs w:val="20"/>
                <w:color w:val="auto"/>
              </w:rPr>
            </w:pPr>
            <w:r>
              <w:rPr>
                <w:rFonts w:ascii="Arial" w:cs="Arial" w:eastAsia="Arial" w:hAnsi="Arial"/>
                <w:sz w:val="19"/>
                <w:szCs w:val="19"/>
                <w:color w:val="auto"/>
              </w:rPr>
              <w:t>Chair of the Department of Neurology at University of Bonn</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Lewis Lanier, Ph.D.</w:t>
            </w:r>
          </w:p>
        </w:tc>
        <w:tc>
          <w:tcPr>
            <w:tcW w:w="6840" w:type="dxa"/>
            <w:vAlign w:val="bottom"/>
            <w:gridSpan w:val="2"/>
            <w:shd w:val="clear" w:color="auto" w:fill="CCEEFF"/>
          </w:tcPr>
          <w:p>
            <w:pPr>
              <w:ind w:left="860"/>
              <w:spacing w:after="0"/>
              <w:rPr>
                <w:sz w:val="20"/>
                <w:szCs w:val="20"/>
                <w:color w:val="auto"/>
              </w:rPr>
            </w:pPr>
            <w:r>
              <w:rPr>
                <w:rFonts w:ascii="Arial" w:cs="Arial" w:eastAsia="Arial" w:hAnsi="Arial"/>
                <w:sz w:val="19"/>
                <w:szCs w:val="19"/>
                <w:color w:val="auto"/>
              </w:rPr>
              <w:t>Chair of the Department of Microbiology and Immunology at UCSF</w:t>
            </w:r>
          </w:p>
        </w:tc>
        <w:tc>
          <w:tcPr>
            <w:tcW w:w="0" w:type="dxa"/>
            <w:vAlign w:val="bottom"/>
          </w:tcPr>
          <w:p>
            <w:pPr>
              <w:spacing w:after="0"/>
              <w:rPr>
                <w:sz w:val="1"/>
                <w:szCs w:val="1"/>
                <w:color w:val="auto"/>
              </w:rPr>
            </w:pPr>
          </w:p>
        </w:tc>
      </w:tr>
      <w:tr>
        <w:trPr>
          <w:trHeight w:val="341"/>
        </w:trPr>
        <w:tc>
          <w:tcPr>
            <w:tcW w:w="3840" w:type="dxa"/>
            <w:vAlign w:val="bottom"/>
            <w:gridSpan w:val="3"/>
          </w:tcPr>
          <w:p>
            <w:pPr>
              <w:spacing w:after="0"/>
              <w:rPr>
                <w:sz w:val="20"/>
                <w:szCs w:val="20"/>
                <w:color w:val="auto"/>
              </w:rPr>
            </w:pPr>
            <w:r>
              <w:rPr>
                <w:rFonts w:ascii="Arial" w:cs="Arial" w:eastAsia="Arial" w:hAnsi="Arial"/>
                <w:sz w:val="19"/>
                <w:szCs w:val="19"/>
                <w:color w:val="auto"/>
              </w:rPr>
              <w:t>Liqun Luo, Ph.D.</w:t>
            </w:r>
          </w:p>
        </w:tc>
        <w:tc>
          <w:tcPr>
            <w:tcW w:w="6840" w:type="dxa"/>
            <w:vAlign w:val="bottom"/>
            <w:gridSpan w:val="2"/>
          </w:tcPr>
          <w:p>
            <w:pPr>
              <w:ind w:left="860"/>
              <w:spacing w:after="0"/>
              <w:rPr>
                <w:sz w:val="20"/>
                <w:szCs w:val="20"/>
                <w:color w:val="auto"/>
              </w:rPr>
            </w:pPr>
            <w:r>
              <w:rPr>
                <w:rFonts w:ascii="Arial" w:cs="Arial" w:eastAsia="Arial" w:hAnsi="Arial"/>
                <w:sz w:val="19"/>
                <w:szCs w:val="19"/>
                <w:color w:val="auto"/>
              </w:rPr>
              <w:t>Member of National Academy of Sciences, Stanford University</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Bruce Miller, M.D.</w:t>
            </w:r>
          </w:p>
        </w:tc>
        <w:tc>
          <w:tcPr>
            <w:tcW w:w="6840" w:type="dxa"/>
            <w:vAlign w:val="bottom"/>
            <w:gridSpan w:val="2"/>
            <w:shd w:val="clear" w:color="auto" w:fill="CCEEFF"/>
          </w:tcPr>
          <w:p>
            <w:pPr>
              <w:ind w:left="860"/>
              <w:spacing w:after="0"/>
              <w:rPr>
                <w:sz w:val="20"/>
                <w:szCs w:val="20"/>
                <w:color w:val="auto"/>
              </w:rPr>
            </w:pPr>
            <w:r>
              <w:rPr>
                <w:rFonts w:ascii="Arial" w:cs="Arial" w:eastAsia="Arial" w:hAnsi="Arial"/>
                <w:sz w:val="19"/>
                <w:szCs w:val="19"/>
                <w:color w:val="auto"/>
              </w:rPr>
              <w:t>Director of UCSF Dementia Center</w:t>
            </w:r>
          </w:p>
        </w:tc>
        <w:tc>
          <w:tcPr>
            <w:tcW w:w="0" w:type="dxa"/>
            <w:vAlign w:val="bottom"/>
          </w:tcPr>
          <w:p>
            <w:pPr>
              <w:spacing w:after="0"/>
              <w:rPr>
                <w:sz w:val="1"/>
                <w:szCs w:val="1"/>
                <w:color w:val="auto"/>
              </w:rPr>
            </w:pPr>
          </w:p>
        </w:tc>
      </w:tr>
      <w:tr>
        <w:trPr>
          <w:trHeight w:val="341"/>
        </w:trPr>
        <w:tc>
          <w:tcPr>
            <w:tcW w:w="3840" w:type="dxa"/>
            <w:vAlign w:val="bottom"/>
            <w:gridSpan w:val="3"/>
          </w:tcPr>
          <w:p>
            <w:pPr>
              <w:spacing w:after="0"/>
              <w:rPr>
                <w:sz w:val="20"/>
                <w:szCs w:val="20"/>
                <w:color w:val="auto"/>
              </w:rPr>
            </w:pPr>
            <w:r>
              <w:rPr>
                <w:rFonts w:ascii="Arial" w:cs="Arial" w:eastAsia="Arial" w:hAnsi="Arial"/>
                <w:sz w:val="19"/>
                <w:szCs w:val="19"/>
                <w:color w:val="auto"/>
              </w:rPr>
              <w:t>Richard Scheller, Ph.D.</w:t>
            </w:r>
          </w:p>
        </w:tc>
        <w:tc>
          <w:tcPr>
            <w:tcW w:w="6840" w:type="dxa"/>
            <w:vAlign w:val="bottom"/>
            <w:gridSpan w:val="2"/>
          </w:tcPr>
          <w:p>
            <w:pPr>
              <w:ind w:left="860"/>
              <w:spacing w:after="0"/>
              <w:rPr>
                <w:sz w:val="20"/>
                <w:szCs w:val="20"/>
                <w:color w:val="auto"/>
              </w:rPr>
            </w:pPr>
            <w:r>
              <w:rPr>
                <w:rFonts w:ascii="Arial" w:cs="Arial" w:eastAsia="Arial" w:hAnsi="Arial"/>
                <w:sz w:val="19"/>
                <w:szCs w:val="19"/>
                <w:color w:val="auto"/>
              </w:rPr>
              <w:t>Member of National Academy of Sciences, 23andMe</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Thomas Christian Südhof, M.D., Ph.D.</w:t>
            </w:r>
          </w:p>
        </w:tc>
        <w:tc>
          <w:tcPr>
            <w:tcW w:w="6840" w:type="dxa"/>
            <w:vAlign w:val="bottom"/>
            <w:gridSpan w:val="2"/>
            <w:shd w:val="clear" w:color="auto" w:fill="CCEEFF"/>
          </w:tcPr>
          <w:p>
            <w:pPr>
              <w:ind w:left="860"/>
              <w:spacing w:after="0"/>
              <w:rPr>
                <w:sz w:val="20"/>
                <w:szCs w:val="20"/>
                <w:color w:val="auto"/>
              </w:rPr>
            </w:pPr>
            <w:r>
              <w:rPr>
                <w:rFonts w:ascii="Arial" w:cs="Arial" w:eastAsia="Arial" w:hAnsi="Arial"/>
                <w:sz w:val="19"/>
                <w:szCs w:val="19"/>
                <w:color w:val="auto"/>
              </w:rPr>
              <w:t>Nobel Laureate, Stanford University</w:t>
            </w:r>
          </w:p>
        </w:tc>
        <w:tc>
          <w:tcPr>
            <w:tcW w:w="0" w:type="dxa"/>
            <w:vAlign w:val="bottom"/>
          </w:tcPr>
          <w:p>
            <w:pPr>
              <w:spacing w:after="0"/>
              <w:rPr>
                <w:sz w:val="1"/>
                <w:szCs w:val="1"/>
                <w:color w:val="auto"/>
              </w:rPr>
            </w:pPr>
          </w:p>
        </w:tc>
      </w:tr>
      <w:tr>
        <w:trPr>
          <w:trHeight w:val="341"/>
        </w:trPr>
        <w:tc>
          <w:tcPr>
            <w:tcW w:w="3840" w:type="dxa"/>
            <w:vAlign w:val="bottom"/>
            <w:gridSpan w:val="3"/>
          </w:tcPr>
          <w:p>
            <w:pPr>
              <w:spacing w:after="0"/>
              <w:rPr>
                <w:sz w:val="20"/>
                <w:szCs w:val="20"/>
                <w:color w:val="auto"/>
              </w:rPr>
            </w:pPr>
            <w:r>
              <w:rPr>
                <w:rFonts w:ascii="Arial" w:cs="Arial" w:eastAsia="Arial" w:hAnsi="Arial"/>
                <w:sz w:val="19"/>
                <w:szCs w:val="19"/>
                <w:color w:val="auto"/>
              </w:rPr>
              <w:t>Robert Vassar, Ph.D.</w:t>
            </w:r>
          </w:p>
        </w:tc>
        <w:tc>
          <w:tcPr>
            <w:tcW w:w="6840" w:type="dxa"/>
            <w:vAlign w:val="bottom"/>
            <w:gridSpan w:val="2"/>
          </w:tcPr>
          <w:p>
            <w:pPr>
              <w:ind w:left="860"/>
              <w:spacing w:after="0"/>
              <w:rPr>
                <w:sz w:val="20"/>
                <w:szCs w:val="20"/>
                <w:color w:val="auto"/>
              </w:rPr>
            </w:pPr>
            <w:r>
              <w:rPr>
                <w:rFonts w:ascii="Arial" w:cs="Arial" w:eastAsia="Arial" w:hAnsi="Arial"/>
                <w:sz w:val="19"/>
                <w:szCs w:val="19"/>
                <w:color w:val="auto"/>
              </w:rPr>
              <w:t>Feinberg School of Medicine</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Employees</w:t>
      </w:r>
    </w:p>
    <w:p>
      <w:pPr>
        <w:spacing w:after="0" w:line="130" w:lineRule="exact"/>
        <w:rPr>
          <w:sz w:val="20"/>
          <w:szCs w:val="20"/>
          <w:color w:val="auto"/>
        </w:rPr>
      </w:pPr>
    </w:p>
    <w:p>
      <w:pPr>
        <w:ind w:left="180" w:right="120" w:firstLine="465"/>
        <w:spacing w:after="0" w:line="275" w:lineRule="auto"/>
        <w:rPr>
          <w:sz w:val="20"/>
          <w:szCs w:val="20"/>
          <w:color w:val="auto"/>
        </w:rPr>
      </w:pPr>
      <w:r>
        <w:rPr>
          <w:rFonts w:ascii="Arial" w:cs="Arial" w:eastAsia="Arial" w:hAnsi="Arial"/>
          <w:sz w:val="19"/>
          <w:szCs w:val="19"/>
          <w:color w:val="auto"/>
        </w:rPr>
        <w:t>As of December 31, 2018, we had 78 full-time employees, over 75% of whom were engaged in research and development activities. None of our employees are represented by a labor union or covered under a collective bargaining agreement.</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Facilities</w:t>
      </w:r>
    </w:p>
    <w:p>
      <w:pPr>
        <w:spacing w:after="0" w:line="130" w:lineRule="exact"/>
        <w:rPr>
          <w:sz w:val="20"/>
          <w:szCs w:val="20"/>
          <w:color w:val="auto"/>
        </w:rPr>
      </w:pPr>
    </w:p>
    <w:p>
      <w:pPr>
        <w:ind w:left="180" w:right="60" w:firstLine="465"/>
        <w:spacing w:after="0" w:line="282" w:lineRule="auto"/>
        <w:rPr>
          <w:sz w:val="20"/>
          <w:szCs w:val="20"/>
          <w:color w:val="auto"/>
        </w:rPr>
      </w:pPr>
      <w:r>
        <w:rPr>
          <w:rFonts w:ascii="Arial" w:cs="Arial" w:eastAsia="Arial" w:hAnsi="Arial"/>
          <w:sz w:val="17"/>
          <w:szCs w:val="17"/>
          <w:color w:val="auto"/>
        </w:rPr>
        <w:t>Our corporate headquarters are currently located in South San Francisco, California, where we lease 15,748 square feet of office, research and development, engineering, and laboratory space pursuant to a lease agreement that expires in April 2019. We lease 8,763 square feet of additional office and laboratory space in Milpitas, California. In order to accommodate our anticipated growth in connection with our future development and commercialization efforts, we recently entered into a lease agreement for new corporate headquarters. Our new corporate headquarters will provide for approximately 105,000 square feet of office and laboratory space in South San Francisco, California. The term of the lease agreement expires 10 years from the later date of when the premises are ready for occupancy and May 1, 2019, with an option to extend the term of the lease for an additional</w:t>
      </w:r>
    </w:p>
    <w:p>
      <w:pPr>
        <w:spacing w:after="0" w:line="4" w:lineRule="exact"/>
        <w:rPr>
          <w:sz w:val="20"/>
          <w:szCs w:val="20"/>
          <w:color w:val="auto"/>
        </w:rPr>
      </w:pPr>
    </w:p>
    <w:p>
      <w:pPr>
        <w:jc w:val="both"/>
        <w:ind w:left="180"/>
        <w:spacing w:after="0" w:line="276" w:lineRule="auto"/>
        <w:rPr>
          <w:sz w:val="20"/>
          <w:szCs w:val="20"/>
          <w:color w:val="auto"/>
        </w:rPr>
      </w:pPr>
      <w:r>
        <w:rPr>
          <w:rFonts w:ascii="Arial" w:cs="Arial" w:eastAsia="Arial" w:hAnsi="Arial"/>
          <w:sz w:val="18"/>
          <w:szCs w:val="18"/>
          <w:color w:val="auto"/>
        </w:rPr>
        <w:t>10 years. The new lease agreement also provides us a right of first offer to expand into available office space in the building. We currently anticipate that we will begin occupying this new space beginning in May 2019. We believe that these facilities will be adequate for our near-term needs. If required, we believe that suitable additional or alternative space would be available in the future on commercially reasonable terms.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Legal Proceedings</w:t>
      </w:r>
    </w:p>
    <w:p>
      <w:pPr>
        <w:spacing w:after="0" w:line="130" w:lineRule="exact"/>
        <w:rPr>
          <w:sz w:val="20"/>
          <w:szCs w:val="20"/>
          <w:color w:val="auto"/>
        </w:rPr>
      </w:pPr>
    </w:p>
    <w:p>
      <w:pPr>
        <w:ind w:left="180" w:right="220" w:firstLine="465"/>
        <w:spacing w:after="0" w:line="284" w:lineRule="auto"/>
        <w:rPr>
          <w:sz w:val="20"/>
          <w:szCs w:val="20"/>
          <w:color w:val="auto"/>
        </w:rPr>
      </w:pPr>
      <w:r>
        <w:rPr>
          <w:rFonts w:ascii="Arial" w:cs="Arial" w:eastAsia="Arial" w:hAnsi="Arial"/>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130</w:t>
      </w:r>
    </w:p>
    <w:p>
      <w:pPr>
        <w:sectPr>
          <w:pgSz w:w="12240" w:h="15840" w:orient="portrait"/>
          <w:cols w:equalWidth="0" w:num="1">
            <w:col w:w="11800"/>
          </w:cols>
          <w:pgMar w:left="120" w:top="336" w:right="320" w:bottom="1440" w:gutter="0" w:footer="0" w:header="0"/>
        </w:sectPr>
      </w:pPr>
    </w:p>
    <w:bookmarkStart w:id="138" w:name="page139"/>
    <w:bookmarkEnd w:id="13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MANAGEMENT</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Executive Officers and Directors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table sets forth the names, ages, and positions of our executive officers and directors as of December 31, 2018:</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4960" w:type="dxa"/>
            <w:vAlign w:val="bottom"/>
            <w:gridSpan w:val="3"/>
          </w:tcPr>
          <w:p>
            <w:pPr>
              <w:ind w:left="2180"/>
              <w:spacing w:after="0"/>
              <w:rPr>
                <w:sz w:val="20"/>
                <w:szCs w:val="20"/>
                <w:color w:val="auto"/>
              </w:rPr>
            </w:pPr>
            <w:r>
              <w:rPr>
                <w:rFonts w:ascii="Arial" w:cs="Arial" w:eastAsia="Arial" w:hAnsi="Arial"/>
                <w:sz w:val="15"/>
                <w:szCs w:val="15"/>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w w:val="84"/>
              </w:rPr>
              <w:t>Age</w:t>
            </w:r>
          </w:p>
        </w:tc>
        <w:tc>
          <w:tcPr>
            <w:tcW w:w="4160" w:type="dxa"/>
            <w:vAlign w:val="bottom"/>
            <w:gridSpan w:val="3"/>
          </w:tcPr>
          <w:p>
            <w:pPr>
              <w:ind w:left="3080"/>
              <w:spacing w:after="0"/>
              <w:rPr>
                <w:sz w:val="20"/>
                <w:szCs w:val="20"/>
                <w:color w:val="auto"/>
              </w:rPr>
            </w:pPr>
            <w:r>
              <w:rPr>
                <w:rFonts w:ascii="Arial" w:cs="Arial" w:eastAsia="Arial" w:hAnsi="Arial"/>
                <w:sz w:val="15"/>
                <w:szCs w:val="15"/>
                <w:b w:val="1"/>
                <w:bCs w:val="1"/>
                <w:color w:val="auto"/>
              </w:rPr>
              <w:t>Position</w:t>
            </w:r>
          </w:p>
        </w:tc>
      </w:tr>
      <w:tr>
        <w:trPr>
          <w:trHeight w:val="208"/>
        </w:trPr>
        <w:tc>
          <w:tcPr>
            <w:tcW w:w="2180" w:type="dxa"/>
            <w:vAlign w:val="bottom"/>
          </w:tcPr>
          <w:p>
            <w:pPr>
              <w:spacing w:after="0" w:line="208" w:lineRule="exact"/>
              <w:rPr>
                <w:sz w:val="20"/>
                <w:szCs w:val="20"/>
                <w:color w:val="auto"/>
              </w:rPr>
            </w:pPr>
            <w:r>
              <w:rPr>
                <w:rFonts w:ascii="Arial" w:cs="Arial" w:eastAsia="Arial" w:hAnsi="Arial"/>
                <w:sz w:val="19"/>
                <w:szCs w:val="19"/>
                <w:b w:val="1"/>
                <w:bCs w:val="1"/>
                <w:i w:val="1"/>
                <w:iCs w:val="1"/>
                <w:color w:val="auto"/>
              </w:rPr>
              <w:t>Executive Officers:</w:t>
            </w:r>
          </w:p>
        </w:tc>
        <w:tc>
          <w:tcPr>
            <w:tcW w:w="380" w:type="dxa"/>
            <w:vAlign w:val="bottom"/>
            <w:tcBorders>
              <w:top w:val="single" w:sz="8" w:color="auto"/>
            </w:tcBorders>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r>
      <w:tr>
        <w:trPr>
          <w:trHeight w:val="228"/>
        </w:trPr>
        <w:tc>
          <w:tcPr>
            <w:tcW w:w="4960" w:type="dxa"/>
            <w:vAlign w:val="bottom"/>
            <w:gridSpan w:val="3"/>
          </w:tcPr>
          <w:p>
            <w:pPr>
              <w:ind w:left="380"/>
              <w:spacing w:after="0"/>
              <w:rPr>
                <w:sz w:val="20"/>
                <w:szCs w:val="20"/>
                <w:color w:val="auto"/>
              </w:rPr>
            </w:pPr>
            <w:r>
              <w:rPr>
                <w:rFonts w:ascii="Arial" w:cs="Arial" w:eastAsia="Arial" w:hAnsi="Arial"/>
                <w:sz w:val="19"/>
                <w:szCs w:val="19"/>
                <w:color w:val="auto"/>
              </w:rPr>
              <w:t>Arnon Rosenthal, Ph.D.</w:t>
            </w:r>
          </w:p>
        </w:tc>
        <w:tc>
          <w:tcPr>
            <w:tcW w:w="260" w:type="dxa"/>
            <w:vAlign w:val="bottom"/>
          </w:tcPr>
          <w:p>
            <w:pPr>
              <w:jc w:val="right"/>
              <w:spacing w:after="0"/>
              <w:rPr>
                <w:sz w:val="20"/>
                <w:szCs w:val="20"/>
                <w:color w:val="auto"/>
              </w:rPr>
            </w:pPr>
            <w:r>
              <w:rPr>
                <w:rFonts w:ascii="Arial" w:cs="Arial" w:eastAsia="Arial" w:hAnsi="Arial"/>
                <w:sz w:val="19"/>
                <w:szCs w:val="19"/>
                <w:color w:val="auto"/>
              </w:rPr>
              <w:t>63</w:t>
            </w:r>
          </w:p>
        </w:tc>
        <w:tc>
          <w:tcPr>
            <w:tcW w:w="4160" w:type="dxa"/>
            <w:vAlign w:val="bottom"/>
            <w:gridSpan w:val="3"/>
          </w:tcPr>
          <w:p>
            <w:pPr>
              <w:ind w:left="280"/>
              <w:spacing w:after="0"/>
              <w:rPr>
                <w:sz w:val="20"/>
                <w:szCs w:val="20"/>
                <w:color w:val="auto"/>
              </w:rPr>
            </w:pPr>
            <w:r>
              <w:rPr>
                <w:rFonts w:ascii="Arial" w:cs="Arial" w:eastAsia="Arial" w:hAnsi="Arial"/>
                <w:sz w:val="19"/>
                <w:szCs w:val="19"/>
                <w:color w:val="auto"/>
                <w:w w:val="92"/>
              </w:rPr>
              <w:t>Co-Founder, Chief Executive Officer, and Director</w:t>
            </w:r>
          </w:p>
        </w:tc>
      </w:tr>
      <w:tr>
        <w:trPr>
          <w:trHeight w:val="228"/>
        </w:trPr>
        <w:tc>
          <w:tcPr>
            <w:tcW w:w="4960" w:type="dxa"/>
            <w:vAlign w:val="bottom"/>
            <w:gridSpan w:val="3"/>
          </w:tcPr>
          <w:p>
            <w:pPr>
              <w:ind w:left="380"/>
              <w:spacing w:after="0"/>
              <w:rPr>
                <w:sz w:val="20"/>
                <w:szCs w:val="20"/>
                <w:color w:val="auto"/>
              </w:rPr>
            </w:pPr>
            <w:r>
              <w:rPr>
                <w:rFonts w:ascii="Arial" w:cs="Arial" w:eastAsia="Arial" w:hAnsi="Arial"/>
                <w:sz w:val="19"/>
                <w:szCs w:val="19"/>
                <w:color w:val="auto"/>
              </w:rPr>
              <w:t>Robert Paul, M.D., Ph.D.</w:t>
            </w:r>
          </w:p>
        </w:tc>
        <w:tc>
          <w:tcPr>
            <w:tcW w:w="260" w:type="dxa"/>
            <w:vAlign w:val="bottom"/>
          </w:tcPr>
          <w:p>
            <w:pPr>
              <w:jc w:val="right"/>
              <w:spacing w:after="0"/>
              <w:rPr>
                <w:sz w:val="20"/>
                <w:szCs w:val="20"/>
                <w:color w:val="auto"/>
              </w:rPr>
            </w:pPr>
            <w:r>
              <w:rPr>
                <w:rFonts w:ascii="Arial" w:cs="Arial" w:eastAsia="Arial" w:hAnsi="Arial"/>
                <w:sz w:val="19"/>
                <w:szCs w:val="19"/>
                <w:color w:val="auto"/>
              </w:rPr>
              <w:t>51</w:t>
            </w:r>
          </w:p>
        </w:tc>
        <w:tc>
          <w:tcPr>
            <w:tcW w:w="4160" w:type="dxa"/>
            <w:vAlign w:val="bottom"/>
            <w:gridSpan w:val="3"/>
          </w:tcPr>
          <w:p>
            <w:pPr>
              <w:ind w:left="280"/>
              <w:spacing w:after="0"/>
              <w:rPr>
                <w:sz w:val="20"/>
                <w:szCs w:val="20"/>
                <w:color w:val="auto"/>
              </w:rPr>
            </w:pPr>
            <w:r>
              <w:rPr>
                <w:rFonts w:ascii="Arial" w:cs="Arial" w:eastAsia="Arial" w:hAnsi="Arial"/>
                <w:sz w:val="19"/>
                <w:szCs w:val="19"/>
                <w:color w:val="auto"/>
              </w:rPr>
              <w:t>Chief Medical Officer</w:t>
            </w:r>
          </w:p>
        </w:tc>
      </w:tr>
      <w:tr>
        <w:trPr>
          <w:trHeight w:val="228"/>
        </w:trPr>
        <w:tc>
          <w:tcPr>
            <w:tcW w:w="4960" w:type="dxa"/>
            <w:vAlign w:val="bottom"/>
            <w:gridSpan w:val="3"/>
          </w:tcPr>
          <w:p>
            <w:pPr>
              <w:ind w:left="380"/>
              <w:spacing w:after="0"/>
              <w:rPr>
                <w:sz w:val="20"/>
                <w:szCs w:val="20"/>
                <w:color w:val="auto"/>
              </w:rPr>
            </w:pPr>
            <w:r>
              <w:rPr>
                <w:rFonts w:ascii="Arial" w:cs="Arial" w:eastAsia="Arial" w:hAnsi="Arial"/>
                <w:sz w:val="19"/>
                <w:szCs w:val="19"/>
                <w:color w:val="auto"/>
              </w:rPr>
              <w:t>Robert King, Ph.D.</w:t>
            </w:r>
          </w:p>
        </w:tc>
        <w:tc>
          <w:tcPr>
            <w:tcW w:w="260" w:type="dxa"/>
            <w:vAlign w:val="bottom"/>
          </w:tcPr>
          <w:p>
            <w:pPr>
              <w:jc w:val="right"/>
              <w:spacing w:after="0"/>
              <w:rPr>
                <w:sz w:val="20"/>
                <w:szCs w:val="20"/>
                <w:color w:val="auto"/>
              </w:rPr>
            </w:pPr>
            <w:r>
              <w:rPr>
                <w:rFonts w:ascii="Arial" w:cs="Arial" w:eastAsia="Arial" w:hAnsi="Arial"/>
                <w:sz w:val="19"/>
                <w:szCs w:val="19"/>
                <w:color w:val="auto"/>
              </w:rPr>
              <w:t>55</w:t>
            </w:r>
          </w:p>
        </w:tc>
        <w:tc>
          <w:tcPr>
            <w:tcW w:w="4160" w:type="dxa"/>
            <w:vAlign w:val="bottom"/>
            <w:gridSpan w:val="3"/>
          </w:tcPr>
          <w:p>
            <w:pPr>
              <w:ind w:left="280"/>
              <w:spacing w:after="0"/>
              <w:rPr>
                <w:sz w:val="20"/>
                <w:szCs w:val="20"/>
                <w:color w:val="auto"/>
              </w:rPr>
            </w:pPr>
            <w:r>
              <w:rPr>
                <w:rFonts w:ascii="Arial" w:cs="Arial" w:eastAsia="Arial" w:hAnsi="Arial"/>
                <w:sz w:val="19"/>
                <w:szCs w:val="19"/>
                <w:color w:val="auto"/>
              </w:rPr>
              <w:t>Chief Development Officer</w:t>
            </w:r>
          </w:p>
        </w:tc>
      </w:tr>
      <w:tr>
        <w:trPr>
          <w:trHeight w:val="228"/>
        </w:trPr>
        <w:tc>
          <w:tcPr>
            <w:tcW w:w="4960" w:type="dxa"/>
            <w:vAlign w:val="bottom"/>
            <w:gridSpan w:val="3"/>
          </w:tcPr>
          <w:p>
            <w:pPr>
              <w:ind w:left="380"/>
              <w:spacing w:after="0"/>
              <w:rPr>
                <w:sz w:val="20"/>
                <w:szCs w:val="20"/>
                <w:color w:val="auto"/>
              </w:rPr>
            </w:pPr>
            <w:r>
              <w:rPr>
                <w:rFonts w:ascii="Arial" w:cs="Arial" w:eastAsia="Arial" w:hAnsi="Arial"/>
                <w:sz w:val="19"/>
                <w:szCs w:val="19"/>
                <w:color w:val="auto"/>
              </w:rPr>
              <w:t>Sabah Oney, Ph.D.</w:t>
            </w:r>
          </w:p>
        </w:tc>
        <w:tc>
          <w:tcPr>
            <w:tcW w:w="260" w:type="dxa"/>
            <w:vAlign w:val="bottom"/>
          </w:tcPr>
          <w:p>
            <w:pPr>
              <w:jc w:val="right"/>
              <w:spacing w:after="0"/>
              <w:rPr>
                <w:sz w:val="20"/>
                <w:szCs w:val="20"/>
                <w:color w:val="auto"/>
              </w:rPr>
            </w:pPr>
            <w:r>
              <w:rPr>
                <w:rFonts w:ascii="Arial" w:cs="Arial" w:eastAsia="Arial" w:hAnsi="Arial"/>
                <w:sz w:val="19"/>
                <w:szCs w:val="19"/>
                <w:color w:val="auto"/>
              </w:rPr>
              <w:t>36</w:t>
            </w:r>
          </w:p>
        </w:tc>
        <w:tc>
          <w:tcPr>
            <w:tcW w:w="4160" w:type="dxa"/>
            <w:vAlign w:val="bottom"/>
            <w:gridSpan w:val="3"/>
          </w:tcPr>
          <w:p>
            <w:pPr>
              <w:ind w:left="280"/>
              <w:spacing w:after="0"/>
              <w:rPr>
                <w:sz w:val="20"/>
                <w:szCs w:val="20"/>
                <w:color w:val="auto"/>
              </w:rPr>
            </w:pPr>
            <w:r>
              <w:rPr>
                <w:rFonts w:ascii="Arial" w:cs="Arial" w:eastAsia="Arial" w:hAnsi="Arial"/>
                <w:sz w:val="19"/>
                <w:szCs w:val="19"/>
                <w:color w:val="auto"/>
              </w:rPr>
              <w:t>Chief Business Officer</w:t>
            </w:r>
          </w:p>
        </w:tc>
      </w:tr>
      <w:tr>
        <w:trPr>
          <w:trHeight w:val="241"/>
        </w:trPr>
        <w:tc>
          <w:tcPr>
            <w:tcW w:w="4960" w:type="dxa"/>
            <w:vAlign w:val="bottom"/>
            <w:gridSpan w:val="3"/>
          </w:tcPr>
          <w:p>
            <w:pPr>
              <w:ind w:left="380"/>
              <w:spacing w:after="0"/>
              <w:rPr>
                <w:sz w:val="20"/>
                <w:szCs w:val="20"/>
                <w:color w:val="auto"/>
              </w:rPr>
            </w:pPr>
            <w:r>
              <w:rPr>
                <w:rFonts w:ascii="Arial" w:cs="Arial" w:eastAsia="Arial" w:hAnsi="Arial"/>
                <w:sz w:val="19"/>
                <w:szCs w:val="19"/>
                <w:color w:val="auto"/>
              </w:rPr>
              <w:t>Calvin Yu</w:t>
            </w:r>
          </w:p>
        </w:tc>
        <w:tc>
          <w:tcPr>
            <w:tcW w:w="260" w:type="dxa"/>
            <w:vAlign w:val="bottom"/>
          </w:tcPr>
          <w:p>
            <w:pPr>
              <w:jc w:val="right"/>
              <w:spacing w:after="0"/>
              <w:rPr>
                <w:sz w:val="20"/>
                <w:szCs w:val="20"/>
                <w:color w:val="auto"/>
              </w:rPr>
            </w:pPr>
            <w:r>
              <w:rPr>
                <w:rFonts w:ascii="Arial" w:cs="Arial" w:eastAsia="Arial" w:hAnsi="Arial"/>
                <w:sz w:val="19"/>
                <w:szCs w:val="19"/>
                <w:color w:val="auto"/>
              </w:rPr>
              <w:t>42</w:t>
            </w:r>
          </w:p>
        </w:tc>
        <w:tc>
          <w:tcPr>
            <w:tcW w:w="4160" w:type="dxa"/>
            <w:vAlign w:val="bottom"/>
            <w:gridSpan w:val="3"/>
          </w:tcPr>
          <w:p>
            <w:pPr>
              <w:ind w:left="280"/>
              <w:spacing w:after="0"/>
              <w:rPr>
                <w:sz w:val="20"/>
                <w:szCs w:val="20"/>
                <w:color w:val="auto"/>
              </w:rPr>
            </w:pPr>
            <w:r>
              <w:rPr>
                <w:rFonts w:ascii="Arial" w:cs="Arial" w:eastAsia="Arial" w:hAnsi="Arial"/>
                <w:sz w:val="19"/>
                <w:szCs w:val="19"/>
                <w:color w:val="auto"/>
              </w:rPr>
              <w:t>Vice President, Finance</w:t>
            </w:r>
          </w:p>
        </w:tc>
      </w:tr>
      <w:tr>
        <w:trPr>
          <w:trHeight w:val="329"/>
        </w:trPr>
        <w:tc>
          <w:tcPr>
            <w:tcW w:w="4960" w:type="dxa"/>
            <w:vAlign w:val="bottom"/>
            <w:gridSpan w:val="3"/>
          </w:tcPr>
          <w:p>
            <w:pPr>
              <w:spacing w:after="0"/>
              <w:rPr>
                <w:sz w:val="20"/>
                <w:szCs w:val="20"/>
                <w:color w:val="auto"/>
              </w:rPr>
            </w:pPr>
            <w:r>
              <w:rPr>
                <w:rFonts w:ascii="Arial" w:cs="Arial" w:eastAsia="Arial" w:hAnsi="Arial"/>
                <w:sz w:val="19"/>
                <w:szCs w:val="19"/>
                <w:b w:val="1"/>
                <w:bCs w:val="1"/>
                <w:i w:val="1"/>
                <w:iCs w:val="1"/>
                <w:color w:val="auto"/>
              </w:rPr>
              <w:t>Non-Employee Directors:</w:t>
            </w:r>
          </w:p>
        </w:tc>
        <w:tc>
          <w:tcPr>
            <w:tcW w:w="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7"/>
        </w:trPr>
        <w:tc>
          <w:tcPr>
            <w:tcW w:w="4960" w:type="dxa"/>
            <w:vAlign w:val="bottom"/>
            <w:gridSpan w:val="3"/>
          </w:tcPr>
          <w:p>
            <w:pPr>
              <w:ind w:left="380"/>
              <w:spacing w:after="0"/>
              <w:rPr>
                <w:sz w:val="20"/>
                <w:szCs w:val="20"/>
                <w:color w:val="auto"/>
              </w:rPr>
            </w:pPr>
            <w:r>
              <w:rPr>
                <w:rFonts w:ascii="Arial" w:cs="Arial" w:eastAsia="Arial" w:hAnsi="Arial"/>
                <w:sz w:val="19"/>
                <w:szCs w:val="19"/>
                <w:color w:val="auto"/>
              </w:rPr>
              <w:t>Tillman Gerngross, Ph.D.</w:t>
            </w:r>
          </w:p>
        </w:tc>
        <w:tc>
          <w:tcPr>
            <w:tcW w:w="260" w:type="dxa"/>
            <w:vAlign w:val="bottom"/>
          </w:tcPr>
          <w:p>
            <w:pPr>
              <w:jc w:val="right"/>
              <w:spacing w:after="0"/>
              <w:rPr>
                <w:sz w:val="20"/>
                <w:szCs w:val="20"/>
                <w:color w:val="auto"/>
              </w:rPr>
            </w:pPr>
            <w:r>
              <w:rPr>
                <w:rFonts w:ascii="Arial" w:cs="Arial" w:eastAsia="Arial" w:hAnsi="Arial"/>
                <w:sz w:val="19"/>
                <w:szCs w:val="19"/>
                <w:color w:val="auto"/>
              </w:rPr>
              <w:t>55</w:t>
            </w:r>
          </w:p>
        </w:tc>
        <w:tc>
          <w:tcPr>
            <w:tcW w:w="4160" w:type="dxa"/>
            <w:vAlign w:val="bottom"/>
            <w:gridSpan w:val="3"/>
          </w:tcPr>
          <w:p>
            <w:pPr>
              <w:ind w:left="280"/>
              <w:spacing w:after="0"/>
              <w:rPr>
                <w:sz w:val="20"/>
                <w:szCs w:val="20"/>
                <w:color w:val="auto"/>
              </w:rPr>
            </w:pPr>
            <w:r>
              <w:rPr>
                <w:rFonts w:ascii="Arial" w:cs="Arial" w:eastAsia="Arial" w:hAnsi="Arial"/>
                <w:sz w:val="19"/>
                <w:szCs w:val="19"/>
                <w:color w:val="auto"/>
              </w:rPr>
              <w:t>Co-Founder and Chairperson</w:t>
            </w:r>
          </w:p>
        </w:tc>
      </w:tr>
      <w:tr>
        <w:trPr>
          <w:trHeight w:val="228"/>
        </w:trPr>
        <w:tc>
          <w:tcPr>
            <w:tcW w:w="4960" w:type="dxa"/>
            <w:vAlign w:val="bottom"/>
            <w:gridSpan w:val="3"/>
          </w:tcPr>
          <w:p>
            <w:pPr>
              <w:ind w:left="380"/>
              <w:spacing w:after="0"/>
              <w:rPr>
                <w:sz w:val="20"/>
                <w:szCs w:val="20"/>
                <w:color w:val="auto"/>
              </w:rPr>
            </w:pPr>
            <w:r>
              <w:rPr>
                <w:rFonts w:ascii="Arial" w:cs="Arial" w:eastAsia="Arial" w:hAnsi="Arial"/>
                <w:sz w:val="19"/>
                <w:szCs w:val="19"/>
                <w:color w:val="auto"/>
              </w:rPr>
              <w:t>Christine Brennan, Ph.D.</w:t>
            </w:r>
            <w:r>
              <w:rPr>
                <w:rFonts w:ascii="Arial" w:cs="Arial" w:eastAsia="Arial" w:hAnsi="Arial"/>
                <w:sz w:val="16"/>
                <w:szCs w:val="16"/>
                <w:color w:val="auto"/>
              </w:rPr>
              <w:t>(4)</w:t>
            </w:r>
          </w:p>
        </w:tc>
        <w:tc>
          <w:tcPr>
            <w:tcW w:w="260" w:type="dxa"/>
            <w:vAlign w:val="bottom"/>
          </w:tcPr>
          <w:p>
            <w:pPr>
              <w:jc w:val="right"/>
              <w:spacing w:after="0"/>
              <w:rPr>
                <w:sz w:val="20"/>
                <w:szCs w:val="20"/>
                <w:color w:val="auto"/>
              </w:rPr>
            </w:pPr>
            <w:r>
              <w:rPr>
                <w:rFonts w:ascii="Arial" w:cs="Arial" w:eastAsia="Arial" w:hAnsi="Arial"/>
                <w:sz w:val="19"/>
                <w:szCs w:val="19"/>
                <w:color w:val="auto"/>
              </w:rPr>
              <w:t>50</w:t>
            </w:r>
          </w:p>
        </w:tc>
        <w:tc>
          <w:tcPr>
            <w:tcW w:w="4160" w:type="dxa"/>
            <w:vAlign w:val="bottom"/>
            <w:gridSpan w:val="3"/>
          </w:tcPr>
          <w:p>
            <w:pPr>
              <w:ind w:left="280"/>
              <w:spacing w:after="0"/>
              <w:rPr>
                <w:sz w:val="20"/>
                <w:szCs w:val="20"/>
                <w:color w:val="auto"/>
              </w:rPr>
            </w:pPr>
            <w:r>
              <w:rPr>
                <w:rFonts w:ascii="Arial" w:cs="Arial" w:eastAsia="Arial" w:hAnsi="Arial"/>
                <w:sz w:val="19"/>
                <w:szCs w:val="19"/>
                <w:color w:val="auto"/>
              </w:rPr>
              <w:t>Director</w:t>
            </w:r>
          </w:p>
        </w:tc>
      </w:tr>
      <w:tr>
        <w:trPr>
          <w:trHeight w:val="228"/>
        </w:trPr>
        <w:tc>
          <w:tcPr>
            <w:tcW w:w="4960" w:type="dxa"/>
            <w:vAlign w:val="bottom"/>
            <w:gridSpan w:val="3"/>
          </w:tcPr>
          <w:p>
            <w:pPr>
              <w:ind w:left="380"/>
              <w:spacing w:after="0"/>
              <w:rPr>
                <w:sz w:val="20"/>
                <w:szCs w:val="20"/>
                <w:color w:val="auto"/>
              </w:rPr>
            </w:pPr>
            <w:r>
              <w:rPr>
                <w:rFonts w:ascii="Arial" w:cs="Arial" w:eastAsia="Arial" w:hAnsi="Arial"/>
                <w:sz w:val="19"/>
                <w:szCs w:val="19"/>
                <w:color w:val="auto"/>
              </w:rPr>
              <w:t>Louis J. Lavigne, Jr.*</w:t>
            </w:r>
            <w:r>
              <w:rPr>
                <w:rFonts w:ascii="Arial" w:cs="Arial" w:eastAsia="Arial" w:hAnsi="Arial"/>
                <w:sz w:val="16"/>
                <w:szCs w:val="16"/>
                <w:color w:val="auto"/>
              </w:rPr>
              <w:t>(1)(2)</w:t>
            </w:r>
          </w:p>
        </w:tc>
        <w:tc>
          <w:tcPr>
            <w:tcW w:w="260" w:type="dxa"/>
            <w:vAlign w:val="bottom"/>
          </w:tcPr>
          <w:p>
            <w:pPr>
              <w:jc w:val="right"/>
              <w:spacing w:after="0"/>
              <w:rPr>
                <w:sz w:val="20"/>
                <w:szCs w:val="20"/>
                <w:color w:val="auto"/>
              </w:rPr>
            </w:pPr>
            <w:r>
              <w:rPr>
                <w:rFonts w:ascii="Arial" w:cs="Arial" w:eastAsia="Arial" w:hAnsi="Arial"/>
                <w:sz w:val="19"/>
                <w:szCs w:val="19"/>
                <w:color w:val="auto"/>
              </w:rPr>
              <w:t>70</w:t>
            </w:r>
          </w:p>
        </w:tc>
        <w:tc>
          <w:tcPr>
            <w:tcW w:w="4160" w:type="dxa"/>
            <w:vAlign w:val="bottom"/>
            <w:gridSpan w:val="3"/>
          </w:tcPr>
          <w:p>
            <w:pPr>
              <w:ind w:left="280"/>
              <w:spacing w:after="0"/>
              <w:rPr>
                <w:sz w:val="20"/>
                <w:szCs w:val="20"/>
                <w:color w:val="auto"/>
              </w:rPr>
            </w:pPr>
            <w:r>
              <w:rPr>
                <w:rFonts w:ascii="Arial" w:cs="Arial" w:eastAsia="Arial" w:hAnsi="Arial"/>
                <w:sz w:val="19"/>
                <w:szCs w:val="19"/>
                <w:color w:val="auto"/>
              </w:rPr>
              <w:t>Director</w:t>
            </w:r>
          </w:p>
        </w:tc>
      </w:tr>
      <w:tr>
        <w:trPr>
          <w:trHeight w:val="228"/>
        </w:trPr>
        <w:tc>
          <w:tcPr>
            <w:tcW w:w="4960" w:type="dxa"/>
            <w:vAlign w:val="bottom"/>
            <w:gridSpan w:val="3"/>
          </w:tcPr>
          <w:p>
            <w:pPr>
              <w:ind w:left="380"/>
              <w:spacing w:after="0"/>
              <w:rPr>
                <w:sz w:val="20"/>
                <w:szCs w:val="20"/>
                <w:color w:val="auto"/>
              </w:rPr>
            </w:pPr>
            <w:r>
              <w:rPr>
                <w:rFonts w:ascii="Arial" w:cs="Arial" w:eastAsia="Arial" w:hAnsi="Arial"/>
                <w:sz w:val="19"/>
                <w:szCs w:val="19"/>
                <w:color w:val="auto"/>
              </w:rPr>
              <w:t>Carl Gordon, Ph.D., C.F.A.</w:t>
            </w:r>
            <w:r>
              <w:rPr>
                <w:rFonts w:ascii="Arial" w:cs="Arial" w:eastAsia="Arial" w:hAnsi="Arial"/>
                <w:sz w:val="16"/>
                <w:szCs w:val="16"/>
                <w:color w:val="auto"/>
              </w:rPr>
              <w:t>(1)(3)</w:t>
            </w:r>
          </w:p>
        </w:tc>
        <w:tc>
          <w:tcPr>
            <w:tcW w:w="260" w:type="dxa"/>
            <w:vAlign w:val="bottom"/>
          </w:tcPr>
          <w:p>
            <w:pPr>
              <w:jc w:val="right"/>
              <w:spacing w:after="0"/>
              <w:rPr>
                <w:sz w:val="20"/>
                <w:szCs w:val="20"/>
                <w:color w:val="auto"/>
              </w:rPr>
            </w:pPr>
            <w:r>
              <w:rPr>
                <w:rFonts w:ascii="Arial" w:cs="Arial" w:eastAsia="Arial" w:hAnsi="Arial"/>
                <w:sz w:val="19"/>
                <w:szCs w:val="19"/>
                <w:color w:val="auto"/>
              </w:rPr>
              <w:t>54</w:t>
            </w:r>
          </w:p>
        </w:tc>
        <w:tc>
          <w:tcPr>
            <w:tcW w:w="4160" w:type="dxa"/>
            <w:vAlign w:val="bottom"/>
            <w:gridSpan w:val="3"/>
          </w:tcPr>
          <w:p>
            <w:pPr>
              <w:ind w:left="280"/>
              <w:spacing w:after="0"/>
              <w:rPr>
                <w:sz w:val="20"/>
                <w:szCs w:val="20"/>
                <w:color w:val="auto"/>
              </w:rPr>
            </w:pPr>
            <w:r>
              <w:rPr>
                <w:rFonts w:ascii="Arial" w:cs="Arial" w:eastAsia="Arial" w:hAnsi="Arial"/>
                <w:sz w:val="19"/>
                <w:szCs w:val="19"/>
                <w:color w:val="auto"/>
              </w:rPr>
              <w:t>Director</w:t>
            </w:r>
          </w:p>
        </w:tc>
      </w:tr>
      <w:tr>
        <w:trPr>
          <w:trHeight w:val="228"/>
        </w:trPr>
        <w:tc>
          <w:tcPr>
            <w:tcW w:w="4960" w:type="dxa"/>
            <w:vAlign w:val="bottom"/>
            <w:gridSpan w:val="3"/>
          </w:tcPr>
          <w:p>
            <w:pPr>
              <w:ind w:left="380"/>
              <w:spacing w:after="0"/>
              <w:rPr>
                <w:sz w:val="20"/>
                <w:szCs w:val="20"/>
                <w:color w:val="auto"/>
              </w:rPr>
            </w:pPr>
            <w:r>
              <w:rPr>
                <w:rFonts w:ascii="Arial" w:cs="Arial" w:eastAsia="Arial" w:hAnsi="Arial"/>
                <w:sz w:val="19"/>
                <w:szCs w:val="19"/>
                <w:color w:val="auto"/>
              </w:rPr>
              <w:t>Terry McGuire</w:t>
            </w:r>
            <w:r>
              <w:rPr>
                <w:rFonts w:ascii="Arial" w:cs="Arial" w:eastAsia="Arial" w:hAnsi="Arial"/>
                <w:sz w:val="16"/>
                <w:szCs w:val="16"/>
                <w:color w:val="auto"/>
              </w:rPr>
              <w:t>(2)</w:t>
            </w:r>
          </w:p>
        </w:tc>
        <w:tc>
          <w:tcPr>
            <w:tcW w:w="260" w:type="dxa"/>
            <w:vAlign w:val="bottom"/>
          </w:tcPr>
          <w:p>
            <w:pPr>
              <w:jc w:val="right"/>
              <w:spacing w:after="0"/>
              <w:rPr>
                <w:sz w:val="20"/>
                <w:szCs w:val="20"/>
                <w:color w:val="auto"/>
              </w:rPr>
            </w:pPr>
            <w:r>
              <w:rPr>
                <w:rFonts w:ascii="Arial" w:cs="Arial" w:eastAsia="Arial" w:hAnsi="Arial"/>
                <w:sz w:val="19"/>
                <w:szCs w:val="19"/>
                <w:color w:val="auto"/>
              </w:rPr>
              <w:t>62</w:t>
            </w:r>
          </w:p>
        </w:tc>
        <w:tc>
          <w:tcPr>
            <w:tcW w:w="4160" w:type="dxa"/>
            <w:vAlign w:val="bottom"/>
            <w:gridSpan w:val="3"/>
          </w:tcPr>
          <w:p>
            <w:pPr>
              <w:ind w:left="280"/>
              <w:spacing w:after="0"/>
              <w:rPr>
                <w:sz w:val="20"/>
                <w:szCs w:val="20"/>
                <w:color w:val="auto"/>
              </w:rPr>
            </w:pPr>
            <w:r>
              <w:rPr>
                <w:rFonts w:ascii="Arial" w:cs="Arial" w:eastAsia="Arial" w:hAnsi="Arial"/>
                <w:sz w:val="19"/>
                <w:szCs w:val="19"/>
                <w:color w:val="auto"/>
              </w:rPr>
              <w:t>Director</w:t>
            </w:r>
          </w:p>
        </w:tc>
      </w:tr>
      <w:tr>
        <w:trPr>
          <w:trHeight w:val="228"/>
        </w:trPr>
        <w:tc>
          <w:tcPr>
            <w:tcW w:w="4960" w:type="dxa"/>
            <w:vAlign w:val="bottom"/>
            <w:gridSpan w:val="3"/>
          </w:tcPr>
          <w:p>
            <w:pPr>
              <w:ind w:left="380"/>
              <w:spacing w:after="0"/>
              <w:rPr>
                <w:sz w:val="20"/>
                <w:szCs w:val="20"/>
                <w:color w:val="auto"/>
              </w:rPr>
            </w:pPr>
            <w:r>
              <w:rPr>
                <w:rFonts w:ascii="Arial" w:cs="Arial" w:eastAsia="Arial" w:hAnsi="Arial"/>
                <w:sz w:val="19"/>
                <w:szCs w:val="19"/>
                <w:color w:val="auto"/>
              </w:rPr>
              <w:t>Richard Scheller, Ph.D.</w:t>
            </w:r>
            <w:r>
              <w:rPr>
                <w:rFonts w:ascii="Arial" w:cs="Arial" w:eastAsia="Arial" w:hAnsi="Arial"/>
                <w:sz w:val="16"/>
                <w:szCs w:val="16"/>
                <w:color w:val="auto"/>
              </w:rPr>
              <w:t>(2)(3)</w:t>
            </w:r>
          </w:p>
        </w:tc>
        <w:tc>
          <w:tcPr>
            <w:tcW w:w="260" w:type="dxa"/>
            <w:vAlign w:val="bottom"/>
          </w:tcPr>
          <w:p>
            <w:pPr>
              <w:jc w:val="right"/>
              <w:spacing w:after="0"/>
              <w:rPr>
                <w:sz w:val="20"/>
                <w:szCs w:val="20"/>
                <w:color w:val="auto"/>
              </w:rPr>
            </w:pPr>
            <w:r>
              <w:rPr>
                <w:rFonts w:ascii="Arial" w:cs="Arial" w:eastAsia="Arial" w:hAnsi="Arial"/>
                <w:sz w:val="19"/>
                <w:szCs w:val="19"/>
                <w:color w:val="auto"/>
              </w:rPr>
              <w:t>65</w:t>
            </w:r>
          </w:p>
        </w:tc>
        <w:tc>
          <w:tcPr>
            <w:tcW w:w="4160" w:type="dxa"/>
            <w:vAlign w:val="bottom"/>
            <w:gridSpan w:val="3"/>
          </w:tcPr>
          <w:p>
            <w:pPr>
              <w:ind w:left="280"/>
              <w:spacing w:after="0"/>
              <w:rPr>
                <w:sz w:val="20"/>
                <w:szCs w:val="20"/>
                <w:color w:val="auto"/>
              </w:rPr>
            </w:pPr>
            <w:r>
              <w:rPr>
                <w:rFonts w:ascii="Arial" w:cs="Arial" w:eastAsia="Arial" w:hAnsi="Arial"/>
                <w:sz w:val="19"/>
                <w:szCs w:val="19"/>
                <w:color w:val="auto"/>
              </w:rPr>
              <w:t>Director</w:t>
            </w:r>
          </w:p>
        </w:tc>
      </w:tr>
      <w:tr>
        <w:trPr>
          <w:trHeight w:val="242"/>
        </w:trPr>
        <w:tc>
          <w:tcPr>
            <w:tcW w:w="4960" w:type="dxa"/>
            <w:vAlign w:val="bottom"/>
            <w:gridSpan w:val="3"/>
          </w:tcPr>
          <w:p>
            <w:pPr>
              <w:ind w:left="380"/>
              <w:spacing w:after="0"/>
              <w:rPr>
                <w:sz w:val="20"/>
                <w:szCs w:val="20"/>
                <w:color w:val="auto"/>
              </w:rPr>
            </w:pPr>
            <w:r>
              <w:rPr>
                <w:rFonts w:ascii="Arial" w:cs="Arial" w:eastAsia="Arial" w:hAnsi="Arial"/>
                <w:sz w:val="19"/>
                <w:szCs w:val="19"/>
                <w:color w:val="auto"/>
              </w:rPr>
              <w:t>David Wehner</w:t>
            </w:r>
            <w:r>
              <w:rPr>
                <w:rFonts w:ascii="Arial" w:cs="Arial" w:eastAsia="Arial" w:hAnsi="Arial"/>
                <w:sz w:val="16"/>
                <w:szCs w:val="16"/>
                <w:color w:val="auto"/>
              </w:rPr>
              <w:t>(1)</w:t>
            </w:r>
          </w:p>
        </w:tc>
        <w:tc>
          <w:tcPr>
            <w:tcW w:w="260" w:type="dxa"/>
            <w:vAlign w:val="bottom"/>
          </w:tcPr>
          <w:p>
            <w:pPr>
              <w:jc w:val="right"/>
              <w:spacing w:after="0"/>
              <w:rPr>
                <w:sz w:val="20"/>
                <w:szCs w:val="20"/>
                <w:color w:val="auto"/>
              </w:rPr>
            </w:pPr>
            <w:r>
              <w:rPr>
                <w:rFonts w:ascii="Arial" w:cs="Arial" w:eastAsia="Arial" w:hAnsi="Arial"/>
                <w:sz w:val="19"/>
                <w:szCs w:val="19"/>
                <w:color w:val="auto"/>
              </w:rPr>
              <w:t>49</w:t>
            </w:r>
          </w:p>
        </w:tc>
        <w:tc>
          <w:tcPr>
            <w:tcW w:w="4160" w:type="dxa"/>
            <w:vAlign w:val="bottom"/>
            <w:gridSpan w:val="3"/>
          </w:tcPr>
          <w:p>
            <w:pPr>
              <w:ind w:left="280"/>
              <w:spacing w:after="0"/>
              <w:rPr>
                <w:sz w:val="20"/>
                <w:szCs w:val="20"/>
                <w:color w:val="auto"/>
              </w:rPr>
            </w:pPr>
            <w:r>
              <w:rPr>
                <w:rFonts w:ascii="Arial" w:cs="Arial" w:eastAsia="Arial" w:hAnsi="Arial"/>
                <w:sz w:val="19"/>
                <w:szCs w:val="19"/>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91440</wp:posOffset>
            </wp:positionV>
            <wp:extent cx="74231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66" w:lineRule="exact"/>
        <w:rPr>
          <w:sz w:val="20"/>
          <w:szCs w:val="20"/>
          <w:color w:val="auto"/>
        </w:rPr>
      </w:pPr>
    </w:p>
    <w:p>
      <w:pPr>
        <w:ind w:left="640" w:hanging="461"/>
        <w:spacing w:after="0"/>
        <w:tabs>
          <w:tab w:leader="none" w:pos="6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Lead independent director</w:t>
      </w:r>
    </w:p>
    <w:p>
      <w:pPr>
        <w:spacing w:after="0" w:line="23" w:lineRule="exact"/>
        <w:rPr>
          <w:sz w:val="20"/>
          <w:szCs w:val="20"/>
          <w:color w:val="auto"/>
        </w:rPr>
      </w:pPr>
    </w:p>
    <w:p>
      <w:pPr>
        <w:ind w:left="640" w:hanging="461"/>
        <w:spacing w:after="0"/>
        <w:tabs>
          <w:tab w:leader="none" w:pos="640" w:val="left"/>
        </w:tabs>
        <w:numPr>
          <w:ilvl w:val="0"/>
          <w:numId w:val="80"/>
        </w:numPr>
        <w:rPr>
          <w:rFonts w:ascii="Arial" w:cs="Arial" w:eastAsia="Arial" w:hAnsi="Arial"/>
          <w:sz w:val="19"/>
          <w:szCs w:val="19"/>
          <w:color w:val="auto"/>
        </w:rPr>
      </w:pPr>
      <w:r>
        <w:rPr>
          <w:rFonts w:ascii="Arial" w:cs="Arial" w:eastAsia="Arial" w:hAnsi="Arial"/>
          <w:sz w:val="19"/>
          <w:szCs w:val="19"/>
          <w:color w:val="auto"/>
        </w:rPr>
        <w:t>Member of the audit committee upon the effectiveness of the registration statement of which this prospectus forms a part.</w:t>
      </w:r>
    </w:p>
    <w:p>
      <w:pPr>
        <w:spacing w:after="0" w:line="9" w:lineRule="exact"/>
        <w:rPr>
          <w:rFonts w:ascii="Arial" w:cs="Arial" w:eastAsia="Arial" w:hAnsi="Arial"/>
          <w:sz w:val="19"/>
          <w:szCs w:val="19"/>
          <w:color w:val="auto"/>
        </w:rPr>
      </w:pPr>
    </w:p>
    <w:p>
      <w:pPr>
        <w:ind w:left="640" w:hanging="461"/>
        <w:spacing w:after="0"/>
        <w:tabs>
          <w:tab w:leader="none" w:pos="640" w:val="left"/>
        </w:tabs>
        <w:numPr>
          <w:ilvl w:val="0"/>
          <w:numId w:val="80"/>
        </w:numPr>
        <w:rPr>
          <w:rFonts w:ascii="Arial" w:cs="Arial" w:eastAsia="Arial" w:hAnsi="Arial"/>
          <w:sz w:val="19"/>
          <w:szCs w:val="19"/>
          <w:color w:val="auto"/>
        </w:rPr>
      </w:pPr>
      <w:r>
        <w:rPr>
          <w:rFonts w:ascii="Arial" w:cs="Arial" w:eastAsia="Arial" w:hAnsi="Arial"/>
          <w:sz w:val="19"/>
          <w:szCs w:val="19"/>
          <w:color w:val="auto"/>
        </w:rPr>
        <w:t>Member of the compensation committee upon the effectiveness of the registration statement of which this prospectus forms a part.</w:t>
      </w:r>
    </w:p>
    <w:p>
      <w:pPr>
        <w:spacing w:after="0" w:line="9" w:lineRule="exact"/>
        <w:rPr>
          <w:rFonts w:ascii="Arial" w:cs="Arial" w:eastAsia="Arial" w:hAnsi="Arial"/>
          <w:sz w:val="19"/>
          <w:szCs w:val="19"/>
          <w:color w:val="auto"/>
        </w:rPr>
      </w:pPr>
    </w:p>
    <w:p>
      <w:pPr>
        <w:ind w:left="640" w:right="420" w:hanging="461"/>
        <w:spacing w:after="0" w:line="250" w:lineRule="auto"/>
        <w:tabs>
          <w:tab w:leader="none" w:pos="640" w:val="left"/>
        </w:tabs>
        <w:numPr>
          <w:ilvl w:val="0"/>
          <w:numId w:val="80"/>
        </w:numPr>
        <w:rPr>
          <w:rFonts w:ascii="Arial" w:cs="Arial" w:eastAsia="Arial" w:hAnsi="Arial"/>
          <w:sz w:val="19"/>
          <w:szCs w:val="19"/>
          <w:color w:val="auto"/>
        </w:rPr>
      </w:pPr>
      <w:r>
        <w:rPr>
          <w:rFonts w:ascii="Arial" w:cs="Arial" w:eastAsia="Arial" w:hAnsi="Arial"/>
          <w:sz w:val="19"/>
          <w:szCs w:val="19"/>
          <w:color w:val="auto"/>
        </w:rPr>
        <w:t>Member of the corporate governance and nominating committee upon the effectiveness of the registration statement of which this prospectus forms a part.</w:t>
      </w:r>
    </w:p>
    <w:p>
      <w:pPr>
        <w:spacing w:after="0" w:line="1" w:lineRule="exact"/>
        <w:rPr>
          <w:rFonts w:ascii="Arial" w:cs="Arial" w:eastAsia="Arial" w:hAnsi="Arial"/>
          <w:sz w:val="19"/>
          <w:szCs w:val="19"/>
          <w:color w:val="auto"/>
        </w:rPr>
      </w:pPr>
    </w:p>
    <w:p>
      <w:pPr>
        <w:ind w:left="640" w:right="400" w:hanging="461"/>
        <w:spacing w:after="0" w:line="261" w:lineRule="auto"/>
        <w:tabs>
          <w:tab w:leader="none" w:pos="640" w:val="left"/>
        </w:tabs>
        <w:numPr>
          <w:ilvl w:val="0"/>
          <w:numId w:val="80"/>
        </w:numPr>
        <w:rPr>
          <w:rFonts w:ascii="Arial" w:cs="Arial" w:eastAsia="Arial" w:hAnsi="Arial"/>
          <w:sz w:val="19"/>
          <w:szCs w:val="19"/>
          <w:color w:val="auto"/>
        </w:rPr>
      </w:pPr>
      <w:r>
        <w:rPr>
          <w:rFonts w:ascii="Arial" w:cs="Arial" w:eastAsia="Arial" w:hAnsi="Arial"/>
          <w:sz w:val="19"/>
          <w:szCs w:val="19"/>
          <w:color w:val="auto"/>
        </w:rPr>
        <w:t>Dr. Brennan will resign from our board of directors effective immediately prior to the effectiveness of the registration statement of which this prospectus forms a part.</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Executive Officers</w:t>
      </w:r>
    </w:p>
    <w:p>
      <w:pPr>
        <w:spacing w:after="0" w:line="130" w:lineRule="exact"/>
        <w:rPr>
          <w:sz w:val="20"/>
          <w:szCs w:val="20"/>
          <w:color w:val="auto"/>
        </w:rPr>
      </w:pPr>
    </w:p>
    <w:p>
      <w:pPr>
        <w:ind w:left="180" w:firstLine="465"/>
        <w:spacing w:after="0" w:line="288" w:lineRule="auto"/>
        <w:rPr>
          <w:sz w:val="20"/>
          <w:szCs w:val="20"/>
          <w:color w:val="auto"/>
        </w:rPr>
      </w:pPr>
      <w:r>
        <w:rPr>
          <w:rFonts w:ascii="Arial" w:cs="Arial" w:eastAsia="Arial" w:hAnsi="Arial"/>
          <w:sz w:val="17"/>
          <w:szCs w:val="17"/>
          <w:i w:val="1"/>
          <w:iCs w:val="1"/>
          <w:color w:val="auto"/>
        </w:rPr>
        <w:t xml:space="preserve">Arnon Rosenthal, Ph.D., Co-Founder, Chief Executive Officer, and Director </w:t>
      </w:r>
      <w:r>
        <w:rPr>
          <w:rFonts w:ascii="Arial" w:cs="Arial" w:eastAsia="Arial" w:hAnsi="Arial"/>
          <w:sz w:val="17"/>
          <w:szCs w:val="17"/>
          <w:color w:val="auto"/>
        </w:rPr>
        <w:t>Dr. Rosenthal co-founded Alector in 2013 and has served as a</w:t>
      </w:r>
      <w:r>
        <w:rPr>
          <w:rFonts w:ascii="Arial" w:cs="Arial" w:eastAsia="Arial" w:hAnsi="Arial"/>
          <w:sz w:val="17"/>
          <w:szCs w:val="17"/>
          <w:i w:val="1"/>
          <w:iCs w:val="1"/>
          <w:color w:val="auto"/>
        </w:rPr>
        <w:t xml:space="preserve"> </w:t>
      </w:r>
      <w:r>
        <w:rPr>
          <w:rFonts w:ascii="Arial" w:cs="Arial" w:eastAsia="Arial" w:hAnsi="Arial"/>
          <w:sz w:val="17"/>
          <w:szCs w:val="17"/>
          <w:color w:val="auto"/>
        </w:rPr>
        <w:t>member of our board of directors, as Chief Executive Officer, and as our President since 2013. Dr. Rosenthal co-founded Annexon Biosciences, Inc. and served as its acting Chief Executive Officer from August 2011 to December 2014 and served as a member of the board of directors, including as Chairman from August 2011 February 2017. Dr. Rosenthal co-founded Rinat Neuroscience Corporation (acquired by Pfizer Inc. in August 2006), and served as President, Chief Scientific Officer and as a member of the board of directors from August 2001 to August 2006. From January 1985 to August 2001, Dr. Rosenthal served in various roles at Genentech, Inc., where he ultimately served as Staff Scientist and was appointed as a permanent member of Genentech’s Research Review Committee where his team discovered the target for the cancer drug Erivedge. Dr. Rosenthal conducted his post-doctoral fellowship at Genentech, Inc. He holds a Ph.D. in biology from the Hebrew University of Jerusalem.</w:t>
      </w:r>
    </w:p>
    <w:p>
      <w:pPr>
        <w:spacing w:after="0" w:line="177" w:lineRule="exact"/>
        <w:rPr>
          <w:sz w:val="20"/>
          <w:szCs w:val="20"/>
          <w:color w:val="auto"/>
        </w:rPr>
      </w:pPr>
    </w:p>
    <w:p>
      <w:pPr>
        <w:ind w:left="180" w:right="200" w:firstLine="465"/>
        <w:spacing w:after="0" w:line="308" w:lineRule="auto"/>
        <w:rPr>
          <w:sz w:val="20"/>
          <w:szCs w:val="20"/>
          <w:color w:val="auto"/>
        </w:rPr>
      </w:pPr>
      <w:r>
        <w:rPr>
          <w:rFonts w:ascii="Arial" w:cs="Arial" w:eastAsia="Arial" w:hAnsi="Arial"/>
          <w:sz w:val="17"/>
          <w:szCs w:val="17"/>
          <w:color w:val="auto"/>
        </w:rPr>
        <w:t>We believe Dr. Rosenthal is qualified to serve on our board of directors because of the perspective and experience he provides as one of our founders and as our Chief Executive Officer, his experience as a founder and director of other life sciences companies, his educational background, as well as his broad experience within the pharmaceutical industry, particularly in the area of neuroscience and drug discovery and development.</w:t>
      </w:r>
    </w:p>
    <w:p>
      <w:pPr>
        <w:spacing w:after="0" w:line="89"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131</w:t>
      </w:r>
    </w:p>
    <w:p>
      <w:pPr>
        <w:sectPr>
          <w:pgSz w:w="12240" w:h="15840" w:orient="portrait"/>
          <w:cols w:equalWidth="0" w:num="1">
            <w:col w:w="11780"/>
          </w:cols>
          <w:pgMar w:left="120" w:top="336" w:right="340" w:bottom="1440" w:gutter="0" w:footer="0" w:header="0"/>
        </w:sectPr>
      </w:pPr>
    </w:p>
    <w:bookmarkStart w:id="139" w:name="page140"/>
    <w:bookmarkEnd w:id="13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00" w:firstLine="465"/>
        <w:spacing w:after="0" w:line="272" w:lineRule="auto"/>
        <w:rPr>
          <w:sz w:val="20"/>
          <w:szCs w:val="20"/>
          <w:color w:val="auto"/>
        </w:rPr>
      </w:pPr>
      <w:r>
        <w:rPr>
          <w:rFonts w:ascii="Arial" w:cs="Arial" w:eastAsia="Arial" w:hAnsi="Arial"/>
          <w:sz w:val="18"/>
          <w:szCs w:val="18"/>
          <w:i w:val="1"/>
          <w:iCs w:val="1"/>
          <w:color w:val="auto"/>
        </w:rPr>
        <w:t xml:space="preserve">Robert Paul, M.D., Ph.D., Chief Medical Officer. </w:t>
      </w:r>
      <w:r>
        <w:rPr>
          <w:rFonts w:ascii="Arial" w:cs="Arial" w:eastAsia="Arial" w:hAnsi="Arial"/>
          <w:sz w:val="18"/>
          <w:szCs w:val="18"/>
          <w:color w:val="auto"/>
        </w:rPr>
        <w:t>Dr. Paul has served as our Chief Medical Officer since October 2016. Dr. Paul joined Alector</w:t>
      </w:r>
      <w:r>
        <w:rPr>
          <w:rFonts w:ascii="Arial" w:cs="Arial" w:eastAsia="Arial" w:hAnsi="Arial"/>
          <w:sz w:val="18"/>
          <w:szCs w:val="18"/>
          <w:i w:val="1"/>
          <w:iCs w:val="1"/>
          <w:color w:val="auto"/>
        </w:rPr>
        <w:t xml:space="preserve"> </w:t>
      </w:r>
      <w:r>
        <w:rPr>
          <w:rFonts w:ascii="Arial" w:cs="Arial" w:eastAsia="Arial" w:hAnsi="Arial"/>
          <w:sz w:val="18"/>
          <w:szCs w:val="18"/>
          <w:color w:val="auto"/>
        </w:rPr>
        <w:t>from Genentech, Inc., where he held various roles of increasing responsibility between 2009 and 2016, including as Assistant Group Medical Director and TA Head Neuroscience Early Clinical Development gRED from October 2015 to October 2016, as Senior Medical Director from October 2013 to September 2015, as Medical Director from September 2011 to October 2013, and as Associate Medical Director from January 2009 to September 2011. From May 2002 to December 2008, Dr. Paul served as a Neurologist at the University of Munich. Dr. Paul is a board certified neurologist in Germany. He received a M.D. and a Ph.D. from Ludwig-Maximilians Universität München.</w:t>
      </w:r>
    </w:p>
    <w:p>
      <w:pPr>
        <w:spacing w:after="0" w:line="190"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i w:val="1"/>
          <w:iCs w:val="1"/>
          <w:color w:val="auto"/>
        </w:rPr>
        <w:t xml:space="preserve">Robert King, Ph.D., Chief Development Officer. </w:t>
      </w:r>
      <w:r>
        <w:rPr>
          <w:rFonts w:ascii="Arial" w:cs="Arial" w:eastAsia="Arial" w:hAnsi="Arial"/>
          <w:sz w:val="18"/>
          <w:szCs w:val="18"/>
          <w:color w:val="auto"/>
        </w:rPr>
        <w:t>Dr. King has served as our Chief Development Officer since January 2017. Dr. King joined</w:t>
      </w:r>
      <w:r>
        <w:rPr>
          <w:rFonts w:ascii="Arial" w:cs="Arial" w:eastAsia="Arial" w:hAnsi="Arial"/>
          <w:sz w:val="18"/>
          <w:szCs w:val="18"/>
          <w:i w:val="1"/>
          <w:iCs w:val="1"/>
          <w:color w:val="auto"/>
        </w:rPr>
        <w:t xml:space="preserve"> </w:t>
      </w:r>
      <w:r>
        <w:rPr>
          <w:rFonts w:ascii="Arial" w:cs="Arial" w:eastAsia="Arial" w:hAnsi="Arial"/>
          <w:sz w:val="18"/>
          <w:szCs w:val="18"/>
          <w:color w:val="auto"/>
        </w:rPr>
        <w:t>Alector from SciClone Pharmaceuticals, Inc. (acquired by a consortium led by GL Capital Partners, LLC), a biotechnology company, where he served as Senior Vice President of Product Development and Supply Chain from June 2011 to January 2017. Prior to SciClone Pharmaceuticals, Dr. King served as VP of Product Development and Manufacturing at Bayhill Therapeutics, Inc., a biotechnology company from 2006 to 2011. Dr. King served as VP Product Development and Manufacturing at Rinat Neuroscience Corp. (acquired by Pfizer), a biotechnology company, from 2003 to 2006. Dr. King served in positions of increasing responsibility at COR Therapeutics, Inc. (acquired by Millennium Pharmaceuticals, Inc. in 2002) from 1993 to 2003. From 1991 to 1993, Dr. King served as a Scientist in the Purification and Pharmaceutical Sciences groups at California Biotechnology/Scios. From 1988 to 1991, Dr. King was a Scientist at Molecular Devices Corporation. Dr. King received a Ph.D. in Chemical Engineering from the University of California, Berkeley, and a B.S. in Chemical Engineering from the University of Washington.</w:t>
      </w:r>
    </w:p>
    <w:p>
      <w:pPr>
        <w:spacing w:after="0" w:line="194" w:lineRule="exact"/>
        <w:rPr>
          <w:sz w:val="20"/>
          <w:szCs w:val="20"/>
          <w:color w:val="auto"/>
        </w:rPr>
      </w:pPr>
    </w:p>
    <w:p>
      <w:pPr>
        <w:ind w:left="180" w:right="80" w:firstLine="465"/>
        <w:spacing w:after="0" w:line="291" w:lineRule="auto"/>
        <w:rPr>
          <w:sz w:val="20"/>
          <w:szCs w:val="20"/>
          <w:color w:val="auto"/>
        </w:rPr>
      </w:pPr>
      <w:r>
        <w:rPr>
          <w:rFonts w:ascii="Arial" w:cs="Arial" w:eastAsia="Arial" w:hAnsi="Arial"/>
          <w:sz w:val="17"/>
          <w:szCs w:val="17"/>
          <w:i w:val="1"/>
          <w:iCs w:val="1"/>
          <w:color w:val="auto"/>
        </w:rPr>
        <w:t xml:space="preserve">Sabah Oney, Ph.D., Chief Business Officer. </w:t>
      </w:r>
      <w:r>
        <w:rPr>
          <w:rFonts w:ascii="Arial" w:cs="Arial" w:eastAsia="Arial" w:hAnsi="Arial"/>
          <w:sz w:val="17"/>
          <w:szCs w:val="17"/>
          <w:color w:val="auto"/>
        </w:rPr>
        <w:t>Dr. Oney joined Alector in October 2016. He has served as our Chief Business Officer since January</w:t>
      </w:r>
      <w:r>
        <w:rPr>
          <w:rFonts w:ascii="Arial" w:cs="Arial" w:eastAsia="Arial" w:hAnsi="Arial"/>
          <w:sz w:val="17"/>
          <w:szCs w:val="17"/>
          <w:i w:val="1"/>
          <w:iCs w:val="1"/>
          <w:color w:val="auto"/>
        </w:rPr>
        <w:t xml:space="preserve"> </w:t>
      </w:r>
      <w:r>
        <w:rPr>
          <w:rFonts w:ascii="Arial" w:cs="Arial" w:eastAsia="Arial" w:hAnsi="Arial"/>
          <w:sz w:val="17"/>
          <w:szCs w:val="17"/>
          <w:color w:val="auto"/>
        </w:rPr>
        <w:t>2018 and previously as our Vice President of Business Development and Operations since October 2016. From January 2016 until October 2016, Dr. Oney served as a consultant to a number of biotechnology companies. Dr. Oney previously served as Head of Global Sales and Business Development at Ariosa Diagnostics, Inc. (now a member of Roche Holding AG), a biotechnology company, from October 2015 to January 2016, and as Director of Business Development from September 2012 to October 2015. Dr. Oney received a Ph.D. in Genetics and Genomics from Duke University, an M.B.A. from Stanford University Graduate School of Business, and a B.S. in Genetics from the University of Kansas.</w:t>
      </w:r>
    </w:p>
    <w:p>
      <w:pPr>
        <w:spacing w:after="0" w:line="175" w:lineRule="exact"/>
        <w:rPr>
          <w:sz w:val="20"/>
          <w:szCs w:val="20"/>
          <w:color w:val="auto"/>
        </w:rPr>
      </w:pPr>
    </w:p>
    <w:p>
      <w:pPr>
        <w:ind w:left="180" w:right="20" w:firstLine="465"/>
        <w:spacing w:after="0" w:line="274" w:lineRule="auto"/>
        <w:rPr>
          <w:sz w:val="20"/>
          <w:szCs w:val="20"/>
          <w:color w:val="auto"/>
        </w:rPr>
      </w:pPr>
      <w:r>
        <w:rPr>
          <w:rFonts w:ascii="Arial" w:cs="Arial" w:eastAsia="Arial" w:hAnsi="Arial"/>
          <w:sz w:val="18"/>
          <w:szCs w:val="18"/>
          <w:i w:val="1"/>
          <w:iCs w:val="1"/>
          <w:color w:val="auto"/>
        </w:rPr>
        <w:t xml:space="preserve">Calvin Yu, Vice President, Finance. </w:t>
      </w:r>
      <w:r>
        <w:rPr>
          <w:rFonts w:ascii="Arial" w:cs="Arial" w:eastAsia="Arial" w:hAnsi="Arial"/>
          <w:sz w:val="18"/>
          <w:szCs w:val="18"/>
          <w:color w:val="auto"/>
        </w:rPr>
        <w:t>Mr. Yu has led our Finance team since June 2017. Mr. Yu joined Alector from Stemcentrx, Inc. (acquired by</w:t>
      </w:r>
      <w:r>
        <w:rPr>
          <w:rFonts w:ascii="Arial" w:cs="Arial" w:eastAsia="Arial" w:hAnsi="Arial"/>
          <w:sz w:val="18"/>
          <w:szCs w:val="18"/>
          <w:i w:val="1"/>
          <w:iCs w:val="1"/>
          <w:color w:val="auto"/>
        </w:rPr>
        <w:t xml:space="preserve"> </w:t>
      </w:r>
      <w:r>
        <w:rPr>
          <w:rFonts w:ascii="Arial" w:cs="Arial" w:eastAsia="Arial" w:hAnsi="Arial"/>
          <w:sz w:val="18"/>
          <w:szCs w:val="18"/>
          <w:color w:val="auto"/>
        </w:rPr>
        <w:t>AbbVie), a biotechnology company, where he served as Corporate Controller from February 2016 to June 2017. Prior to Stemcentrx, Mr. Yu held several senior level finance roles at publicly traded biotechnology companies, including Senior Director of Finance and SEC Reporting at Adverum Biotechnologies, Inc. from September 2014 to February 2016, and Controller at Five Prime Therapeutics, Inc. from March 2010 to September 2014. Mr. Yu received his B.S. in Accounting from San Francisco State University, College of Business.</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Non-Employee Directors</w:t>
      </w:r>
    </w:p>
    <w:p>
      <w:pPr>
        <w:spacing w:after="0" w:line="130" w:lineRule="exact"/>
        <w:rPr>
          <w:sz w:val="20"/>
          <w:szCs w:val="20"/>
          <w:color w:val="auto"/>
        </w:rPr>
      </w:pPr>
    </w:p>
    <w:p>
      <w:pPr>
        <w:ind w:left="180" w:right="80" w:firstLine="465"/>
        <w:spacing w:after="0" w:line="288" w:lineRule="auto"/>
        <w:rPr>
          <w:sz w:val="20"/>
          <w:szCs w:val="20"/>
          <w:color w:val="auto"/>
        </w:rPr>
      </w:pPr>
      <w:r>
        <w:rPr>
          <w:rFonts w:ascii="Arial" w:cs="Arial" w:eastAsia="Arial" w:hAnsi="Arial"/>
          <w:sz w:val="17"/>
          <w:szCs w:val="17"/>
          <w:i w:val="1"/>
          <w:iCs w:val="1"/>
          <w:color w:val="auto"/>
        </w:rPr>
        <w:t xml:space="preserve">Tillman Gerngross, Ph.D., Co-Founder and Chairperson. </w:t>
      </w:r>
      <w:r>
        <w:rPr>
          <w:rFonts w:ascii="Arial" w:cs="Arial" w:eastAsia="Arial" w:hAnsi="Arial"/>
          <w:sz w:val="17"/>
          <w:szCs w:val="17"/>
          <w:color w:val="auto"/>
        </w:rPr>
        <w:t>Dr. Gerngross co-founded Alector in 2013 and has served as a member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and as Chairperson since 2013. Dr. Gerngross is a founder, director, and executive officer of numerous biotechnology companies. He is a founder and currently serving as Chief Executive Officer and as a director of Adimab, LLC. He is also a founder and Chairman of the board of directors of Avitide, Inc. and a founder and the Chairman of the board of directors of Arsanis, Inc. Dr. Gerngross is currently a Venture Partner at SV Life Sciences Advisors, LLC, which he joined in 2006. Dr. Gerngross co-founded GlycoFi, Inc. and served as its Chief Scientific Officer from 2000 to 2006 until it was acquired by Merck &amp; Company, Inc. Dr. Gerngross currently teaches in the departments of Biology and Chemistry, as well as at the School of Engineering at Dartmouth College, where he has taught since 1998. Dr. Gerngross attended the Technical University of Vienna, Austria, where he received a B.S. and M.S. in Chemical Engineering and a Ph.D. in Molecular Biology.</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132</w:t>
      </w:r>
    </w:p>
    <w:p>
      <w:pPr>
        <w:sectPr>
          <w:pgSz w:w="12240" w:h="15840" w:orient="portrait"/>
          <w:cols w:equalWidth="0" w:num="1">
            <w:col w:w="11820"/>
          </w:cols>
          <w:pgMar w:left="120" w:top="336" w:right="300" w:bottom="1440" w:gutter="0" w:footer="0" w:header="0"/>
        </w:sectPr>
      </w:pPr>
    </w:p>
    <w:bookmarkStart w:id="140" w:name="page141"/>
    <w:bookmarkEnd w:id="14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right="520" w:firstLine="465"/>
        <w:spacing w:after="0" w:line="284" w:lineRule="auto"/>
        <w:rPr>
          <w:sz w:val="20"/>
          <w:szCs w:val="20"/>
          <w:color w:val="auto"/>
        </w:rPr>
      </w:pPr>
      <w:r>
        <w:rPr>
          <w:rFonts w:ascii="Arial" w:cs="Arial" w:eastAsia="Arial" w:hAnsi="Arial"/>
          <w:sz w:val="18"/>
          <w:szCs w:val="18"/>
          <w:color w:val="auto"/>
        </w:rPr>
        <w:t>We believe Dr. Gerngross is qualified to serve on our board of directors because of the perspective and experience he provides as one of our founders, his expertise and experience in antibody drug discovery and development, his experience as a founder and director of other life sciences companies, his educational background, and his experience working in the venture capital industry.</w:t>
      </w:r>
    </w:p>
    <w:p>
      <w:pPr>
        <w:spacing w:after="0" w:line="178" w:lineRule="exact"/>
        <w:rPr>
          <w:sz w:val="20"/>
          <w:szCs w:val="20"/>
          <w:color w:val="auto"/>
        </w:rPr>
      </w:pPr>
    </w:p>
    <w:p>
      <w:pPr>
        <w:ind w:left="180" w:right="60" w:firstLine="465"/>
        <w:spacing w:after="0" w:line="272" w:lineRule="auto"/>
        <w:rPr>
          <w:sz w:val="20"/>
          <w:szCs w:val="20"/>
          <w:color w:val="auto"/>
        </w:rPr>
      </w:pPr>
      <w:r>
        <w:rPr>
          <w:rFonts w:ascii="Arial" w:cs="Arial" w:eastAsia="Arial" w:hAnsi="Arial"/>
          <w:sz w:val="18"/>
          <w:szCs w:val="18"/>
          <w:i w:val="1"/>
          <w:iCs w:val="1"/>
          <w:color w:val="auto"/>
        </w:rPr>
        <w:t xml:space="preserve">Christine Brennan, Ph.D. </w:t>
      </w:r>
      <w:r>
        <w:rPr>
          <w:rFonts w:ascii="Arial" w:cs="Arial" w:eastAsia="Arial" w:hAnsi="Arial"/>
          <w:sz w:val="18"/>
          <w:szCs w:val="18"/>
          <w:color w:val="auto"/>
        </w:rPr>
        <w:t>Dr. Brennan has served as a member of our board of directors since 2017. Dr. Brennan is a partner at MRL Ventures</w:t>
      </w:r>
      <w:r>
        <w:rPr>
          <w:rFonts w:ascii="Arial" w:cs="Arial" w:eastAsia="Arial" w:hAnsi="Arial"/>
          <w:sz w:val="18"/>
          <w:szCs w:val="18"/>
          <w:i w:val="1"/>
          <w:iCs w:val="1"/>
          <w:color w:val="auto"/>
        </w:rPr>
        <w:t xml:space="preserve"> </w:t>
      </w:r>
      <w:r>
        <w:rPr>
          <w:rFonts w:ascii="Arial" w:cs="Arial" w:eastAsia="Arial" w:hAnsi="Arial"/>
          <w:sz w:val="18"/>
          <w:szCs w:val="18"/>
          <w:color w:val="auto"/>
        </w:rPr>
        <w:t>Fund LLC, a life sciences venture capital firm, which she joined in 2017. Prior to joining MRL, from 2013 to 2017, Dr. Brennan served as a Principal at the Novartis Venture Fund. From 2010 to 2013, Dr. Brennan served as Chief Business Officer of Vitae Pharmaceuticals, Inc. She holds a Ph.D. in neurophysiology from Dartmouth College, completed post-doctoral research in developmental neurobiology at the National Institutes of Health, and holds a B.S. in biochemistry from the University of New Hampshire. Dr. Brennan will resign from our board of directors immediately prior to the effectiveness of the registration statement of which this prospectus forms a part.</w:t>
      </w:r>
    </w:p>
    <w:p>
      <w:pPr>
        <w:spacing w:after="0" w:line="190" w:lineRule="exact"/>
        <w:rPr>
          <w:sz w:val="20"/>
          <w:szCs w:val="20"/>
          <w:color w:val="auto"/>
        </w:rPr>
      </w:pPr>
    </w:p>
    <w:p>
      <w:pPr>
        <w:ind w:left="180" w:right="40" w:firstLine="465"/>
        <w:spacing w:after="0" w:line="263" w:lineRule="auto"/>
        <w:rPr>
          <w:sz w:val="20"/>
          <w:szCs w:val="20"/>
          <w:color w:val="auto"/>
        </w:rPr>
      </w:pPr>
      <w:r>
        <w:rPr>
          <w:rFonts w:ascii="Arial" w:cs="Arial" w:eastAsia="Arial" w:hAnsi="Arial"/>
          <w:sz w:val="19"/>
          <w:szCs w:val="19"/>
          <w:color w:val="auto"/>
        </w:rPr>
        <w:t>We believe Dr. Brennan is qualified to serve on our board of directors because of her expertise and experience working as an executive of a pharmaceutical company, her broad experience working as a director of business development and head of strategy and operations at several life science companies, and her experience working in the venture capital industry.</w:t>
      </w:r>
    </w:p>
    <w:p>
      <w:pPr>
        <w:spacing w:after="0" w:line="194" w:lineRule="exact"/>
        <w:rPr>
          <w:sz w:val="20"/>
          <w:szCs w:val="20"/>
          <w:color w:val="auto"/>
        </w:rPr>
      </w:pPr>
    </w:p>
    <w:p>
      <w:pPr>
        <w:ind w:left="180" w:right="40" w:firstLine="465"/>
        <w:spacing w:after="0" w:line="283" w:lineRule="auto"/>
        <w:rPr>
          <w:sz w:val="20"/>
          <w:szCs w:val="20"/>
          <w:color w:val="auto"/>
        </w:rPr>
      </w:pPr>
      <w:r>
        <w:rPr>
          <w:rFonts w:ascii="Arial" w:cs="Arial" w:eastAsia="Arial" w:hAnsi="Arial"/>
          <w:sz w:val="17"/>
          <w:szCs w:val="17"/>
          <w:i w:val="1"/>
          <w:iCs w:val="1"/>
          <w:color w:val="auto"/>
        </w:rPr>
        <w:t xml:space="preserve">Louis J. Lavigne, Jr. </w:t>
      </w:r>
      <w:r>
        <w:rPr>
          <w:rFonts w:ascii="Arial" w:cs="Arial" w:eastAsia="Arial" w:hAnsi="Arial"/>
          <w:sz w:val="17"/>
          <w:szCs w:val="17"/>
          <w:color w:val="auto"/>
        </w:rPr>
        <w:t>Mr. Lavigne has served as a member of our board of directors and as our Lead Independent Director since October 2018. Mr.</w:t>
      </w:r>
      <w:r>
        <w:rPr>
          <w:rFonts w:ascii="Arial" w:cs="Arial" w:eastAsia="Arial" w:hAnsi="Arial"/>
          <w:sz w:val="17"/>
          <w:szCs w:val="17"/>
          <w:i w:val="1"/>
          <w:iCs w:val="1"/>
          <w:color w:val="auto"/>
        </w:rPr>
        <w:t xml:space="preserve"> </w:t>
      </w:r>
      <w:r>
        <w:rPr>
          <w:rFonts w:ascii="Arial" w:cs="Arial" w:eastAsia="Arial" w:hAnsi="Arial"/>
          <w:sz w:val="17"/>
          <w:szCs w:val="17"/>
          <w:color w:val="auto"/>
        </w:rPr>
        <w:t>Lavigne has been a Managing Director of Lavrite, LLC, a management consulting firm specializing in the areas of corporate finance, accounting, growth strategy, and management, since 2005. Mr. Lavigne served in various executive capacities with Genentech, Inc. for over 20 years, including, Chief Financial Officer from 1988 to 2005, Executive Vice President from 1997 to 2005, Senior Vice President from 1994 to 1997, Vice President from 1986 to 1994, and Controller from 1983 to 1986. He has served as a member of the board of directors of Assertio Therapeutics, Inc., a pharmaceutical company, since July 2013, and also serves as the chair of the compensation committee and member of the audit committee; as a director, chair of the audit committee, and member of the compensation committee of DocuSign Inc., an eSignature transaction management company, since July 2013; as a member of the board of directors of Zynga Inc., a video game company, since 2015, including as audit committee chairman and compensation committee member since 2015 and as Lead Director since 2017; and as chairman of the board of directors and chairperson of the compensation committee of Accuray Incorporated, a radiation oncology company, since September 2009. Within the last five years, Mr. Lavigne also served on the board of directors, the audit committee, and the science and technology committee of Allergan, Inc., a global health care company, from 2005 until its acquisition by Actavis plc in 2015; as a director and chair of the audit committee of NovoCure Limited, an oncology company, from 2013 until October 2018; as a director and chair of the audit committee of SafeNet, Inc., a private information security company, from 2010 until its acquisition by Gemalto NV in 2015; and as a director and chair of the audit committee of BMC Software, Inc., an enterprise systems software vendor, from 2004 to 2007 and from 2008 to 2013, when it was acquired by a private investor group. Mr. Lavigne serves as a board member and is the former chairman of the UCSF Benioff Children’s Hospitals and the UCSF Children’s Hospitals Foundation where he is also a member of the audit and finance committees. Mr. Lavigne holds a B.S. in Business Administration from Babson College and an M.B.A. from Temple University.</w:t>
      </w:r>
    </w:p>
    <w:p>
      <w:pPr>
        <w:spacing w:after="0" w:line="189" w:lineRule="exact"/>
        <w:rPr>
          <w:sz w:val="20"/>
          <w:szCs w:val="20"/>
          <w:color w:val="auto"/>
        </w:rPr>
      </w:pPr>
    </w:p>
    <w:p>
      <w:pPr>
        <w:ind w:left="180" w:firstLine="465"/>
        <w:spacing w:after="0" w:line="263" w:lineRule="auto"/>
        <w:rPr>
          <w:sz w:val="20"/>
          <w:szCs w:val="20"/>
          <w:color w:val="auto"/>
        </w:rPr>
      </w:pPr>
      <w:r>
        <w:rPr>
          <w:rFonts w:ascii="Arial" w:cs="Arial" w:eastAsia="Arial" w:hAnsi="Arial"/>
          <w:sz w:val="19"/>
          <w:szCs w:val="19"/>
          <w:color w:val="auto"/>
        </w:rPr>
        <w:t>We believe Mr. Lavigne is qualified to serve on our board of directors because of his extensive experience in business operations and management, strategy, finance, accounting, and public company governance as a chief financial officer of a large, complex publicly-traded company and his extensive board leadership positions with a number of public company boards and audit committees.</w:t>
      </w:r>
    </w:p>
    <w:p>
      <w:pPr>
        <w:spacing w:after="0" w:line="194" w:lineRule="exact"/>
        <w:rPr>
          <w:sz w:val="20"/>
          <w:szCs w:val="20"/>
          <w:color w:val="auto"/>
        </w:rPr>
      </w:pPr>
    </w:p>
    <w:p>
      <w:pPr>
        <w:ind w:left="180" w:right="180" w:firstLine="465"/>
        <w:spacing w:after="0" w:line="308" w:lineRule="auto"/>
        <w:rPr>
          <w:sz w:val="20"/>
          <w:szCs w:val="20"/>
          <w:color w:val="auto"/>
        </w:rPr>
      </w:pPr>
      <w:r>
        <w:rPr>
          <w:rFonts w:ascii="Arial" w:cs="Arial" w:eastAsia="Arial" w:hAnsi="Arial"/>
          <w:sz w:val="17"/>
          <w:szCs w:val="17"/>
          <w:i w:val="1"/>
          <w:iCs w:val="1"/>
          <w:color w:val="auto"/>
        </w:rPr>
        <w:t xml:space="preserve">Carl Gordon, Ph.D., C.F.A. </w:t>
      </w:r>
      <w:r>
        <w:rPr>
          <w:rFonts w:ascii="Arial" w:cs="Arial" w:eastAsia="Arial" w:hAnsi="Arial"/>
          <w:sz w:val="17"/>
          <w:szCs w:val="17"/>
          <w:color w:val="auto"/>
        </w:rPr>
        <w:t>Dr. Gordon has served as a member of our board of directors since 2013. In addition, Dr. Gordon is a Founding</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and Co-Head of Global Private Equity at OrbiMed Advisors, LLC, a position in which he has served since January 1998. Dr. Gordon currently serves as a director of ARMO BioSciences Inc. and Arsanis, Inc. He also served on the boards of directors of Selecta Biosciences, Inc., a</w:t>
      </w:r>
    </w:p>
    <w:p>
      <w:pPr>
        <w:spacing w:after="0" w:line="8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133</w:t>
      </w:r>
    </w:p>
    <w:p>
      <w:pPr>
        <w:sectPr>
          <w:pgSz w:w="12240" w:h="15840" w:orient="portrait"/>
          <w:cols w:equalWidth="0" w:num="1">
            <w:col w:w="11800"/>
          </w:cols>
          <w:pgMar w:left="120" w:top="336" w:right="320" w:bottom="1440" w:gutter="0" w:footer="0" w:header="0"/>
        </w:sectPr>
      </w:pPr>
    </w:p>
    <w:bookmarkStart w:id="141" w:name="page142"/>
    <w:bookmarkEnd w:id="14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300"/>
        <w:spacing w:after="0" w:line="263" w:lineRule="auto"/>
        <w:rPr>
          <w:sz w:val="20"/>
          <w:szCs w:val="20"/>
          <w:color w:val="auto"/>
        </w:rPr>
      </w:pPr>
      <w:r>
        <w:rPr>
          <w:rFonts w:ascii="Arial" w:cs="Arial" w:eastAsia="Arial" w:hAnsi="Arial"/>
          <w:sz w:val="19"/>
          <w:szCs w:val="19"/>
          <w:color w:val="auto"/>
        </w:rPr>
        <w:t>publicly traded biopharmaceutical company, from 2010 to June 2017, and Intellia Therapeutics, Inc., a publicly traded biotechnology company, from August 2015 to July 2017. He received his Ph.D. in Biology from the Massachusetts Institute of Technology and a B.A. from Harvard College in Chemistry and Physics.</w:t>
      </w:r>
    </w:p>
    <w:p>
      <w:pPr>
        <w:spacing w:after="0" w:line="194" w:lineRule="exact"/>
        <w:rPr>
          <w:sz w:val="20"/>
          <w:szCs w:val="20"/>
          <w:color w:val="auto"/>
        </w:rPr>
      </w:pPr>
    </w:p>
    <w:p>
      <w:pPr>
        <w:ind w:left="180" w:right="280" w:firstLine="465"/>
        <w:spacing w:after="0" w:line="259" w:lineRule="auto"/>
        <w:rPr>
          <w:sz w:val="20"/>
          <w:szCs w:val="20"/>
          <w:color w:val="auto"/>
        </w:rPr>
      </w:pPr>
      <w:r>
        <w:rPr>
          <w:rFonts w:ascii="Arial" w:cs="Arial" w:eastAsia="Arial" w:hAnsi="Arial"/>
          <w:sz w:val="19"/>
          <w:szCs w:val="19"/>
          <w:color w:val="auto"/>
        </w:rPr>
        <w:t>We believe Dr. Gordon is qualified to serve on our board of directors because of his expertise and experience in the biotechnology industry through his role as Founding Partner and Co-Head of Global Private Equity at OrbiMed over a 20-year period, in which he has been involved in the evaluation, investment and oversight of several biotechnology companies, his experience as a director of other life sciences companies, as well as his scientific educational background.</w:t>
      </w:r>
    </w:p>
    <w:p>
      <w:pPr>
        <w:spacing w:after="0" w:line="198" w:lineRule="exact"/>
        <w:rPr>
          <w:sz w:val="20"/>
          <w:szCs w:val="20"/>
          <w:color w:val="auto"/>
        </w:rPr>
      </w:pPr>
    </w:p>
    <w:p>
      <w:pPr>
        <w:ind w:left="180" w:firstLine="465"/>
        <w:spacing w:after="0" w:line="286" w:lineRule="auto"/>
        <w:rPr>
          <w:sz w:val="20"/>
          <w:szCs w:val="20"/>
          <w:color w:val="auto"/>
        </w:rPr>
      </w:pPr>
      <w:r>
        <w:rPr>
          <w:rFonts w:ascii="Arial" w:cs="Arial" w:eastAsia="Arial" w:hAnsi="Arial"/>
          <w:sz w:val="17"/>
          <w:szCs w:val="17"/>
          <w:i w:val="1"/>
          <w:iCs w:val="1"/>
          <w:color w:val="auto"/>
        </w:rPr>
        <w:t xml:space="preserve">Terry McGuire. </w:t>
      </w:r>
      <w:r>
        <w:rPr>
          <w:rFonts w:ascii="Arial" w:cs="Arial" w:eastAsia="Arial" w:hAnsi="Arial"/>
          <w:sz w:val="17"/>
          <w:szCs w:val="17"/>
          <w:color w:val="auto"/>
        </w:rPr>
        <w:t>Mr. McGuire has served as a member of our board of directors since 2013. Additionally, Mr. McGuire is a Founding Partner of</w:t>
      </w:r>
      <w:r>
        <w:rPr>
          <w:rFonts w:ascii="Arial" w:cs="Arial" w:eastAsia="Arial" w:hAnsi="Arial"/>
          <w:sz w:val="17"/>
          <w:szCs w:val="17"/>
          <w:i w:val="1"/>
          <w:iCs w:val="1"/>
          <w:color w:val="auto"/>
        </w:rPr>
        <w:t xml:space="preserve"> </w:t>
      </w:r>
      <w:r>
        <w:rPr>
          <w:rFonts w:ascii="Arial" w:cs="Arial" w:eastAsia="Arial" w:hAnsi="Arial"/>
          <w:sz w:val="17"/>
          <w:szCs w:val="17"/>
          <w:color w:val="auto"/>
        </w:rPr>
        <w:t>Polaris Partners, a venture capital firm investing in technology and healthcare companies across all stages of development, where he has worked since 1996. Mr. McGuire serves as Chairman of the board of directors of Ironwood Pharmaceuticals, Inc., a publicly traded drug manufacturer, and has served as a director since 1998. Mr. McGuire also currently serves on the boards of directors of Pulmatrix, Inc., a publicly traded biopharmaceutical company, where he has served since May 2016. From January 2008 to July 2014, Mr. McGuire served on the board of directors of Trevena, Inc., a publicly traded biopharmaceutical company. Mr. McGuire is emeritus Chairman of the National Venture Capital Association, Chairman of the Global Ventures Capital Congress and chairs the board of the Thayer School of Engineering at Dartmouth College. He also sits on the boards of Massachusetts Institute of Technology’s The David H. Koch Institute for Integrative Cancer Research, The Arthur Rock Center for Entrepreneurship at Harvard Business School and The Healthcare Initiative Advisory Board. Mr. McGuire holds an M.B.A. from Harvard Business School, and a M.S. in engineering from the Thayer School at Dartmouth College, and a B.S. in physics and economics from Hobart College.</w:t>
      </w:r>
    </w:p>
    <w:p>
      <w:pPr>
        <w:spacing w:after="0" w:line="181" w:lineRule="exact"/>
        <w:rPr>
          <w:sz w:val="20"/>
          <w:szCs w:val="20"/>
          <w:color w:val="auto"/>
        </w:rPr>
      </w:pPr>
    </w:p>
    <w:p>
      <w:pPr>
        <w:ind w:left="180" w:right="60" w:firstLine="465"/>
        <w:spacing w:after="0" w:line="259" w:lineRule="auto"/>
        <w:rPr>
          <w:sz w:val="20"/>
          <w:szCs w:val="20"/>
          <w:color w:val="auto"/>
        </w:rPr>
      </w:pPr>
      <w:r>
        <w:rPr>
          <w:rFonts w:ascii="Arial" w:cs="Arial" w:eastAsia="Arial" w:hAnsi="Arial"/>
          <w:sz w:val="19"/>
          <w:szCs w:val="19"/>
          <w:color w:val="auto"/>
        </w:rPr>
        <w:t>We believe Mr. McGuire is qualified to serve on our board of directors because of his expertise and experience in the biotechnology industry through his role as a Founding Partner of Polaris Partners and his cumulative career in venture capital over a period spanning over 35 years, in which he has been involved in the evaluation, investment and oversight of numerous biotechnology companies, as well as his experience as a director of several biotechnology companies, including other public companies.</w:t>
      </w:r>
    </w:p>
    <w:p>
      <w:pPr>
        <w:spacing w:after="0" w:line="198" w:lineRule="exact"/>
        <w:rPr>
          <w:sz w:val="20"/>
          <w:szCs w:val="20"/>
          <w:color w:val="auto"/>
        </w:rPr>
      </w:pPr>
    </w:p>
    <w:p>
      <w:pPr>
        <w:ind w:left="180" w:right="140" w:firstLine="465"/>
        <w:spacing w:after="0" w:line="269" w:lineRule="auto"/>
        <w:rPr>
          <w:sz w:val="20"/>
          <w:szCs w:val="20"/>
          <w:color w:val="auto"/>
        </w:rPr>
      </w:pPr>
      <w:r>
        <w:rPr>
          <w:rFonts w:ascii="Arial" w:cs="Arial" w:eastAsia="Arial" w:hAnsi="Arial"/>
          <w:sz w:val="18"/>
          <w:szCs w:val="18"/>
          <w:i w:val="1"/>
          <w:iCs w:val="1"/>
          <w:color w:val="auto"/>
        </w:rPr>
        <w:t xml:space="preserve">Richard Scheller, Ph.D. </w:t>
      </w:r>
      <w:r>
        <w:rPr>
          <w:rFonts w:ascii="Arial" w:cs="Arial" w:eastAsia="Arial" w:hAnsi="Arial"/>
          <w:sz w:val="18"/>
          <w:szCs w:val="18"/>
          <w:color w:val="auto"/>
        </w:rPr>
        <w:t>Dr. Scheller has served as a member of our board of directors since October 2018. Dr. Scheller has been Chief Scientific</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at 23andMe, a personal genetics company, since 2015. Previously, Dr. Scheller was the Executive Vice President of Research and Early Development and a member of the Executive Committee at Genentech, Inc. from February 2001 to December 2014. From January 2009 to December 2014, Dr. Scheller was also a member of the Enlarged Executive Committee at Hoffmann-La Roche Ltd. Since February 2015, Dr. Scheller has served as a member of the board of directors for ORIC Pharmaceuticals, Inc. Since March 2015, Dr. Scheller has served as a member of the board of directors for Xenon Pharmaceuticals Inc. Since January 2018, Dr. Scheller has served as a member of the board of directors of BridgeBio Inc. Dr. Scheller’s research on elucidating the molecular machinery and regulatory mechanism that underlie the release of neurotransmitters earned him the 2013 Albert Lasker Basic Medical Research Award. He is a member of the National Academy of Sciences and a member of the National Academy of Medicine. Dr. Scheller holds a Ph.D. in Chemistry from the California Institute of Technology and B.Sc. in Biochemistry from the University of Wisconsin-Madison. He completed his post-doctorate in Molecular Neurobiology at Columbia University.</w:t>
      </w:r>
    </w:p>
    <w:p>
      <w:pPr>
        <w:spacing w:after="0" w:line="190" w:lineRule="exact"/>
        <w:rPr>
          <w:sz w:val="20"/>
          <w:szCs w:val="20"/>
          <w:color w:val="auto"/>
        </w:rPr>
      </w:pPr>
    </w:p>
    <w:p>
      <w:pPr>
        <w:ind w:left="180" w:right="80" w:firstLine="465"/>
        <w:spacing w:after="0" w:line="275" w:lineRule="auto"/>
        <w:rPr>
          <w:sz w:val="20"/>
          <w:szCs w:val="20"/>
          <w:color w:val="auto"/>
        </w:rPr>
      </w:pPr>
      <w:r>
        <w:rPr>
          <w:rFonts w:ascii="Arial" w:cs="Arial" w:eastAsia="Arial" w:hAnsi="Arial"/>
          <w:sz w:val="19"/>
          <w:szCs w:val="19"/>
          <w:color w:val="auto"/>
        </w:rPr>
        <w:t>We believe Dr. Scheller is qualified to serve on our board of directors because of his scientific background and his senior management experience in the pharmaceutical industry.</w:t>
      </w:r>
    </w:p>
    <w:p>
      <w:pPr>
        <w:spacing w:after="0" w:line="184" w:lineRule="exact"/>
        <w:rPr>
          <w:sz w:val="20"/>
          <w:szCs w:val="20"/>
          <w:color w:val="auto"/>
        </w:rPr>
      </w:pPr>
    </w:p>
    <w:p>
      <w:pPr>
        <w:jc w:val="both"/>
        <w:ind w:left="180" w:right="400" w:firstLine="465"/>
        <w:spacing w:after="0" w:line="308" w:lineRule="auto"/>
        <w:rPr>
          <w:sz w:val="20"/>
          <w:szCs w:val="20"/>
          <w:color w:val="auto"/>
        </w:rPr>
      </w:pPr>
      <w:r>
        <w:rPr>
          <w:rFonts w:ascii="Arial" w:cs="Arial" w:eastAsia="Arial" w:hAnsi="Arial"/>
          <w:sz w:val="17"/>
          <w:szCs w:val="17"/>
          <w:i w:val="1"/>
          <w:iCs w:val="1"/>
          <w:color w:val="auto"/>
        </w:rPr>
        <w:t>David Wehner</w:t>
      </w:r>
      <w:r>
        <w:rPr>
          <w:rFonts w:ascii="Arial" w:cs="Arial" w:eastAsia="Arial" w:hAnsi="Arial"/>
          <w:sz w:val="17"/>
          <w:szCs w:val="17"/>
          <w:color w:val="auto"/>
        </w:rPr>
        <w:t>. Mr. Wehner has served as a member of our board of directors since October 2018. He has served as Chief Financial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Facebook, Inc. since June 2014. Mr. Wehner joined Facebook, Inc. in November 2012 as Vice President, Corporate Finance and Business Planning. From August 2010 until November 2012, Mr. Wehner served as Chief Financial Officer at Zynga Inc., a provider of social game services. From</w:t>
      </w:r>
    </w:p>
    <w:p>
      <w:pPr>
        <w:spacing w:after="0" w:line="8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134</w:t>
      </w:r>
    </w:p>
    <w:p>
      <w:pPr>
        <w:sectPr>
          <w:pgSz w:w="12240" w:h="15840" w:orient="portrait"/>
          <w:cols w:equalWidth="0" w:num="1">
            <w:col w:w="11800"/>
          </w:cols>
          <w:pgMar w:left="120" w:top="336" w:right="320" w:bottom="1440" w:gutter="0" w:footer="0" w:header="0"/>
        </w:sectPr>
      </w:pPr>
    </w:p>
    <w:bookmarkStart w:id="142" w:name="page143"/>
    <w:bookmarkEnd w:id="14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80"/>
        <w:spacing w:after="0" w:line="263" w:lineRule="auto"/>
        <w:rPr>
          <w:sz w:val="20"/>
          <w:szCs w:val="20"/>
          <w:color w:val="auto"/>
        </w:rPr>
      </w:pPr>
      <w:r>
        <w:rPr>
          <w:rFonts w:ascii="Arial" w:cs="Arial" w:eastAsia="Arial" w:hAnsi="Arial"/>
          <w:sz w:val="19"/>
          <w:szCs w:val="19"/>
          <w:color w:val="auto"/>
        </w:rPr>
        <w:t>February 2001 to July 2010, Mr. Wehner served in various positions at Allen &amp; Company, an investment bank, including as a Managing Director from November 2006 to July 2010 and as a director from December 2005 to November 2006. Mr. Wehner holds an M.S. in applied physics from Stanford University and a B.S. in chemistry from Georgetown University.</w:t>
      </w:r>
    </w:p>
    <w:p>
      <w:pPr>
        <w:spacing w:after="0" w:line="194" w:lineRule="exact"/>
        <w:rPr>
          <w:sz w:val="20"/>
          <w:szCs w:val="20"/>
          <w:color w:val="auto"/>
        </w:rPr>
      </w:pPr>
    </w:p>
    <w:p>
      <w:pPr>
        <w:ind w:left="180" w:right="640" w:firstLine="465"/>
        <w:spacing w:after="0" w:line="275" w:lineRule="auto"/>
        <w:rPr>
          <w:sz w:val="20"/>
          <w:szCs w:val="20"/>
          <w:color w:val="auto"/>
        </w:rPr>
      </w:pPr>
      <w:r>
        <w:rPr>
          <w:rFonts w:ascii="Arial" w:cs="Arial" w:eastAsia="Arial" w:hAnsi="Arial"/>
          <w:sz w:val="19"/>
          <w:szCs w:val="19"/>
          <w:color w:val="auto"/>
        </w:rPr>
        <w:t>We believe Mr. Wehner is qualified to serve on our board of directors based on his substantial executive, strategy, finance, and operational experience.</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Board Composition</w:t>
      </w:r>
    </w:p>
    <w:p>
      <w:pPr>
        <w:spacing w:after="0" w:line="130" w:lineRule="exact"/>
        <w:rPr>
          <w:sz w:val="20"/>
          <w:szCs w:val="20"/>
          <w:color w:val="auto"/>
        </w:rPr>
      </w:pPr>
    </w:p>
    <w:p>
      <w:pPr>
        <w:ind w:left="180" w:right="140" w:firstLine="465"/>
        <w:spacing w:after="0" w:line="256" w:lineRule="auto"/>
        <w:rPr>
          <w:sz w:val="20"/>
          <w:szCs w:val="20"/>
          <w:color w:val="auto"/>
        </w:rPr>
      </w:pPr>
      <w:r>
        <w:rPr>
          <w:rFonts w:ascii="Arial" w:cs="Arial" w:eastAsia="Arial" w:hAnsi="Arial"/>
          <w:sz w:val="19"/>
          <w:szCs w:val="19"/>
          <w:color w:val="auto"/>
        </w:rPr>
        <w:t>Our board of directors currently consists of eight members, which will be reduced to seven members following the resignation of Dr. Brennan prior to the effectiveness of the registration statement of which this prospectus forms a part. After the completion of this offering,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204" w:lineRule="exact"/>
        <w:rPr>
          <w:sz w:val="20"/>
          <w:szCs w:val="20"/>
          <w:color w:val="auto"/>
        </w:rPr>
      </w:pPr>
    </w:p>
    <w:p>
      <w:pPr>
        <w:ind w:left="180" w:right="140" w:firstLine="465"/>
        <w:spacing w:after="0" w:line="284" w:lineRule="auto"/>
        <w:rPr>
          <w:sz w:val="20"/>
          <w:szCs w:val="20"/>
          <w:color w:val="auto"/>
        </w:rPr>
      </w:pPr>
      <w:r>
        <w:rPr>
          <w:rFonts w:ascii="Arial" w:cs="Arial" w:eastAsia="Arial" w:hAnsi="Arial"/>
          <w:sz w:val="18"/>
          <w:szCs w:val="18"/>
          <w:color w:val="auto"/>
        </w:rPr>
        <w:t>Our amended and restated certificate of incorporation will provide that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spacing w:after="0" w:line="78" w:lineRule="exact"/>
        <w:rPr>
          <w:sz w:val="20"/>
          <w:szCs w:val="20"/>
          <w:color w:val="auto"/>
        </w:rPr>
      </w:pPr>
    </w:p>
    <w:p>
      <w:pPr>
        <w:ind w:left="1100" w:right="280" w:hanging="350"/>
        <w:spacing w:after="0" w:line="275" w:lineRule="auto"/>
        <w:tabs>
          <w:tab w:leader="none" w:pos="11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Class I directors will be Dr. Rosenthal and Mr. Wehner, and their terms will expire at the annual meeting of stockholders to be held in 2019;</w:t>
      </w:r>
    </w:p>
    <w:p>
      <w:pPr>
        <w:spacing w:after="0" w:line="84" w:lineRule="exact"/>
        <w:rPr>
          <w:rFonts w:ascii="Arial" w:cs="Arial" w:eastAsia="Arial" w:hAnsi="Arial"/>
          <w:sz w:val="19"/>
          <w:szCs w:val="19"/>
          <w:color w:val="auto"/>
        </w:rPr>
      </w:pPr>
    </w:p>
    <w:p>
      <w:pPr>
        <w:ind w:left="1100" w:right="280" w:hanging="350"/>
        <w:spacing w:after="0" w:line="275" w:lineRule="auto"/>
        <w:tabs>
          <w:tab w:leader="none" w:pos="11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Class II directors will be Dr. Gordon and Mr. McGuire, and their terms will expire at the annual meeting of stockholders to be held in 2020; and</w:t>
      </w:r>
    </w:p>
    <w:p>
      <w:pPr>
        <w:spacing w:after="0" w:line="84" w:lineRule="exact"/>
        <w:rPr>
          <w:rFonts w:ascii="Arial" w:cs="Arial" w:eastAsia="Arial" w:hAnsi="Arial"/>
          <w:sz w:val="19"/>
          <w:szCs w:val="19"/>
          <w:color w:val="auto"/>
        </w:rPr>
      </w:pPr>
    </w:p>
    <w:p>
      <w:pPr>
        <w:ind w:left="1100" w:hanging="350"/>
        <w:spacing w:after="0" w:line="275" w:lineRule="auto"/>
        <w:tabs>
          <w:tab w:leader="none" w:pos="11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Class III directors will be Drs. Gerngross and Scheller and Mr. Lavigne, and their terms will expire at the annual meeting of stockholders to be held in 2021.</w:t>
      </w:r>
    </w:p>
    <w:p>
      <w:pPr>
        <w:spacing w:after="0" w:line="184"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This classification of our board of directors may have the effect of delaying or preventing changes in control of our company.</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Director Independence</w:t>
      </w:r>
    </w:p>
    <w:p>
      <w:pPr>
        <w:spacing w:after="0" w:line="130" w:lineRule="exact"/>
        <w:rPr>
          <w:sz w:val="20"/>
          <w:szCs w:val="20"/>
          <w:color w:val="auto"/>
        </w:rPr>
      </w:pPr>
    </w:p>
    <w:p>
      <w:pPr>
        <w:ind w:left="180" w:firstLine="465"/>
        <w:spacing w:after="0" w:line="271" w:lineRule="auto"/>
        <w:rPr>
          <w:sz w:val="20"/>
          <w:szCs w:val="20"/>
          <w:color w:val="auto"/>
        </w:rPr>
      </w:pPr>
      <w:r>
        <w:rPr>
          <w:rFonts w:ascii="Arial" w:cs="Arial" w:eastAsia="Arial" w:hAnsi="Arial"/>
          <w:sz w:val="18"/>
          <w:szCs w:val="18"/>
          <w:color w:val="auto"/>
        </w:rPr>
        <w:t>Upon the completion of this offering, we anticipate that our common stock will be listed on the NASDAQ Global Select Market (NASDAQ). Under the rules of NASDAQ, independent directors must comprise a majority of a listed company’s board of directors within one year of the completion of this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135</w:t>
      </w:r>
    </w:p>
    <w:p>
      <w:pPr>
        <w:sectPr>
          <w:pgSz w:w="12240" w:h="15840" w:orient="portrait"/>
          <w:cols w:equalWidth="0" w:num="1">
            <w:col w:w="11800"/>
          </w:cols>
          <w:pgMar w:left="120" w:top="336" w:right="320" w:bottom="1440" w:gutter="0" w:footer="0" w:header="0"/>
        </w:sectPr>
      </w:pPr>
    </w:p>
    <w:bookmarkStart w:id="143" w:name="page144"/>
    <w:bookmarkEnd w:id="14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firstLine="465"/>
        <w:spacing w:after="0" w:line="259" w:lineRule="auto"/>
        <w:rPr>
          <w:sz w:val="20"/>
          <w:szCs w:val="20"/>
          <w:color w:val="auto"/>
        </w:rPr>
      </w:pPr>
      <w:r>
        <w:rPr>
          <w:rFonts w:ascii="Arial" w:cs="Arial" w:eastAsia="Arial" w:hAnsi="Arial"/>
          <w:sz w:val="19"/>
          <w:szCs w:val="19"/>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98" w:lineRule="exact"/>
        <w:rPr>
          <w:sz w:val="20"/>
          <w:szCs w:val="20"/>
          <w:color w:val="auto"/>
        </w:rPr>
      </w:pPr>
    </w:p>
    <w:p>
      <w:pPr>
        <w:ind w:left="180" w:right="180" w:firstLine="465"/>
        <w:spacing w:after="0" w:line="272" w:lineRule="auto"/>
        <w:rPr>
          <w:sz w:val="20"/>
          <w:szCs w:val="20"/>
          <w:color w:val="auto"/>
        </w:rPr>
      </w:pPr>
      <w:r>
        <w:rPr>
          <w:rFonts w:ascii="Arial" w:cs="Arial" w:eastAsia="Arial" w:hAnsi="Arial"/>
          <w:sz w:val="18"/>
          <w:szCs w:val="18"/>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90" w:lineRule="exact"/>
        <w:rPr>
          <w:sz w:val="20"/>
          <w:szCs w:val="20"/>
          <w:color w:val="auto"/>
        </w:rPr>
      </w:pPr>
    </w:p>
    <w:p>
      <w:pPr>
        <w:ind w:left="180" w:right="20" w:firstLine="465"/>
        <w:spacing w:after="0" w:line="272" w:lineRule="auto"/>
        <w:rPr>
          <w:sz w:val="20"/>
          <w:szCs w:val="20"/>
          <w:color w:val="auto"/>
        </w:rPr>
      </w:pPr>
      <w:r>
        <w:rPr>
          <w:rFonts w:ascii="Arial" w:cs="Arial" w:eastAsia="Arial" w:hAnsi="Arial"/>
          <w:sz w:val="18"/>
          <w:szCs w:val="18"/>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Drs. Scheller and Gordon and Messrs. Lavigne, McGuire, and Wehner do not have a relationship that would interfere with the exercise of independent judgment in carrying out the responsibilities of a director and that each of these directors is “independent” as that term is defined under the rules of NASDAQ.</w:t>
      </w:r>
    </w:p>
    <w:p>
      <w:pPr>
        <w:spacing w:after="0" w:line="190" w:lineRule="exact"/>
        <w:rPr>
          <w:sz w:val="20"/>
          <w:szCs w:val="20"/>
          <w:color w:val="auto"/>
        </w:rPr>
      </w:pPr>
    </w:p>
    <w:p>
      <w:pPr>
        <w:ind w:left="180" w:firstLine="465"/>
        <w:spacing w:after="0" w:line="277"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 There are no family relationships among any of our directors or executive officers.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Lead Independent Director</w:t>
      </w:r>
    </w:p>
    <w:p>
      <w:pPr>
        <w:spacing w:after="0" w:line="130" w:lineRule="exact"/>
        <w:rPr>
          <w:sz w:val="20"/>
          <w:szCs w:val="20"/>
          <w:color w:val="auto"/>
        </w:rPr>
      </w:pPr>
    </w:p>
    <w:p>
      <w:pPr>
        <w:ind w:left="180" w:right="120" w:firstLine="465"/>
        <w:spacing w:after="0" w:line="255" w:lineRule="auto"/>
        <w:rPr>
          <w:sz w:val="20"/>
          <w:szCs w:val="20"/>
          <w:color w:val="auto"/>
        </w:rPr>
      </w:pPr>
      <w:r>
        <w:rPr>
          <w:rFonts w:ascii="Arial" w:cs="Arial" w:eastAsia="Arial" w:hAnsi="Arial"/>
          <w:sz w:val="19"/>
          <w:szCs w:val="19"/>
          <w:color w:val="auto"/>
        </w:rPr>
        <w:t>Our board of directors has appointed Louis J. Lavigne, Jr. to serve as our Lead Independent Director. As a general matter, our board of directors believes that appointing a Lead Independent Director, when either our Chief Executive Officer serves as Chairman or when our Chairman is not independent, creates an environment that encourages objective oversight of management’s performance and enhances the effectiveness of our board of directors as a whole. As Lead Independent Director, Mr. Lavigne will preside over periodic meetings of our independent directors, serve as a liaison between our Chairperson, Chief Executive Officer, and our independent directors and perform such additional duties as our board of directors may otherwise determine and delegate.</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Role of the Board in Risk Oversight</w:t>
      </w:r>
    </w:p>
    <w:p>
      <w:pPr>
        <w:spacing w:after="0" w:line="130" w:lineRule="exact"/>
        <w:rPr>
          <w:sz w:val="20"/>
          <w:szCs w:val="20"/>
          <w:color w:val="auto"/>
        </w:rPr>
      </w:pPr>
    </w:p>
    <w:p>
      <w:pPr>
        <w:ind w:left="180" w:right="40" w:firstLine="465"/>
        <w:spacing w:after="0" w:line="289" w:lineRule="auto"/>
        <w:rPr>
          <w:sz w:val="20"/>
          <w:szCs w:val="20"/>
          <w:color w:val="auto"/>
        </w:rPr>
      </w:pPr>
      <w:r>
        <w:rPr>
          <w:rFonts w:ascii="Arial" w:cs="Arial" w:eastAsia="Arial" w:hAnsi="Arial"/>
          <w:sz w:val="17"/>
          <w:szCs w:val="17"/>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and potential conflicts of interest. The corporate governance and nominating committee is responsible for overseeing the management of risks associated with the independence of our board of directors. Although each committee is responsible for evaluating certain risks and overseeing the management of such risks, our entire board of directors is regularly informed through discussions from</w:t>
      </w:r>
    </w:p>
    <w:p>
      <w:pPr>
        <w:spacing w:after="0" w:line="106"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136</w:t>
      </w:r>
    </w:p>
    <w:p>
      <w:pPr>
        <w:sectPr>
          <w:pgSz w:w="12240" w:h="15840" w:orient="portrait"/>
          <w:cols w:equalWidth="0" w:num="1">
            <w:col w:w="11760"/>
          </w:cols>
          <w:pgMar w:left="120" w:top="336" w:right="360" w:bottom="1440" w:gutter="0" w:footer="0" w:header="0"/>
        </w:sectPr>
      </w:pPr>
    </w:p>
    <w:bookmarkStart w:id="144" w:name="page145"/>
    <w:bookmarkEnd w:id="14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20"/>
        <w:spacing w:after="0" w:line="275" w:lineRule="auto"/>
        <w:rPr>
          <w:sz w:val="20"/>
          <w:szCs w:val="20"/>
          <w:color w:val="auto"/>
        </w:rPr>
      </w:pPr>
      <w:r>
        <w:rPr>
          <w:rFonts w:ascii="Arial" w:cs="Arial" w:eastAsia="Arial" w:hAnsi="Arial"/>
          <w:sz w:val="19"/>
          <w:szCs w:val="19"/>
          <w:color w:val="auto"/>
        </w:rPr>
        <w:t>committee members about such risks. Our board of directors believes its administration of its risk oversight function has not negatively affected the board of directors’ leadership structure.</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Board Committees</w:t>
      </w:r>
    </w:p>
    <w:p>
      <w:pPr>
        <w:spacing w:after="0" w:line="130" w:lineRule="exact"/>
        <w:rPr>
          <w:sz w:val="20"/>
          <w:szCs w:val="20"/>
          <w:color w:val="auto"/>
        </w:rPr>
      </w:pPr>
    </w:p>
    <w:p>
      <w:pPr>
        <w:ind w:left="180" w:right="100" w:firstLine="465"/>
        <w:spacing w:after="0" w:line="275" w:lineRule="auto"/>
        <w:rPr>
          <w:sz w:val="20"/>
          <w:szCs w:val="20"/>
          <w:color w:val="auto"/>
        </w:rPr>
      </w:pPr>
      <w:r>
        <w:rPr>
          <w:rFonts w:ascii="Arial" w:cs="Arial" w:eastAsia="Arial" w:hAnsi="Arial"/>
          <w:sz w:val="19"/>
          <w:szCs w:val="19"/>
          <w:color w:val="auto"/>
        </w:rPr>
        <w:t>Our board of directors has an audit committee, a compensation committee, and a corporate governance and nominating committee, each of which has the composition and the responsibilities described below.</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Audit Committee</w:t>
      </w:r>
    </w:p>
    <w:p>
      <w:pPr>
        <w:spacing w:after="0" w:line="124" w:lineRule="exact"/>
        <w:rPr>
          <w:sz w:val="20"/>
          <w:szCs w:val="20"/>
          <w:color w:val="auto"/>
        </w:rPr>
      </w:pPr>
    </w:p>
    <w:p>
      <w:pPr>
        <w:ind w:left="180" w:right="60" w:firstLine="465"/>
        <w:spacing w:after="0" w:line="256" w:lineRule="auto"/>
        <w:rPr>
          <w:sz w:val="20"/>
          <w:szCs w:val="20"/>
          <w:color w:val="auto"/>
        </w:rPr>
      </w:pPr>
      <w:r>
        <w:rPr>
          <w:rFonts w:ascii="Arial" w:cs="Arial" w:eastAsia="Arial" w:hAnsi="Arial"/>
          <w:sz w:val="19"/>
          <w:szCs w:val="19"/>
          <w:color w:val="auto"/>
        </w:rPr>
        <w:t>Upon the effectiveness of the registration statement of which this prospectus forms a part, the members of our audit committee will be Dr. Gordon and Messrs. Lavigne and Wehner. Mr. Lavigne will be the chairperson of our audit committee and will be our audit committee financial expert, as that term is defined under the SEC rules implementing Section 407 of SOX, and possesses financial sophistication, as defined under the rules of NASDAQ. Our audit committee oversees our corporate accounting and financial reporting process and assists our board of directors in monitoring our financial systems. Our audit committee will also:</w:t>
      </w:r>
    </w:p>
    <w:p>
      <w:pPr>
        <w:spacing w:after="0" w:line="104" w:lineRule="exact"/>
        <w:rPr>
          <w:sz w:val="20"/>
          <w:szCs w:val="20"/>
          <w:color w:val="auto"/>
        </w:rPr>
      </w:pPr>
    </w:p>
    <w:p>
      <w:pPr>
        <w:ind w:left="1100" w:hanging="350"/>
        <w:spacing w:after="0"/>
        <w:tabs>
          <w:tab w:leader="none" w:pos="11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select and hire the independent registered public accounting firm to audit our financial statements;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help to ensure the independence and performance of the independent registered public accounting firm;</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approve audit and non-audit services and fees;</w:t>
      </w:r>
    </w:p>
    <w:p>
      <w:pPr>
        <w:spacing w:after="0" w:line="138" w:lineRule="exact"/>
        <w:rPr>
          <w:rFonts w:ascii="Arial" w:cs="Arial" w:eastAsia="Arial" w:hAnsi="Arial"/>
          <w:sz w:val="19"/>
          <w:szCs w:val="19"/>
          <w:color w:val="auto"/>
        </w:rPr>
      </w:pPr>
    </w:p>
    <w:p>
      <w:pPr>
        <w:jc w:val="both"/>
        <w:ind w:left="1100" w:right="380" w:hanging="350"/>
        <w:spacing w:after="0" w:line="263" w:lineRule="auto"/>
        <w:tabs>
          <w:tab w:leader="none" w:pos="11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review financial statements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94" w:lineRule="exact"/>
        <w:rPr>
          <w:rFonts w:ascii="Arial" w:cs="Arial" w:eastAsia="Arial" w:hAnsi="Arial"/>
          <w:sz w:val="19"/>
          <w:szCs w:val="19"/>
          <w:color w:val="auto"/>
        </w:rPr>
      </w:pPr>
    </w:p>
    <w:p>
      <w:pPr>
        <w:ind w:left="1100" w:hanging="350"/>
        <w:spacing w:after="0"/>
        <w:tabs>
          <w:tab w:leader="none" w:pos="11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prepare the audit committee report that the SEC requires to be included in our annual proxy statement;</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review reports and communications from the independent registered public accounting firm;</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review the adequacy and effectiveness of our internal controls and disclosure controls and procedure;</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review our policies on risk assessment and risk management;</w:t>
      </w:r>
    </w:p>
    <w:p>
      <w:pPr>
        <w:spacing w:after="0" w:line="138" w:lineRule="exact"/>
        <w:rPr>
          <w:rFonts w:ascii="Arial" w:cs="Arial" w:eastAsia="Arial" w:hAnsi="Arial"/>
          <w:sz w:val="19"/>
          <w:szCs w:val="19"/>
          <w:color w:val="auto"/>
        </w:rPr>
      </w:pPr>
    </w:p>
    <w:p>
      <w:pPr>
        <w:ind w:left="1100" w:right="40" w:hanging="350"/>
        <w:spacing w:after="0" w:line="275" w:lineRule="auto"/>
        <w:tabs>
          <w:tab w:leader="none" w:pos="11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review and monitor conflicts of interest situations, and approve or prohibit any involvement in matters that may involve a conflict of interest or taking of a corporate opportunity;</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review related party transactions; and</w:t>
      </w:r>
    </w:p>
    <w:p>
      <w:pPr>
        <w:spacing w:after="0" w:line="138" w:lineRule="exact"/>
        <w:rPr>
          <w:rFonts w:ascii="Arial" w:cs="Arial" w:eastAsia="Arial" w:hAnsi="Arial"/>
          <w:sz w:val="19"/>
          <w:szCs w:val="19"/>
          <w:color w:val="auto"/>
        </w:rPr>
      </w:pPr>
    </w:p>
    <w:p>
      <w:pPr>
        <w:ind w:left="1100" w:right="220" w:hanging="350"/>
        <w:spacing w:after="0" w:line="275" w:lineRule="auto"/>
        <w:tabs>
          <w:tab w:leader="none" w:pos="11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audit committee operates under a written charter, which satisfies the applicable rules of the SEC and the listing standards of NASDAQ.</w:t>
      </w:r>
    </w:p>
    <w:p>
      <w:pPr>
        <w:spacing w:after="0" w:line="363"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Compensation Committee</w:t>
      </w:r>
    </w:p>
    <w:p>
      <w:pPr>
        <w:spacing w:after="0" w:line="124" w:lineRule="exact"/>
        <w:rPr>
          <w:sz w:val="20"/>
          <w:szCs w:val="20"/>
          <w:color w:val="auto"/>
        </w:rPr>
      </w:pPr>
    </w:p>
    <w:p>
      <w:pPr>
        <w:ind w:left="180" w:firstLine="465"/>
        <w:spacing w:after="0" w:line="263" w:lineRule="auto"/>
        <w:rPr>
          <w:sz w:val="20"/>
          <w:szCs w:val="20"/>
          <w:color w:val="auto"/>
        </w:rPr>
      </w:pPr>
      <w:r>
        <w:rPr>
          <w:rFonts w:ascii="Arial" w:cs="Arial" w:eastAsia="Arial" w:hAnsi="Arial"/>
          <w:sz w:val="19"/>
          <w:szCs w:val="19"/>
          <w:color w:val="auto"/>
        </w:rPr>
        <w:t>Upon the effectiveness of the registration statement of which this prospectus forms a part, the members of our compensation committee will be Dr. Scheller and Messrs. Lavigne and McGuire. Mr. McGuire will be the chairperson of our compensation committee. Our compensation committee oversees our compensation policies, plans, and benefits programs. The compensation committee will also:</w:t>
      </w:r>
    </w:p>
    <w:p>
      <w:pPr>
        <w:spacing w:after="0" w:line="95" w:lineRule="exact"/>
        <w:rPr>
          <w:sz w:val="20"/>
          <w:szCs w:val="20"/>
          <w:color w:val="auto"/>
        </w:rPr>
      </w:pPr>
    </w:p>
    <w:p>
      <w:pPr>
        <w:ind w:left="1100" w:hanging="350"/>
        <w:spacing w:after="0"/>
        <w:tabs>
          <w:tab w:leader="none" w:pos="1100" w:val="left"/>
        </w:tabs>
        <w:numPr>
          <w:ilvl w:val="0"/>
          <w:numId w:val="83"/>
        </w:numPr>
        <w:rPr>
          <w:rFonts w:ascii="Arial" w:cs="Arial" w:eastAsia="Arial" w:hAnsi="Arial"/>
          <w:sz w:val="19"/>
          <w:szCs w:val="19"/>
          <w:color w:val="auto"/>
        </w:rPr>
      </w:pPr>
      <w:r>
        <w:rPr>
          <w:rFonts w:ascii="Arial" w:cs="Arial" w:eastAsia="Arial" w:hAnsi="Arial"/>
          <w:sz w:val="19"/>
          <w:szCs w:val="19"/>
          <w:color w:val="auto"/>
        </w:rPr>
        <w:t>oversee our overall compensation philosophy and compensation policies, plans, and benefit programs;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83"/>
        </w:numPr>
        <w:rPr>
          <w:rFonts w:ascii="Arial" w:cs="Arial" w:eastAsia="Arial" w:hAnsi="Arial"/>
          <w:sz w:val="19"/>
          <w:szCs w:val="19"/>
          <w:color w:val="auto"/>
        </w:rPr>
      </w:pPr>
      <w:r>
        <w:rPr>
          <w:rFonts w:ascii="Arial" w:cs="Arial" w:eastAsia="Arial" w:hAnsi="Arial"/>
          <w:sz w:val="19"/>
          <w:szCs w:val="19"/>
          <w:color w:val="auto"/>
        </w:rPr>
        <w:t>review and approve or recommend to the board of directors for approval compensation for our executive officers and directors;</w:t>
      </w:r>
    </w:p>
    <w:p>
      <w:pPr>
        <w:spacing w:after="0" w:line="166" w:lineRule="exact"/>
        <w:rPr>
          <w:rFonts w:ascii="Arial" w:cs="Arial" w:eastAsia="Arial" w:hAnsi="Arial"/>
          <w:sz w:val="19"/>
          <w:szCs w:val="19"/>
          <w:color w:val="auto"/>
        </w:rPr>
      </w:pPr>
    </w:p>
    <w:p>
      <w:pPr>
        <w:ind w:left="5860"/>
        <w:spacing w:after="0"/>
        <w:rPr>
          <w:rFonts w:ascii="Arial" w:cs="Arial" w:eastAsia="Arial" w:hAnsi="Arial"/>
          <w:sz w:val="19"/>
          <w:szCs w:val="19"/>
          <w:color w:val="auto"/>
        </w:rPr>
      </w:pPr>
      <w:r>
        <w:rPr>
          <w:rFonts w:ascii="Arial" w:cs="Arial" w:eastAsia="Arial" w:hAnsi="Arial"/>
          <w:sz w:val="19"/>
          <w:szCs w:val="19"/>
          <w:color w:val="auto"/>
        </w:rPr>
        <w:t>137</w:t>
      </w:r>
    </w:p>
    <w:p>
      <w:pPr>
        <w:sectPr>
          <w:pgSz w:w="12240" w:h="15840" w:orient="portrait"/>
          <w:cols w:equalWidth="0" w:num="1">
            <w:col w:w="11820"/>
          </w:cols>
          <w:pgMar w:left="120" w:top="336" w:right="300" w:bottom="1440" w:gutter="0" w:footer="0" w:header="0"/>
        </w:sectPr>
      </w:pPr>
    </w:p>
    <w:bookmarkStart w:id="145" w:name="page146"/>
    <w:bookmarkEnd w:id="14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hanging="350"/>
        <w:spacing w:after="0"/>
        <w:tabs>
          <w:tab w:leader="none" w:pos="11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prepare the compensation committee report that the SEC will require to be included in our annual proxy statement; and</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administer our equity compensation plans.</w:t>
      </w:r>
    </w:p>
    <w:p>
      <w:pPr>
        <w:spacing w:after="0" w:line="238" w:lineRule="exact"/>
        <w:rPr>
          <w:sz w:val="20"/>
          <w:szCs w:val="20"/>
          <w:color w:val="auto"/>
        </w:rPr>
      </w:pPr>
    </w:p>
    <w:p>
      <w:pPr>
        <w:ind w:left="180" w:right="740" w:firstLine="465"/>
        <w:spacing w:after="0" w:line="275" w:lineRule="auto"/>
        <w:rPr>
          <w:sz w:val="20"/>
          <w:szCs w:val="20"/>
          <w:color w:val="auto"/>
        </w:rPr>
      </w:pPr>
      <w:r>
        <w:rPr>
          <w:rFonts w:ascii="Arial" w:cs="Arial" w:eastAsia="Arial" w:hAnsi="Arial"/>
          <w:sz w:val="19"/>
          <w:szCs w:val="19"/>
          <w:color w:val="auto"/>
        </w:rPr>
        <w:t>Our compensation committee operates under a written charter, which satisfies the applicable rules of the SEC and the listing standards of NASDAQ.</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Corporate Governance and Nominating Committee</w:t>
      </w:r>
    </w:p>
    <w:p>
      <w:pPr>
        <w:spacing w:after="0" w:line="124" w:lineRule="exact"/>
        <w:rPr>
          <w:sz w:val="20"/>
          <w:szCs w:val="20"/>
          <w:color w:val="auto"/>
        </w:rPr>
      </w:pPr>
    </w:p>
    <w:p>
      <w:pPr>
        <w:ind w:left="180" w:right="80" w:firstLine="465"/>
        <w:spacing w:after="0" w:line="259" w:lineRule="auto"/>
        <w:rPr>
          <w:sz w:val="20"/>
          <w:szCs w:val="20"/>
          <w:color w:val="auto"/>
        </w:rPr>
      </w:pPr>
      <w:r>
        <w:rPr>
          <w:rFonts w:ascii="Arial" w:cs="Arial" w:eastAsia="Arial" w:hAnsi="Arial"/>
          <w:sz w:val="19"/>
          <w:szCs w:val="19"/>
          <w:color w:val="auto"/>
        </w:rPr>
        <w:t>Upon the effectiveness of the registration statement of which this prospectus forms a part, the members of our corporate governance and nominating committee will be Drs. Gordon and Scheller. Dr. Gordon will be the chairperson of our corporate governance and nominating committee. Our corporate governance and nominating committee oversees and assists our board of directors in reviewing and recommending nominees for election as directors. Specifically, the corporate governance and nominating committee will:</w:t>
      </w:r>
    </w:p>
    <w:p>
      <w:pPr>
        <w:spacing w:after="0" w:line="98" w:lineRule="exact"/>
        <w:rPr>
          <w:sz w:val="20"/>
          <w:szCs w:val="20"/>
          <w:color w:val="auto"/>
        </w:rPr>
      </w:pPr>
    </w:p>
    <w:p>
      <w:pPr>
        <w:ind w:left="1100" w:right="360" w:hanging="350"/>
        <w:spacing w:after="0" w:line="275" w:lineRule="auto"/>
        <w:tabs>
          <w:tab w:leader="none" w:pos="11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identify, evaluate, and make recommendations to our board of directors regarding nominees for election to our board of directors and its committees;</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consider and make recommendations to our board of directors regarding the composition of our board of directors and its committees;</w:t>
      </w:r>
    </w:p>
    <w:p>
      <w:pPr>
        <w:spacing w:after="0" w:line="149" w:lineRule="exact"/>
        <w:rPr>
          <w:rFonts w:ascii="Arial" w:cs="Arial" w:eastAsia="Arial" w:hAnsi="Arial"/>
          <w:sz w:val="18"/>
          <w:szCs w:val="18"/>
          <w:color w:val="auto"/>
        </w:rPr>
      </w:pPr>
    </w:p>
    <w:p>
      <w:pPr>
        <w:ind w:left="1100" w:hanging="350"/>
        <w:spacing w:after="0"/>
        <w:tabs>
          <w:tab w:leader="none" w:pos="11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review developments in corporate governance practices;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evaluate the adequacy of our corporate governance practices and reporting; and</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evaluate the performance of our board of directors and of individual directors.</w:t>
      </w:r>
    </w:p>
    <w:p>
      <w:pPr>
        <w:spacing w:after="0" w:line="238" w:lineRule="exact"/>
        <w:rPr>
          <w:sz w:val="20"/>
          <w:szCs w:val="20"/>
          <w:color w:val="auto"/>
        </w:rPr>
      </w:pPr>
    </w:p>
    <w:p>
      <w:pPr>
        <w:ind w:left="180" w:right="420" w:firstLine="465"/>
        <w:spacing w:after="0" w:line="275" w:lineRule="auto"/>
        <w:rPr>
          <w:sz w:val="20"/>
          <w:szCs w:val="20"/>
          <w:color w:val="auto"/>
        </w:rPr>
      </w:pPr>
      <w:r>
        <w:rPr>
          <w:rFonts w:ascii="Arial" w:cs="Arial" w:eastAsia="Arial" w:hAnsi="Arial"/>
          <w:sz w:val="19"/>
          <w:szCs w:val="19"/>
          <w:color w:val="auto"/>
        </w:rPr>
        <w:t>Our corporate governance and nominating committee operates under a written charter, which satisfies the applicable rules of the SEC and the listing standards of NASDAQ.</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Scientific Advisory Board Compensation</w:t>
      </w:r>
    </w:p>
    <w:p>
      <w:pPr>
        <w:spacing w:after="0" w:line="130" w:lineRule="exact"/>
        <w:rPr>
          <w:sz w:val="20"/>
          <w:szCs w:val="20"/>
          <w:color w:val="auto"/>
        </w:rPr>
      </w:pPr>
    </w:p>
    <w:p>
      <w:pPr>
        <w:ind w:left="180" w:right="80" w:firstLine="465"/>
        <w:spacing w:after="0" w:line="259" w:lineRule="auto"/>
        <w:rPr>
          <w:sz w:val="20"/>
          <w:szCs w:val="20"/>
          <w:color w:val="auto"/>
        </w:rPr>
      </w:pPr>
      <w:r>
        <w:rPr>
          <w:rFonts w:ascii="Arial" w:cs="Arial" w:eastAsia="Arial" w:hAnsi="Arial"/>
          <w:sz w:val="19"/>
          <w:szCs w:val="19"/>
          <w:color w:val="auto"/>
        </w:rPr>
        <w:t>We also reimburse each member of our scientific advisory board for all reasonable and necessary expenses in connection with the performance of his or her services. In addition, we grant each new member an option to purchase 20,000 to 27,000 shares of our common stock. In the future, we may make additional grants or may make cash compensation payments to our scientific advisory board members for continued service on the scientific advisory board.</w:t>
      </w:r>
    </w:p>
    <w:p>
      <w:pPr>
        <w:spacing w:after="0" w:line="30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Director Compensation</w:t>
      </w:r>
    </w:p>
    <w:p>
      <w:pPr>
        <w:spacing w:after="0" w:line="244" w:lineRule="exact"/>
        <w:rPr>
          <w:sz w:val="20"/>
          <w:szCs w:val="20"/>
          <w:color w:val="auto"/>
        </w:rPr>
      </w:pPr>
    </w:p>
    <w:p>
      <w:pPr>
        <w:ind w:left="180" w:right="400" w:firstLine="465"/>
        <w:spacing w:after="0" w:line="336" w:lineRule="auto"/>
        <w:rPr>
          <w:sz w:val="20"/>
          <w:szCs w:val="20"/>
          <w:color w:val="auto"/>
        </w:rPr>
      </w:pPr>
      <w:r>
        <w:rPr>
          <w:rFonts w:ascii="Arial" w:cs="Arial" w:eastAsia="Arial" w:hAnsi="Arial"/>
          <w:sz w:val="17"/>
          <w:szCs w:val="17"/>
          <w:color w:val="auto"/>
        </w:rPr>
        <w:t>Directors who are also our employees receive no additional compensation for their service as directors. Dr. Rosenthal was our only employee director during 2018. See the section titled “Executive Compensation” for additional information about Dr. Rosenthal’s compensation.</w:t>
      </w:r>
    </w:p>
    <w:p>
      <w:pPr>
        <w:spacing w:after="0" w:line="137" w:lineRule="exact"/>
        <w:rPr>
          <w:sz w:val="20"/>
          <w:szCs w:val="20"/>
          <w:color w:val="auto"/>
        </w:rPr>
      </w:pPr>
    </w:p>
    <w:p>
      <w:pPr>
        <w:ind w:left="180" w:firstLine="465"/>
        <w:spacing w:after="0" w:line="263" w:lineRule="auto"/>
        <w:rPr>
          <w:sz w:val="20"/>
          <w:szCs w:val="20"/>
          <w:color w:val="auto"/>
        </w:rPr>
      </w:pPr>
      <w:r>
        <w:rPr>
          <w:rFonts w:ascii="Arial" w:cs="Arial" w:eastAsia="Arial" w:hAnsi="Arial"/>
          <w:sz w:val="19"/>
          <w:szCs w:val="19"/>
          <w:color w:val="auto"/>
        </w:rPr>
        <w:t>The following table presents the total compensation each of our non-employee directors received during the year ended December 31, 2018. Other than as set forth in the table, we did not pay any compensation, make any equity awards or non-equity awards to or pay any other compensation to any of our non-employee directors in 2018.</w:t>
      </w:r>
    </w:p>
    <w:p>
      <w:pPr>
        <w:spacing w:after="0" w:line="198" w:lineRule="exact"/>
        <w:rPr>
          <w:sz w:val="20"/>
          <w:szCs w:val="20"/>
          <w:color w:val="auto"/>
        </w:rPr>
      </w:pPr>
    </w:p>
    <w:tbl>
      <w:tblPr>
        <w:tblLayout w:type="fixed"/>
        <w:tblInd w:w="1120" w:type="dxa"/>
        <w:tblCellMar>
          <w:top w:w="0" w:type="dxa"/>
          <w:left w:w="0" w:type="dxa"/>
          <w:bottom w:w="0" w:type="dxa"/>
          <w:right w:w="0" w:type="dxa"/>
        </w:tblCellMar>
      </w:tblPr>
      <w:tr>
        <w:trPr>
          <w:trHeight w:val="172"/>
        </w:trPr>
        <w:tc>
          <w:tcPr>
            <w:tcW w:w="3300" w:type="dxa"/>
            <w:vAlign w:val="bottom"/>
          </w:tcPr>
          <w:p>
            <w:pPr>
              <w:spacing w:after="0"/>
              <w:rPr>
                <w:sz w:val="15"/>
                <w:szCs w:val="15"/>
                <w:color w:val="auto"/>
              </w:rPr>
            </w:pPr>
          </w:p>
        </w:tc>
        <w:tc>
          <w:tcPr>
            <w:tcW w:w="2000" w:type="dxa"/>
            <w:vAlign w:val="bottom"/>
            <w:gridSpan w:val="2"/>
          </w:tcPr>
          <w:p>
            <w:pPr>
              <w:jc w:val="center"/>
              <w:ind w:left="1084"/>
              <w:spacing w:after="0"/>
              <w:rPr>
                <w:sz w:val="20"/>
                <w:szCs w:val="20"/>
                <w:color w:val="auto"/>
              </w:rPr>
            </w:pPr>
            <w:r>
              <w:rPr>
                <w:rFonts w:ascii="Arial" w:cs="Arial" w:eastAsia="Arial" w:hAnsi="Arial"/>
                <w:sz w:val="15"/>
                <w:szCs w:val="15"/>
                <w:b w:val="1"/>
                <w:bCs w:val="1"/>
                <w:color w:val="auto"/>
                <w:w w:val="89"/>
              </w:rPr>
              <w:t>Fees Earned</w:t>
            </w: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80" w:type="dxa"/>
            <w:vAlign w:val="bottom"/>
            <w:gridSpan w:val="2"/>
          </w:tcPr>
          <w:p>
            <w:pPr>
              <w:jc w:val="center"/>
              <w:ind w:right="640"/>
              <w:spacing w:after="0"/>
              <w:rPr>
                <w:sz w:val="20"/>
                <w:szCs w:val="20"/>
                <w:color w:val="auto"/>
              </w:rPr>
            </w:pPr>
            <w:r>
              <w:rPr>
                <w:rFonts w:ascii="Arial" w:cs="Arial" w:eastAsia="Arial" w:hAnsi="Arial"/>
                <w:sz w:val="15"/>
                <w:szCs w:val="15"/>
                <w:b w:val="1"/>
                <w:bCs w:val="1"/>
                <w:color w:val="auto"/>
                <w:w w:val="97"/>
              </w:rPr>
              <w:t>All Other</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7"/>
        </w:trPr>
        <w:tc>
          <w:tcPr>
            <w:tcW w:w="3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3"/>
              </w:rPr>
              <w:t>or Paid in</w:t>
            </w:r>
          </w:p>
        </w:tc>
        <w:tc>
          <w:tcPr>
            <w:tcW w:w="640" w:type="dxa"/>
            <w:vAlign w:val="bottom"/>
          </w:tcPr>
          <w:p>
            <w:pPr>
              <w:spacing w:after="0"/>
              <w:rPr>
                <w:sz w:val="13"/>
                <w:szCs w:val="13"/>
                <w:color w:val="auto"/>
              </w:rPr>
            </w:pPr>
          </w:p>
        </w:tc>
        <w:tc>
          <w:tcPr>
            <w:tcW w:w="860" w:type="dxa"/>
            <w:vAlign w:val="bottom"/>
          </w:tcPr>
          <w:p>
            <w:pPr>
              <w:jc w:val="right"/>
              <w:ind w:right="129"/>
              <w:spacing w:after="0" w:line="157" w:lineRule="exact"/>
              <w:rPr>
                <w:sz w:val="20"/>
                <w:szCs w:val="20"/>
                <w:color w:val="auto"/>
              </w:rPr>
            </w:pPr>
            <w:r>
              <w:rPr>
                <w:rFonts w:ascii="Arial" w:cs="Arial" w:eastAsia="Arial" w:hAnsi="Arial"/>
                <w:sz w:val="15"/>
                <w:szCs w:val="15"/>
                <w:b w:val="1"/>
                <w:bCs w:val="1"/>
                <w:color w:val="auto"/>
              </w:rPr>
              <w:t>Option</w:t>
            </w:r>
          </w:p>
        </w:tc>
        <w:tc>
          <w:tcPr>
            <w:tcW w:w="2220" w:type="dxa"/>
            <w:vAlign w:val="bottom"/>
            <w:gridSpan w:val="3"/>
          </w:tcPr>
          <w:p>
            <w:pPr>
              <w:jc w:val="center"/>
              <w:spacing w:after="0" w:line="157" w:lineRule="exact"/>
              <w:rPr>
                <w:sz w:val="20"/>
                <w:szCs w:val="20"/>
                <w:color w:val="auto"/>
              </w:rPr>
            </w:pPr>
            <w:r>
              <w:rPr>
                <w:rFonts w:ascii="Arial" w:cs="Arial" w:eastAsia="Arial" w:hAnsi="Arial"/>
                <w:sz w:val="15"/>
                <w:szCs w:val="15"/>
                <w:b w:val="1"/>
                <w:bCs w:val="1"/>
                <w:color w:val="auto"/>
                <w:w w:val="90"/>
              </w:rPr>
              <w:t>Compensation</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0"/>
        </w:trPr>
        <w:tc>
          <w:tcPr>
            <w:tcW w:w="3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auto"/>
                <w:w w:val="94"/>
              </w:rPr>
              <w:t>Cash ($)</w:t>
            </w:r>
          </w:p>
        </w:tc>
        <w:tc>
          <w:tcPr>
            <w:tcW w:w="1500" w:type="dxa"/>
            <w:vAlign w:val="bottom"/>
            <w:gridSpan w:val="2"/>
          </w:tcPr>
          <w:p>
            <w:pPr>
              <w:jc w:val="right"/>
              <w:spacing w:after="0"/>
              <w:rPr>
                <w:sz w:val="20"/>
                <w:szCs w:val="20"/>
                <w:color w:val="auto"/>
              </w:rPr>
            </w:pPr>
            <w:r>
              <w:rPr>
                <w:rFonts w:ascii="Arial" w:cs="Arial" w:eastAsia="Arial" w:hAnsi="Arial"/>
                <w:sz w:val="15"/>
                <w:szCs w:val="15"/>
                <w:b w:val="1"/>
                <w:bCs w:val="1"/>
                <w:color w:val="auto"/>
              </w:rPr>
              <w:t xml:space="preserve">Awards </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w:t>
            </w:r>
            <w:r>
              <w:rPr>
                <w:rFonts w:ascii="Arial" w:cs="Arial" w:eastAsia="Arial" w:hAnsi="Arial"/>
                <w:sz w:val="12"/>
                <w:szCs w:val="12"/>
                <w:b w:val="1"/>
                <w:bCs w:val="1"/>
                <w:color w:val="auto"/>
              </w:rPr>
              <w:t>(1)</w:t>
            </w:r>
          </w:p>
        </w:tc>
        <w:tc>
          <w:tcPr>
            <w:tcW w:w="1580" w:type="dxa"/>
            <w:vAlign w:val="bottom"/>
            <w:gridSpan w:val="2"/>
          </w:tcPr>
          <w:p>
            <w:pPr>
              <w:jc w:val="center"/>
              <w:ind w:left="564"/>
              <w:spacing w:after="0"/>
              <w:rPr>
                <w:sz w:val="20"/>
                <w:szCs w:val="20"/>
                <w:color w:val="auto"/>
              </w:rPr>
            </w:pPr>
            <w:r>
              <w:rPr>
                <w:rFonts w:ascii="Arial" w:cs="Arial" w:eastAsia="Arial" w:hAnsi="Arial"/>
                <w:sz w:val="15"/>
                <w:szCs w:val="15"/>
                <w:b w:val="1"/>
                <w:bCs w:val="1"/>
                <w:color w:val="auto"/>
                <w:w w:val="97"/>
              </w:rPr>
              <w:t>($)</w:t>
            </w:r>
          </w:p>
        </w:tc>
        <w:tc>
          <w:tcPr>
            <w:tcW w:w="64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5"/>
                <w:szCs w:val="15"/>
                <w:b w:val="1"/>
                <w:bCs w:val="1"/>
                <w:color w:val="auto"/>
              </w:rPr>
              <w:t>Total ($)</w:t>
            </w:r>
          </w:p>
        </w:tc>
      </w:tr>
      <w:tr>
        <w:trPr>
          <w:trHeight w:val="222"/>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Tillman Gerngross, Ph.D.</w:t>
            </w:r>
            <w:r>
              <w:rPr>
                <w:rFonts w:ascii="Arial" w:cs="Arial" w:eastAsia="Arial" w:hAnsi="Arial"/>
                <w:sz w:val="16"/>
                <w:szCs w:val="16"/>
                <w:color w:val="auto"/>
              </w:rPr>
              <w:t>(2)</w:t>
            </w:r>
          </w:p>
        </w:tc>
        <w:tc>
          <w:tcPr>
            <w:tcW w:w="11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9"/>
                <w:szCs w:val="19"/>
                <w:color w:val="auto"/>
              </w:rPr>
              <w:t>—</w:t>
            </w:r>
          </w:p>
        </w:tc>
        <w:tc>
          <w:tcPr>
            <w:tcW w:w="64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9"/>
                <w:szCs w:val="19"/>
                <w:color w:val="auto"/>
              </w:rPr>
              <w:t>—</w:t>
            </w:r>
          </w:p>
        </w:tc>
        <w:tc>
          <w:tcPr>
            <w:tcW w:w="6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9"/>
                <w:szCs w:val="19"/>
                <w:color w:val="auto"/>
                <w:w w:val="85"/>
              </w:rPr>
              <w:t>25,000</w:t>
            </w:r>
          </w:p>
        </w:tc>
        <w:tc>
          <w:tcPr>
            <w:tcW w:w="6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25,000</w:t>
            </w:r>
          </w:p>
        </w:tc>
        <w:tc>
          <w:tcPr>
            <w:tcW w:w="40" w:type="dxa"/>
            <w:vAlign w:val="bottom"/>
            <w:tcBorders>
              <w:top w:val="single" w:sz="8" w:color="CCEEFF"/>
            </w:tcBorders>
            <w:shd w:val="clear" w:color="auto" w:fill="CCEEFF"/>
          </w:tcPr>
          <w:p>
            <w:pPr>
              <w:spacing w:after="0"/>
              <w:rPr>
                <w:sz w:val="19"/>
                <w:szCs w:val="19"/>
                <w:color w:val="auto"/>
              </w:rPr>
            </w:pPr>
          </w:p>
        </w:tc>
      </w:tr>
      <w:tr>
        <w:trPr>
          <w:trHeight w:val="228"/>
        </w:trPr>
        <w:tc>
          <w:tcPr>
            <w:tcW w:w="3300" w:type="dxa"/>
            <w:vAlign w:val="bottom"/>
          </w:tcPr>
          <w:p>
            <w:pPr>
              <w:spacing w:after="0"/>
              <w:rPr>
                <w:sz w:val="20"/>
                <w:szCs w:val="20"/>
                <w:color w:val="auto"/>
              </w:rPr>
            </w:pPr>
            <w:r>
              <w:rPr>
                <w:rFonts w:ascii="Arial" w:cs="Arial" w:eastAsia="Arial" w:hAnsi="Arial"/>
                <w:sz w:val="19"/>
                <w:szCs w:val="19"/>
                <w:color w:val="auto"/>
              </w:rPr>
              <w:t>Christine Brennan, Ph.D.</w:t>
            </w:r>
          </w:p>
        </w:tc>
        <w:tc>
          <w:tcPr>
            <w:tcW w:w="118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Arial" w:cs="Arial" w:eastAsia="Arial" w:hAnsi="Arial"/>
                <w:sz w:val="19"/>
                <w:szCs w:val="19"/>
                <w:color w:val="auto"/>
              </w:rPr>
              <w:t>—</w:t>
            </w:r>
          </w:p>
        </w:tc>
        <w:tc>
          <w:tcPr>
            <w:tcW w:w="640" w:type="dxa"/>
            <w:vAlign w:val="bottom"/>
          </w:tcPr>
          <w:p>
            <w:pPr>
              <w:spacing w:after="0"/>
              <w:rPr>
                <w:sz w:val="19"/>
                <w:szCs w:val="19"/>
                <w:color w:val="auto"/>
              </w:rPr>
            </w:pPr>
          </w:p>
        </w:tc>
        <w:tc>
          <w:tcPr>
            <w:tcW w:w="860" w:type="dxa"/>
            <w:vAlign w:val="bottom"/>
          </w:tcPr>
          <w:p>
            <w:pPr>
              <w:jc w:val="right"/>
              <w:ind w:right="9"/>
              <w:spacing w:after="0"/>
              <w:rPr>
                <w:sz w:val="20"/>
                <w:szCs w:val="20"/>
                <w:color w:val="auto"/>
              </w:rPr>
            </w:pPr>
            <w:r>
              <w:rPr>
                <w:rFonts w:ascii="Arial" w:cs="Arial" w:eastAsia="Arial" w:hAnsi="Arial"/>
                <w:sz w:val="19"/>
                <w:szCs w:val="19"/>
                <w:color w:val="auto"/>
              </w:rPr>
              <w:t>—</w:t>
            </w:r>
          </w:p>
        </w:tc>
        <w:tc>
          <w:tcPr>
            <w:tcW w:w="640" w:type="dxa"/>
            <w:vAlign w:val="bottom"/>
          </w:tcPr>
          <w:p>
            <w:pPr>
              <w:spacing w:after="0"/>
              <w:rPr>
                <w:sz w:val="19"/>
                <w:szCs w:val="19"/>
                <w:color w:val="auto"/>
              </w:rPr>
            </w:pPr>
          </w:p>
        </w:tc>
        <w:tc>
          <w:tcPr>
            <w:tcW w:w="1580" w:type="dxa"/>
            <w:vAlign w:val="bottom"/>
            <w:gridSpan w:val="2"/>
          </w:tcPr>
          <w:p>
            <w:pPr>
              <w:ind w:left="660"/>
              <w:spacing w:after="0"/>
              <w:rPr>
                <w:sz w:val="20"/>
                <w:szCs w:val="20"/>
                <w:color w:val="auto"/>
              </w:rPr>
            </w:pPr>
            <w:r>
              <w:rPr>
                <w:rFonts w:ascii="Arial" w:cs="Arial" w:eastAsia="Arial" w:hAnsi="Arial"/>
                <w:sz w:val="19"/>
                <w:szCs w:val="19"/>
                <w:color w:val="auto"/>
              </w:rPr>
              <w:t>—</w:t>
            </w:r>
          </w:p>
        </w:tc>
        <w:tc>
          <w:tcPr>
            <w:tcW w:w="740" w:type="dxa"/>
            <w:vAlign w:val="bottom"/>
            <w:gridSpan w:val="2"/>
          </w:tcPr>
          <w:p>
            <w:pPr>
              <w:ind w:left="400"/>
              <w:spacing w:after="0"/>
              <w:rPr>
                <w:sz w:val="20"/>
                <w:szCs w:val="20"/>
                <w:color w:val="auto"/>
              </w:rPr>
            </w:pPr>
            <w:r>
              <w:rPr>
                <w:rFonts w:ascii="Arial" w:cs="Arial" w:eastAsia="Arial" w:hAnsi="Arial"/>
                <w:sz w:val="19"/>
                <w:szCs w:val="19"/>
                <w:color w:val="auto"/>
              </w:rPr>
              <w:t>—</w:t>
            </w:r>
          </w:p>
        </w:tc>
      </w:tr>
      <w:tr>
        <w:trPr>
          <w:trHeight w:val="228"/>
        </w:trPr>
        <w:tc>
          <w:tcPr>
            <w:tcW w:w="3300" w:type="dxa"/>
            <w:vAlign w:val="bottom"/>
            <w:shd w:val="clear" w:color="auto" w:fill="CCEEFF"/>
          </w:tcPr>
          <w:p>
            <w:pPr>
              <w:spacing w:after="0"/>
              <w:rPr>
                <w:sz w:val="20"/>
                <w:szCs w:val="20"/>
                <w:color w:val="auto"/>
              </w:rPr>
            </w:pPr>
            <w:r>
              <w:rPr>
                <w:rFonts w:ascii="Arial" w:cs="Arial" w:eastAsia="Arial" w:hAnsi="Arial"/>
                <w:sz w:val="19"/>
                <w:szCs w:val="19"/>
                <w:color w:val="auto"/>
              </w:rPr>
              <w:t>Louis J. Lavigne, Jr.</w:t>
            </w:r>
            <w:r>
              <w:rPr>
                <w:rFonts w:ascii="Arial" w:cs="Arial" w:eastAsia="Arial" w:hAnsi="Arial"/>
                <w:sz w:val="16"/>
                <w:szCs w:val="16"/>
                <w:color w:val="auto"/>
              </w:rPr>
              <w:t>(3)</w:t>
            </w:r>
          </w:p>
        </w:tc>
        <w:tc>
          <w:tcPr>
            <w:tcW w:w="1180" w:type="dxa"/>
            <w:vAlign w:val="bottom"/>
            <w:shd w:val="clear" w:color="auto" w:fill="CCEEFF"/>
          </w:tcPr>
          <w:p>
            <w:pPr>
              <w:spacing w:after="0"/>
              <w:rPr>
                <w:sz w:val="19"/>
                <w:szCs w:val="19"/>
                <w:color w:val="auto"/>
              </w:rPr>
            </w:pPr>
          </w:p>
        </w:tc>
        <w:tc>
          <w:tcPr>
            <w:tcW w:w="820" w:type="dxa"/>
            <w:vAlign w:val="bottom"/>
            <w:shd w:val="clear" w:color="auto" w:fill="CCEEFF"/>
          </w:tcPr>
          <w:p>
            <w:pPr>
              <w:ind w:left="520"/>
              <w:spacing w:after="0"/>
              <w:rPr>
                <w:sz w:val="20"/>
                <w:szCs w:val="20"/>
                <w:color w:val="auto"/>
              </w:rPr>
            </w:pPr>
            <w:r>
              <w:rPr>
                <w:rFonts w:ascii="Arial" w:cs="Arial" w:eastAsia="Arial" w:hAnsi="Arial"/>
                <w:sz w:val="19"/>
                <w:szCs w:val="19"/>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501,900</w:t>
            </w:r>
          </w:p>
        </w:tc>
        <w:tc>
          <w:tcPr>
            <w:tcW w:w="6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660"/>
              <w:spacing w:after="0"/>
              <w:rPr>
                <w:sz w:val="20"/>
                <w:szCs w:val="20"/>
                <w:color w:val="auto"/>
              </w:rPr>
            </w:pPr>
            <w:r>
              <w:rPr>
                <w:rFonts w:ascii="Arial" w:cs="Arial" w:eastAsia="Arial" w:hAnsi="Arial"/>
                <w:sz w:val="19"/>
                <w:szCs w:val="19"/>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6"/>
              </w:rPr>
              <w:t>501,900</w:t>
            </w:r>
          </w:p>
        </w:tc>
        <w:tc>
          <w:tcPr>
            <w:tcW w:w="40" w:type="dxa"/>
            <w:vAlign w:val="bottom"/>
            <w:shd w:val="clear" w:color="auto" w:fill="CCEEFF"/>
          </w:tcPr>
          <w:p>
            <w:pPr>
              <w:spacing w:after="0"/>
              <w:rPr>
                <w:sz w:val="19"/>
                <w:szCs w:val="19"/>
                <w:color w:val="auto"/>
              </w:rPr>
            </w:pPr>
          </w:p>
        </w:tc>
      </w:tr>
      <w:tr>
        <w:trPr>
          <w:trHeight w:val="228"/>
        </w:trPr>
        <w:tc>
          <w:tcPr>
            <w:tcW w:w="3300" w:type="dxa"/>
            <w:vAlign w:val="bottom"/>
          </w:tcPr>
          <w:p>
            <w:pPr>
              <w:spacing w:after="0"/>
              <w:rPr>
                <w:sz w:val="20"/>
                <w:szCs w:val="20"/>
                <w:color w:val="auto"/>
              </w:rPr>
            </w:pPr>
            <w:r>
              <w:rPr>
                <w:rFonts w:ascii="Arial" w:cs="Arial" w:eastAsia="Arial" w:hAnsi="Arial"/>
                <w:sz w:val="19"/>
                <w:szCs w:val="19"/>
                <w:color w:val="auto"/>
              </w:rPr>
              <w:t>Carl Gordon, Ph.D., C.F.A.</w:t>
            </w:r>
          </w:p>
        </w:tc>
        <w:tc>
          <w:tcPr>
            <w:tcW w:w="118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Arial" w:cs="Arial" w:eastAsia="Arial" w:hAnsi="Arial"/>
                <w:sz w:val="19"/>
                <w:szCs w:val="19"/>
                <w:color w:val="auto"/>
              </w:rPr>
              <w:t>—</w:t>
            </w:r>
          </w:p>
        </w:tc>
        <w:tc>
          <w:tcPr>
            <w:tcW w:w="640" w:type="dxa"/>
            <w:vAlign w:val="bottom"/>
          </w:tcPr>
          <w:p>
            <w:pPr>
              <w:spacing w:after="0"/>
              <w:rPr>
                <w:sz w:val="19"/>
                <w:szCs w:val="19"/>
                <w:color w:val="auto"/>
              </w:rPr>
            </w:pPr>
          </w:p>
        </w:tc>
        <w:tc>
          <w:tcPr>
            <w:tcW w:w="860" w:type="dxa"/>
            <w:vAlign w:val="bottom"/>
          </w:tcPr>
          <w:p>
            <w:pPr>
              <w:jc w:val="right"/>
              <w:ind w:right="9"/>
              <w:spacing w:after="0"/>
              <w:rPr>
                <w:sz w:val="20"/>
                <w:szCs w:val="20"/>
                <w:color w:val="auto"/>
              </w:rPr>
            </w:pPr>
            <w:r>
              <w:rPr>
                <w:rFonts w:ascii="Arial" w:cs="Arial" w:eastAsia="Arial" w:hAnsi="Arial"/>
                <w:sz w:val="19"/>
                <w:szCs w:val="19"/>
                <w:color w:val="auto"/>
              </w:rPr>
              <w:t>—</w:t>
            </w:r>
          </w:p>
        </w:tc>
        <w:tc>
          <w:tcPr>
            <w:tcW w:w="640" w:type="dxa"/>
            <w:vAlign w:val="bottom"/>
          </w:tcPr>
          <w:p>
            <w:pPr>
              <w:spacing w:after="0"/>
              <w:rPr>
                <w:sz w:val="19"/>
                <w:szCs w:val="19"/>
                <w:color w:val="auto"/>
              </w:rPr>
            </w:pPr>
          </w:p>
        </w:tc>
        <w:tc>
          <w:tcPr>
            <w:tcW w:w="1580" w:type="dxa"/>
            <w:vAlign w:val="bottom"/>
            <w:gridSpan w:val="2"/>
          </w:tcPr>
          <w:p>
            <w:pPr>
              <w:ind w:left="660"/>
              <w:spacing w:after="0"/>
              <w:rPr>
                <w:sz w:val="20"/>
                <w:szCs w:val="20"/>
                <w:color w:val="auto"/>
              </w:rPr>
            </w:pPr>
            <w:r>
              <w:rPr>
                <w:rFonts w:ascii="Arial" w:cs="Arial" w:eastAsia="Arial" w:hAnsi="Arial"/>
                <w:sz w:val="19"/>
                <w:szCs w:val="19"/>
                <w:color w:val="auto"/>
              </w:rPr>
              <w:t>—</w:t>
            </w:r>
          </w:p>
        </w:tc>
        <w:tc>
          <w:tcPr>
            <w:tcW w:w="740" w:type="dxa"/>
            <w:vAlign w:val="bottom"/>
            <w:gridSpan w:val="2"/>
          </w:tcPr>
          <w:p>
            <w:pPr>
              <w:ind w:left="400"/>
              <w:spacing w:after="0"/>
              <w:rPr>
                <w:sz w:val="20"/>
                <w:szCs w:val="20"/>
                <w:color w:val="auto"/>
              </w:rPr>
            </w:pPr>
            <w:r>
              <w:rPr>
                <w:rFonts w:ascii="Arial" w:cs="Arial" w:eastAsia="Arial" w:hAnsi="Arial"/>
                <w:sz w:val="19"/>
                <w:szCs w:val="19"/>
                <w:color w:val="auto"/>
              </w:rPr>
              <w:t>—</w:t>
            </w:r>
          </w:p>
        </w:tc>
      </w:tr>
      <w:tr>
        <w:trPr>
          <w:trHeight w:val="228"/>
        </w:trPr>
        <w:tc>
          <w:tcPr>
            <w:tcW w:w="3300" w:type="dxa"/>
            <w:vAlign w:val="bottom"/>
            <w:shd w:val="clear" w:color="auto" w:fill="CCEEFF"/>
          </w:tcPr>
          <w:p>
            <w:pPr>
              <w:spacing w:after="0"/>
              <w:rPr>
                <w:sz w:val="20"/>
                <w:szCs w:val="20"/>
                <w:color w:val="auto"/>
              </w:rPr>
            </w:pPr>
            <w:r>
              <w:rPr>
                <w:rFonts w:ascii="Arial" w:cs="Arial" w:eastAsia="Arial" w:hAnsi="Arial"/>
                <w:sz w:val="19"/>
                <w:szCs w:val="19"/>
                <w:color w:val="auto"/>
              </w:rPr>
              <w:t>Terry McGuire</w:t>
            </w:r>
          </w:p>
        </w:tc>
        <w:tc>
          <w:tcPr>
            <w:tcW w:w="1180" w:type="dxa"/>
            <w:vAlign w:val="bottom"/>
            <w:shd w:val="clear" w:color="auto" w:fill="CCEEFF"/>
          </w:tcPr>
          <w:p>
            <w:pPr>
              <w:spacing w:after="0"/>
              <w:rPr>
                <w:sz w:val="19"/>
                <w:szCs w:val="19"/>
                <w:color w:val="auto"/>
              </w:rPr>
            </w:pPr>
          </w:p>
        </w:tc>
        <w:tc>
          <w:tcPr>
            <w:tcW w:w="820" w:type="dxa"/>
            <w:vAlign w:val="bottom"/>
            <w:shd w:val="clear" w:color="auto" w:fill="CCEEFF"/>
          </w:tcPr>
          <w:p>
            <w:pPr>
              <w:ind w:left="520"/>
              <w:spacing w:after="0"/>
              <w:rPr>
                <w:sz w:val="20"/>
                <w:szCs w:val="20"/>
                <w:color w:val="auto"/>
              </w:rPr>
            </w:pPr>
            <w:r>
              <w:rPr>
                <w:rFonts w:ascii="Arial" w:cs="Arial" w:eastAsia="Arial" w:hAnsi="Arial"/>
                <w:sz w:val="19"/>
                <w:szCs w:val="19"/>
                <w:color w:val="auto"/>
              </w:rPr>
              <w:t>—</w:t>
            </w: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9"/>
                <w:szCs w:val="19"/>
                <w:color w:val="auto"/>
              </w:rPr>
              <w:t>—</w:t>
            </w:r>
          </w:p>
        </w:tc>
        <w:tc>
          <w:tcPr>
            <w:tcW w:w="6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660"/>
              <w:spacing w:after="0"/>
              <w:rPr>
                <w:sz w:val="20"/>
                <w:szCs w:val="20"/>
                <w:color w:val="auto"/>
              </w:rPr>
            </w:pPr>
            <w:r>
              <w:rPr>
                <w:rFonts w:ascii="Arial" w:cs="Arial" w:eastAsia="Arial" w:hAnsi="Arial"/>
                <w:sz w:val="19"/>
                <w:szCs w:val="19"/>
                <w:color w:val="auto"/>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9"/>
                <w:szCs w:val="19"/>
                <w:color w:val="auto"/>
              </w:rPr>
              <w:t>—</w:t>
            </w:r>
          </w:p>
        </w:tc>
      </w:tr>
      <w:tr>
        <w:trPr>
          <w:trHeight w:val="228"/>
        </w:trPr>
        <w:tc>
          <w:tcPr>
            <w:tcW w:w="3300" w:type="dxa"/>
            <w:vAlign w:val="bottom"/>
          </w:tcPr>
          <w:p>
            <w:pPr>
              <w:spacing w:after="0"/>
              <w:rPr>
                <w:sz w:val="20"/>
                <w:szCs w:val="20"/>
                <w:color w:val="auto"/>
              </w:rPr>
            </w:pPr>
            <w:r>
              <w:rPr>
                <w:rFonts w:ascii="Arial" w:cs="Arial" w:eastAsia="Arial" w:hAnsi="Arial"/>
                <w:sz w:val="19"/>
                <w:szCs w:val="19"/>
                <w:color w:val="auto"/>
              </w:rPr>
              <w:t>Richard Scheller, Ph.D.</w:t>
            </w:r>
            <w:r>
              <w:rPr>
                <w:rFonts w:ascii="Arial" w:cs="Arial" w:eastAsia="Arial" w:hAnsi="Arial"/>
                <w:sz w:val="16"/>
                <w:szCs w:val="16"/>
                <w:color w:val="auto"/>
              </w:rPr>
              <w:t>(4)</w:t>
            </w:r>
          </w:p>
        </w:tc>
        <w:tc>
          <w:tcPr>
            <w:tcW w:w="118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Arial" w:cs="Arial" w:eastAsia="Arial" w:hAnsi="Arial"/>
                <w:sz w:val="19"/>
                <w:szCs w:val="19"/>
                <w:color w:val="auto"/>
              </w:rPr>
              <w:t>—</w:t>
            </w:r>
          </w:p>
        </w:tc>
        <w:tc>
          <w:tcPr>
            <w:tcW w:w="1500" w:type="dxa"/>
            <w:vAlign w:val="bottom"/>
            <w:gridSpan w:val="2"/>
          </w:tcPr>
          <w:p>
            <w:pPr>
              <w:jc w:val="right"/>
              <w:spacing w:after="0"/>
              <w:rPr>
                <w:sz w:val="20"/>
                <w:szCs w:val="20"/>
                <w:color w:val="auto"/>
              </w:rPr>
            </w:pPr>
            <w:r>
              <w:rPr>
                <w:rFonts w:ascii="Arial" w:cs="Arial" w:eastAsia="Arial" w:hAnsi="Arial"/>
                <w:sz w:val="19"/>
                <w:szCs w:val="19"/>
                <w:color w:val="auto"/>
              </w:rPr>
              <w:t>583,221</w:t>
            </w:r>
          </w:p>
        </w:tc>
        <w:tc>
          <w:tcPr>
            <w:tcW w:w="640" w:type="dxa"/>
            <w:vAlign w:val="bottom"/>
          </w:tcPr>
          <w:p>
            <w:pPr>
              <w:spacing w:after="0"/>
              <w:rPr>
                <w:sz w:val="19"/>
                <w:szCs w:val="19"/>
                <w:color w:val="auto"/>
              </w:rPr>
            </w:pPr>
          </w:p>
        </w:tc>
        <w:tc>
          <w:tcPr>
            <w:tcW w:w="1580" w:type="dxa"/>
            <w:vAlign w:val="bottom"/>
            <w:gridSpan w:val="2"/>
          </w:tcPr>
          <w:p>
            <w:pPr>
              <w:ind w:left="66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w w:val="96"/>
              </w:rPr>
              <w:t>583,221</w:t>
            </w:r>
          </w:p>
        </w:tc>
        <w:tc>
          <w:tcPr>
            <w:tcW w:w="40" w:type="dxa"/>
            <w:vAlign w:val="bottom"/>
          </w:tcPr>
          <w:p>
            <w:pPr>
              <w:spacing w:after="0"/>
              <w:rPr>
                <w:sz w:val="19"/>
                <w:szCs w:val="19"/>
                <w:color w:val="auto"/>
              </w:rPr>
            </w:pPr>
          </w:p>
        </w:tc>
      </w:tr>
      <w:tr>
        <w:trPr>
          <w:trHeight w:val="228"/>
        </w:trPr>
        <w:tc>
          <w:tcPr>
            <w:tcW w:w="3300" w:type="dxa"/>
            <w:vAlign w:val="bottom"/>
            <w:shd w:val="clear" w:color="auto" w:fill="CCEEFF"/>
          </w:tcPr>
          <w:p>
            <w:pPr>
              <w:spacing w:after="0"/>
              <w:rPr>
                <w:sz w:val="20"/>
                <w:szCs w:val="20"/>
                <w:color w:val="auto"/>
              </w:rPr>
            </w:pPr>
            <w:r>
              <w:rPr>
                <w:rFonts w:ascii="Arial" w:cs="Arial" w:eastAsia="Arial" w:hAnsi="Arial"/>
                <w:sz w:val="19"/>
                <w:szCs w:val="19"/>
                <w:color w:val="auto"/>
              </w:rPr>
              <w:t>David Wehner</w:t>
            </w:r>
            <w:r>
              <w:rPr>
                <w:rFonts w:ascii="Arial" w:cs="Arial" w:eastAsia="Arial" w:hAnsi="Arial"/>
                <w:sz w:val="16"/>
                <w:szCs w:val="16"/>
                <w:color w:val="auto"/>
              </w:rPr>
              <w:t>(5)</w:t>
            </w:r>
          </w:p>
        </w:tc>
        <w:tc>
          <w:tcPr>
            <w:tcW w:w="1180" w:type="dxa"/>
            <w:vAlign w:val="bottom"/>
            <w:shd w:val="clear" w:color="auto" w:fill="CCEEFF"/>
          </w:tcPr>
          <w:p>
            <w:pPr>
              <w:spacing w:after="0"/>
              <w:rPr>
                <w:sz w:val="19"/>
                <w:szCs w:val="19"/>
                <w:color w:val="auto"/>
              </w:rPr>
            </w:pPr>
          </w:p>
        </w:tc>
        <w:tc>
          <w:tcPr>
            <w:tcW w:w="820" w:type="dxa"/>
            <w:vAlign w:val="bottom"/>
            <w:shd w:val="clear" w:color="auto" w:fill="CCEEFF"/>
          </w:tcPr>
          <w:p>
            <w:pPr>
              <w:ind w:left="520"/>
              <w:spacing w:after="0"/>
              <w:rPr>
                <w:sz w:val="20"/>
                <w:szCs w:val="20"/>
                <w:color w:val="auto"/>
              </w:rPr>
            </w:pPr>
            <w:r>
              <w:rPr>
                <w:rFonts w:ascii="Arial" w:cs="Arial" w:eastAsia="Arial" w:hAnsi="Arial"/>
                <w:sz w:val="19"/>
                <w:szCs w:val="19"/>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500,630</w:t>
            </w:r>
          </w:p>
        </w:tc>
        <w:tc>
          <w:tcPr>
            <w:tcW w:w="6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660"/>
              <w:spacing w:after="0"/>
              <w:rPr>
                <w:sz w:val="20"/>
                <w:szCs w:val="20"/>
                <w:color w:val="auto"/>
              </w:rPr>
            </w:pPr>
            <w:r>
              <w:rPr>
                <w:rFonts w:ascii="Arial" w:cs="Arial" w:eastAsia="Arial" w:hAnsi="Arial"/>
                <w:sz w:val="19"/>
                <w:szCs w:val="19"/>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6"/>
              </w:rPr>
              <w:t>500,630</w:t>
            </w:r>
          </w:p>
        </w:tc>
        <w:tc>
          <w:tcPr>
            <w:tcW w:w="40" w:type="dxa"/>
            <w:vAlign w:val="bottom"/>
            <w:shd w:val="clear" w:color="auto" w:fill="CCEEFF"/>
          </w:tcPr>
          <w:p>
            <w:pPr>
              <w:spacing w:after="0"/>
              <w:rPr>
                <w:sz w:val="19"/>
                <w:szCs w:val="19"/>
                <w:color w:val="auto"/>
              </w:rPr>
            </w:pPr>
          </w:p>
        </w:tc>
      </w:tr>
    </w:tbl>
    <w:p>
      <w:pPr>
        <w:spacing w:after="0" w:line="143" w:lineRule="exact"/>
        <w:rPr>
          <w:sz w:val="20"/>
          <w:szCs w:val="20"/>
          <w:color w:val="auto"/>
        </w:rPr>
      </w:pPr>
    </w:p>
    <w:p>
      <w:pPr>
        <w:sectPr>
          <w:pgSz w:w="12240" w:h="15840" w:orient="portrait"/>
          <w:cols w:equalWidth="0" w:num="1">
            <w:col w:w="11800"/>
          </w:cols>
          <w:pgMar w:left="120" w:top="336" w:right="320" w:bottom="1440" w:gutter="0" w:footer="0" w:header="0"/>
        </w:sectPr>
      </w:pPr>
    </w:p>
    <w:p>
      <w:pPr>
        <w:jc w:val="center"/>
        <w:ind w:right="-199"/>
        <w:spacing w:after="0"/>
        <w:rPr>
          <w:sz w:val="20"/>
          <w:szCs w:val="20"/>
          <w:color w:val="auto"/>
        </w:rPr>
      </w:pPr>
      <w:r>
        <w:rPr>
          <w:rFonts w:ascii="Arial" w:cs="Arial" w:eastAsia="Arial" w:hAnsi="Arial"/>
          <w:sz w:val="16"/>
          <w:szCs w:val="16"/>
          <w:color w:val="auto"/>
        </w:rPr>
        <w:t>138</w:t>
      </w:r>
    </w:p>
    <w:p>
      <w:pPr>
        <w:sectPr>
          <w:pgSz w:w="12240" w:h="15840" w:orient="portrait"/>
          <w:cols w:equalWidth="0" w:num="1">
            <w:col w:w="11800"/>
          </w:cols>
          <w:pgMar w:left="120" w:top="336" w:right="320" w:bottom="1440" w:gutter="0" w:footer="0" w:header="0"/>
          <w:type w:val="continuous"/>
        </w:sectPr>
      </w:pPr>
    </w:p>
    <w:bookmarkStart w:id="146" w:name="page147"/>
    <w:bookmarkEnd w:id="14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308610</wp:posOffset>
            </wp:positionV>
            <wp:extent cx="74231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640" w:right="20" w:hanging="461"/>
        <w:spacing w:after="0" w:line="254" w:lineRule="auto"/>
        <w:tabs>
          <w:tab w:leader="none" w:pos="6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amounts disclosed represent the aggregate grant date fair value of the award as calculated in accordance with ASC 718. The assumptions used in calculating the grant date fair value of the award disclosed in this column are set forth in the notes to our audited financial statements included elsewhere in this prospectus. These amounts do not correspond to the actual value that may be recognized by the directors upon vesting of the applicable awards.</w:t>
      </w:r>
    </w:p>
    <w:p>
      <w:pPr>
        <w:ind w:left="640" w:right="100" w:hanging="461"/>
        <w:spacing w:after="0" w:line="264"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paid Dr. Gerngross $25,000 in consulting fees in 2018. As of December 31, 2018, Dr. Gerngross held 70,208 restricted shares of our common stock. One-fourth of the total number of shares subject to the restricted stock grant vested on the one year anniversary of July 15, 2015, and an additional 1/48th of the total number of shares subject to the restricted stock grant vested, and continue to vest, on the same day of each month thereafter, subject to Dr. Gerngross’ continued status as a service provider through each such vesting date.</w:t>
      </w:r>
    </w:p>
    <w:p>
      <w:pPr>
        <w:spacing w:after="0" w:line="1" w:lineRule="exact"/>
        <w:rPr>
          <w:rFonts w:ascii="Arial" w:cs="Arial" w:eastAsia="Arial" w:hAnsi="Arial"/>
          <w:sz w:val="18"/>
          <w:szCs w:val="18"/>
          <w:color w:val="auto"/>
        </w:rPr>
      </w:pPr>
    </w:p>
    <w:p>
      <w:pPr>
        <w:jc w:val="both"/>
        <w:ind w:left="640" w:right="160" w:hanging="461"/>
        <w:spacing w:after="0" w:line="250" w:lineRule="auto"/>
        <w:tabs>
          <w:tab w:leader="none" w:pos="6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As of December 31, 2018, Mr. Lavigne held an option to purchase 70,000 shares of our common stock. One-fourth of the total number of shares subject to the option grant vest on the one year anniversary of October 25, 2018, and an additional 1/48th of the total number of shares subject to the option grant vest on the same day of each month thereafter, subject to Mr. Lavigne’s continued status as a service provider through each such vesting date.</w:t>
      </w:r>
    </w:p>
    <w:p>
      <w:pPr>
        <w:spacing w:after="0" w:line="2" w:lineRule="exact"/>
        <w:rPr>
          <w:rFonts w:ascii="Arial" w:cs="Arial" w:eastAsia="Arial" w:hAnsi="Arial"/>
          <w:sz w:val="19"/>
          <w:szCs w:val="19"/>
          <w:color w:val="auto"/>
        </w:rPr>
      </w:pPr>
    </w:p>
    <w:p>
      <w:pPr>
        <w:ind w:left="640" w:hanging="461"/>
        <w:spacing w:after="0" w:line="280" w:lineRule="auto"/>
        <w:tabs>
          <w:tab w:leader="none" w:pos="6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As of December 31, 2018, Dr. Scheller held an option to purchase 70,000 shares of our common stock. One-fourth of the total number of shares subject to the option grant vest on the one year anniversary of October 22, 2018, and an additional 1/48th of the total number of shares subject to the option grant vest on the same day of each month thereafter, subject to Dr. Scheller’s continued status as a service provider through each such vesting date. As of December 31, 2018, Dr. Scheller held an option to purchase 11,834 shares of our common stock. The shares subject to this option vest one forty-eighth per month beginning on the one month anniversary of October 22, 2018, subject to Dr. Scheller’s continued status as a service provider on each such vesting date. As of December 31, 2018, Dr. Scheller held 19,981 restricted shares of our common stock. One-fourth of the total number of shares subject to the restricted stock grant vested on the one year anniversary of July 31, 2015, and an additional 1/48th of the total number of shares subject to the restricted stock grant vested, and continued to vest, on the same day of each month thereafter, subject to Dr. Scheller’s continued status as a service provider through each such vesting date.</w:t>
      </w:r>
    </w:p>
    <w:p>
      <w:pPr>
        <w:spacing w:after="0" w:line="1" w:lineRule="exact"/>
        <w:rPr>
          <w:rFonts w:ascii="Arial" w:cs="Arial" w:eastAsia="Arial" w:hAnsi="Arial"/>
          <w:sz w:val="17"/>
          <w:szCs w:val="17"/>
          <w:color w:val="auto"/>
        </w:rPr>
      </w:pPr>
    </w:p>
    <w:p>
      <w:pPr>
        <w:jc w:val="both"/>
        <w:ind w:left="640" w:right="200" w:hanging="461"/>
        <w:spacing w:after="0" w:line="254" w:lineRule="auto"/>
        <w:tabs>
          <w:tab w:leader="none" w:pos="6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As of December 31, 2018, Mr. Wehner held an option to purchase 70,000 shares of our common stock. One-fourth of the total number of shares subject to the option grant vest on the one year anniversary of October 9, 2018, and an additional 1/48th of the total number of shares subject to the option grant vest on the same day of each month thereafter, subject to Mr. Wehner’s continued status as a service provider through each such vesting date.</w:t>
      </w:r>
    </w:p>
    <w:p>
      <w:pPr>
        <w:spacing w:after="0" w:line="317"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Non-Employee Director Compensation Policy</w:t>
      </w:r>
    </w:p>
    <w:p>
      <w:pPr>
        <w:spacing w:after="0" w:line="124" w:lineRule="exact"/>
        <w:rPr>
          <w:sz w:val="20"/>
          <w:szCs w:val="20"/>
          <w:color w:val="auto"/>
        </w:rPr>
      </w:pPr>
    </w:p>
    <w:p>
      <w:pPr>
        <w:ind w:left="180" w:right="240" w:firstLine="465"/>
        <w:spacing w:after="0" w:line="274" w:lineRule="auto"/>
        <w:rPr>
          <w:sz w:val="20"/>
          <w:szCs w:val="20"/>
          <w:color w:val="auto"/>
        </w:rPr>
      </w:pPr>
      <w:r>
        <w:rPr>
          <w:rFonts w:ascii="Arial" w:cs="Arial" w:eastAsia="Arial" w:hAnsi="Arial"/>
          <w:sz w:val="18"/>
          <w:szCs w:val="18"/>
          <w:color w:val="auto"/>
        </w:rPr>
        <w:t>We have retained Radford, a national compensation consultant, to provide our board of directors with an analysis of market data compiled from certain comparable public companies and assistance in determining compensation of directors following this offering. Our board of directors has adopted our Outside Director Compensation Policy that will be effective upon the effective date of the registration statement of which this prospectus forms a part. Our Outside Director Compensation Policy will provide that all non-employee directors will be entitled to receive the following cash compensation for their services following the completion of the offering contemplated by this prospectus:</w:t>
      </w:r>
    </w:p>
    <w:p>
      <w:pPr>
        <w:spacing w:after="0" w:line="88" w:lineRule="exact"/>
        <w:rPr>
          <w:sz w:val="20"/>
          <w:szCs w:val="20"/>
          <w:color w:val="auto"/>
        </w:rPr>
      </w:pPr>
    </w:p>
    <w:p>
      <w:pPr>
        <w:ind w:left="1100" w:hanging="350"/>
        <w:spacing w:after="0"/>
        <w:tabs>
          <w:tab w:leader="none" w:pos="11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$35,000 retainer per year for each non-employee director;</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$20,000 retainer per year for service as non-executive chairman of the board of directors;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$20,000 retainer per year for service as lead non-employee director;</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$15,000 retainer per year for the chairman of the audit committee or $7,500 retainer per year for each other member of the audit committee;</w:t>
      </w:r>
    </w:p>
    <w:p>
      <w:pPr>
        <w:spacing w:after="0" w:line="161" w:lineRule="exact"/>
        <w:rPr>
          <w:rFonts w:ascii="Arial" w:cs="Arial" w:eastAsia="Arial" w:hAnsi="Arial"/>
          <w:sz w:val="17"/>
          <w:szCs w:val="17"/>
          <w:color w:val="auto"/>
        </w:rPr>
      </w:pPr>
    </w:p>
    <w:p>
      <w:pPr>
        <w:ind w:left="1100" w:right="720" w:hanging="350"/>
        <w:spacing w:after="0" w:line="275" w:lineRule="auto"/>
        <w:tabs>
          <w:tab w:leader="none" w:pos="11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$10,000 retainer per year for the chairman of the compensation committee or $5,000 retainer per year for each other member of the compensation committee; and</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139</w:t>
      </w:r>
    </w:p>
    <w:p>
      <w:pPr>
        <w:sectPr>
          <w:pgSz w:w="12240" w:h="15840" w:orient="portrait"/>
          <w:cols w:equalWidth="0" w:num="1">
            <w:col w:w="11800"/>
          </w:cols>
          <w:pgMar w:left="120" w:top="336" w:right="320" w:bottom="1440" w:gutter="0" w:footer="0" w:header="0"/>
        </w:sectPr>
      </w:pPr>
    </w:p>
    <w:bookmarkStart w:id="147" w:name="page148"/>
    <w:bookmarkEnd w:id="14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160" w:hanging="350"/>
        <w:spacing w:after="0" w:line="275" w:lineRule="auto"/>
        <w:tabs>
          <w:tab w:leader="none" w:pos="1100" w:val="left"/>
        </w:tabs>
        <w:numPr>
          <w:ilvl w:val="0"/>
          <w:numId w:val="88"/>
        </w:numPr>
        <w:rPr>
          <w:rFonts w:ascii="Arial" w:cs="Arial" w:eastAsia="Arial" w:hAnsi="Arial"/>
          <w:sz w:val="19"/>
          <w:szCs w:val="19"/>
          <w:color w:val="auto"/>
        </w:rPr>
      </w:pPr>
      <w:r>
        <w:rPr>
          <w:rFonts w:ascii="Arial" w:cs="Arial" w:eastAsia="Arial" w:hAnsi="Arial"/>
          <w:sz w:val="19"/>
          <w:szCs w:val="19"/>
          <w:color w:val="auto"/>
        </w:rPr>
        <w:t>$8,000 retainer per year for the chairman of the nominating and corporate governance committee or $4,000 retainer per year for each other member of the nominating and corporate governance committee.</w:t>
      </w:r>
    </w:p>
    <w:p>
      <w:pPr>
        <w:spacing w:after="0" w:line="184" w:lineRule="exact"/>
        <w:rPr>
          <w:sz w:val="20"/>
          <w:szCs w:val="20"/>
          <w:color w:val="auto"/>
        </w:rPr>
      </w:pPr>
    </w:p>
    <w:p>
      <w:pPr>
        <w:jc w:val="both"/>
        <w:ind w:left="180" w:right="120" w:firstLine="465"/>
        <w:spacing w:after="0" w:line="263" w:lineRule="auto"/>
        <w:rPr>
          <w:sz w:val="20"/>
          <w:szCs w:val="20"/>
          <w:color w:val="auto"/>
        </w:rPr>
      </w:pPr>
      <w:r>
        <w:rPr>
          <w:rFonts w:ascii="Arial" w:cs="Arial" w:eastAsia="Arial" w:hAnsi="Arial"/>
          <w:sz w:val="19"/>
          <w:szCs w:val="19"/>
          <w:color w:val="auto"/>
        </w:rPr>
        <w:t>Each non-employee director who serves as the chair of a committee will receive only the additional annual fee as the chair of the committee and will not receive the additional annual fee as a member of the committee. All cash payments to non-employee directors are paid quarterly in arrears on a prorated basis.</w:t>
      </w:r>
    </w:p>
    <w:p>
      <w:pPr>
        <w:spacing w:after="0" w:line="194"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In addition to the cash compensation structure described above, our Outside Director Compensation Policy will provide the following equity incentive compensation program for non-employee directors. Each non-employee director who first joins us (other than a director who becomes a non-employee director as a result of terminating employment with us) automatically will be granted on the first trading date on or after his or her start date as a non-employee director a one-time, initial option covering 40,000 shares of our common stock. Further, on the date of each of our annual stockholder meetings following the effective date of the registration statement of which this prospectus forms a part, each non-employee director who is continuing as a director following our annual stockholder meeting automatically will be granted an annual option covering 20,000 shares of our common stock.</w:t>
      </w:r>
    </w:p>
    <w:p>
      <w:pPr>
        <w:spacing w:after="0" w:line="175" w:lineRule="exact"/>
        <w:rPr>
          <w:sz w:val="20"/>
          <w:szCs w:val="20"/>
          <w:color w:val="auto"/>
        </w:rPr>
      </w:pPr>
    </w:p>
    <w:p>
      <w:pPr>
        <w:ind w:left="180" w:right="180" w:firstLine="465"/>
        <w:spacing w:after="0" w:line="282" w:lineRule="auto"/>
        <w:rPr>
          <w:sz w:val="20"/>
          <w:szCs w:val="20"/>
          <w:color w:val="auto"/>
        </w:rPr>
      </w:pPr>
      <w:r>
        <w:rPr>
          <w:rFonts w:ascii="Arial" w:cs="Arial" w:eastAsia="Arial" w:hAnsi="Arial"/>
          <w:sz w:val="17"/>
          <w:szCs w:val="17"/>
          <w:color w:val="auto"/>
        </w:rPr>
        <w:t>Each initial option will vest as to 1/4th of the underlying shares on the one-year anniversary of the date the director’s service as a non-employee director started and as to 1/48th of the underlying shares each following month, subject to continued service through each relevant vesting date. Each annual option will vest as to 1/12th of the underlying shares each month after the award’s grant date and will vest in full on the earlier of the 12-month anniversary of the date of grant or on the date of our annual stockholder meetings following the date the annual option is granted, subject to continued service through each relevant vesting date. In the event of a change in control of our company, all equity awards granted to a non-employee director (including those granted pursuant to our Outside Director Compensation Policy) will fully vest and become immediately exercisable, subject</w:t>
      </w:r>
    </w:p>
    <w:p>
      <w:pPr>
        <w:spacing w:after="0" w:line="4" w:lineRule="exact"/>
        <w:rPr>
          <w:sz w:val="20"/>
          <w:szCs w:val="20"/>
          <w:color w:val="auto"/>
        </w:rPr>
      </w:pPr>
    </w:p>
    <w:p>
      <w:pPr>
        <w:ind w:left="180" w:right="20"/>
        <w:spacing w:after="0" w:line="261" w:lineRule="auto"/>
        <w:rPr>
          <w:sz w:val="20"/>
          <w:szCs w:val="20"/>
          <w:color w:val="auto"/>
        </w:rPr>
      </w:pPr>
      <w:r>
        <w:rPr>
          <w:rFonts w:ascii="Arial" w:cs="Arial" w:eastAsia="Arial" w:hAnsi="Arial"/>
          <w:sz w:val="19"/>
          <w:szCs w:val="19"/>
          <w:color w:val="auto"/>
        </w:rPr>
        <w:t>to continued service through such date. Each initial option and annual option will have a term of 10 years and will have an exercise price per share equal to 100% of the fair market value of a share of our common stock.</w:t>
      </w:r>
    </w:p>
    <w:p>
      <w:pPr>
        <w:spacing w:after="0" w:line="196" w:lineRule="exact"/>
        <w:rPr>
          <w:sz w:val="20"/>
          <w:szCs w:val="20"/>
          <w:color w:val="auto"/>
        </w:rPr>
      </w:pPr>
    </w:p>
    <w:p>
      <w:pPr>
        <w:ind w:left="180" w:right="80" w:firstLine="465"/>
        <w:spacing w:after="0" w:line="298" w:lineRule="auto"/>
        <w:rPr>
          <w:sz w:val="20"/>
          <w:szCs w:val="20"/>
          <w:color w:val="auto"/>
        </w:rPr>
      </w:pPr>
      <w:r>
        <w:rPr>
          <w:rFonts w:ascii="Arial" w:cs="Arial" w:eastAsia="Arial" w:hAnsi="Arial"/>
          <w:sz w:val="17"/>
          <w:szCs w:val="17"/>
          <w:color w:val="auto"/>
        </w:rPr>
        <w:t>In any fiscal year, a non-employee director may be paid, issued, or granted cash compensation and equity awards with a total value of no greater than $750,000 (increased to $1,000,000 in the fiscal year of his or her initial service as an outside director) with the value of an equity award based on its grant date fair value for purposes of this limit (annual director limit). Equity awards or cash compensation granted to a non-employee director for his or her service as an employee or consultant (other than a non-employee director) will not count toward the annual director limit.</w:t>
      </w:r>
    </w:p>
    <w:p>
      <w:pPr>
        <w:spacing w:after="0" w:line="170" w:lineRule="exact"/>
        <w:rPr>
          <w:sz w:val="20"/>
          <w:szCs w:val="20"/>
          <w:color w:val="auto"/>
        </w:rPr>
      </w:pPr>
    </w:p>
    <w:p>
      <w:pPr>
        <w:ind w:left="180" w:right="100" w:firstLine="465"/>
        <w:spacing w:after="0" w:line="275" w:lineRule="auto"/>
        <w:rPr>
          <w:sz w:val="20"/>
          <w:szCs w:val="20"/>
          <w:color w:val="auto"/>
        </w:rPr>
      </w:pPr>
      <w:r>
        <w:rPr>
          <w:rFonts w:ascii="Arial" w:cs="Arial" w:eastAsia="Arial" w:hAnsi="Arial"/>
          <w:sz w:val="19"/>
          <w:szCs w:val="19"/>
          <w:color w:val="auto"/>
        </w:rPr>
        <w:t>Our Outside Director Compensation Policy will also provide for the reimbursement of our non-employee directors for reasonable, customary and documented travel expenses to attend meetings of our board of directors and committees of our board of directors.</w:t>
      </w:r>
    </w:p>
    <w:p>
      <w:pPr>
        <w:spacing w:after="0" w:line="184" w:lineRule="exact"/>
        <w:rPr>
          <w:sz w:val="20"/>
          <w:szCs w:val="20"/>
          <w:color w:val="auto"/>
        </w:rPr>
      </w:pPr>
    </w:p>
    <w:p>
      <w:pPr>
        <w:ind w:left="180" w:right="220" w:firstLine="465"/>
        <w:spacing w:after="0" w:line="256" w:lineRule="auto"/>
        <w:rPr>
          <w:sz w:val="20"/>
          <w:szCs w:val="20"/>
          <w:color w:val="auto"/>
        </w:rPr>
      </w:pPr>
      <w:r>
        <w:rPr>
          <w:rFonts w:ascii="Arial" w:cs="Arial" w:eastAsia="Arial" w:hAnsi="Arial"/>
          <w:sz w:val="19"/>
          <w:szCs w:val="19"/>
          <w:color w:val="auto"/>
        </w:rPr>
        <w:t>Compensation for our non-employee directors is not limited to the equity awards and payments set forth in our Outside Director Compensation Policy. Our non-employee directors will remain eligible to receive equity awards and cash or other compensation outside of the Outside Director Compensation Policy, as may be provided from time to time at the discretion of our board of directors. For further information regarding the equity compensation of our non-employee directors, see the section of this prospectus titled “</w:t>
      </w:r>
      <w:r>
        <w:rPr>
          <w:rFonts w:ascii="Arial" w:cs="Arial" w:eastAsia="Arial" w:hAnsi="Arial"/>
          <w:sz w:val="19"/>
          <w:szCs w:val="19"/>
          <w:i w:val="1"/>
          <w:iCs w:val="1"/>
          <w:color w:val="auto"/>
        </w:rPr>
        <w:t>Executive Compensation—Employee Benefit and Stock Plans—</w:t>
      </w:r>
      <w:r>
        <w:rPr>
          <w:rFonts w:ascii="Arial" w:cs="Arial" w:eastAsia="Arial" w:hAnsi="Arial"/>
          <w:sz w:val="19"/>
          <w:szCs w:val="19"/>
          <w:color w:val="auto"/>
        </w:rPr>
        <w:t xml:space="preserve"> </w:t>
      </w:r>
      <w:r>
        <w:rPr>
          <w:rFonts w:ascii="Arial" w:cs="Arial" w:eastAsia="Arial" w:hAnsi="Arial"/>
          <w:sz w:val="19"/>
          <w:szCs w:val="19"/>
          <w:i w:val="1"/>
          <w:iCs w:val="1"/>
          <w:color w:val="auto"/>
        </w:rPr>
        <w:t>2019 Equity Incentive Plan</w:t>
      </w:r>
      <w:r>
        <w:rPr>
          <w:rFonts w:ascii="Arial" w:cs="Arial" w:eastAsia="Arial" w:hAnsi="Arial"/>
          <w:sz w:val="19"/>
          <w:szCs w:val="19"/>
          <w:color w:val="auto"/>
        </w:rPr>
        <w:t>.”</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Compensation Committee Interlocks and Inside Participation</w:t>
      </w:r>
    </w:p>
    <w:p>
      <w:pPr>
        <w:spacing w:after="0" w:line="130" w:lineRule="exact"/>
        <w:rPr>
          <w:sz w:val="20"/>
          <w:szCs w:val="20"/>
          <w:color w:val="auto"/>
        </w:rPr>
      </w:pPr>
    </w:p>
    <w:p>
      <w:pPr>
        <w:ind w:left="180" w:right="540" w:firstLine="465"/>
        <w:spacing w:after="0" w:line="275" w:lineRule="auto"/>
        <w:rPr>
          <w:sz w:val="20"/>
          <w:szCs w:val="20"/>
          <w:color w:val="auto"/>
        </w:rPr>
      </w:pPr>
      <w:r>
        <w:rPr>
          <w:rFonts w:ascii="Arial" w:cs="Arial" w:eastAsia="Arial" w:hAnsi="Arial"/>
          <w:sz w:val="19"/>
          <w:szCs w:val="19"/>
          <w:color w:val="auto"/>
        </w:rPr>
        <w:t>None of the members of our compensation committee is or has been an officer or employee of our company. None of our executive officers currently serves, or in the past fiscal year has served, as a member of the board of</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140</w:t>
      </w:r>
    </w:p>
    <w:p>
      <w:pPr>
        <w:sectPr>
          <w:pgSz w:w="12240" w:h="15840" w:orient="portrait"/>
          <w:cols w:equalWidth="0" w:num="1">
            <w:col w:w="11800"/>
          </w:cols>
          <w:pgMar w:left="120" w:top="336" w:right="320" w:bottom="1440" w:gutter="0" w:footer="0" w:header="0"/>
        </w:sectPr>
      </w:pPr>
    </w:p>
    <w:bookmarkStart w:id="148" w:name="page149"/>
    <w:bookmarkEnd w:id="14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60"/>
        <w:spacing w:after="0" w:line="304" w:lineRule="auto"/>
        <w:rPr>
          <w:sz w:val="20"/>
          <w:szCs w:val="20"/>
          <w:color w:val="auto"/>
        </w:rPr>
      </w:pPr>
      <w:r>
        <w:rPr>
          <w:rFonts w:ascii="Arial" w:cs="Arial" w:eastAsia="Arial" w:hAnsi="Arial"/>
          <w:sz w:val="18"/>
          <w:szCs w:val="18"/>
          <w:color w:val="auto"/>
        </w:rPr>
        <w:t>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Code of Business Conduct and Ethics</w:t>
      </w:r>
    </w:p>
    <w:p>
      <w:pPr>
        <w:spacing w:after="0" w:line="130" w:lineRule="exact"/>
        <w:rPr>
          <w:sz w:val="20"/>
          <w:szCs w:val="20"/>
          <w:color w:val="auto"/>
        </w:rPr>
      </w:pPr>
    </w:p>
    <w:p>
      <w:pPr>
        <w:ind w:left="180" w:firstLine="465"/>
        <w:spacing w:after="0" w:line="272"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Following this offering, the code of business conduct and ethics will be available on our website at www.alector.com.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Information contained on the website is not incorporated by reference into this prospectus and should not be considered to be part of this prospectus.</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141</w:t>
      </w:r>
    </w:p>
    <w:p>
      <w:pPr>
        <w:sectPr>
          <w:pgSz w:w="12240" w:h="15840" w:orient="portrait"/>
          <w:cols w:equalWidth="0" w:num="1">
            <w:col w:w="11700"/>
          </w:cols>
          <w:pgMar w:left="120" w:top="336" w:right="420" w:bottom="1440" w:gutter="0" w:footer="0" w:header="0"/>
        </w:sectPr>
      </w:pPr>
    </w:p>
    <w:bookmarkStart w:id="149" w:name="page150"/>
    <w:bookmarkEnd w:id="14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EXECUTIVE COMPENSATION</w:t>
      </w:r>
    </w:p>
    <w:p>
      <w:pPr>
        <w:spacing w:after="0" w:line="244" w:lineRule="exact"/>
        <w:rPr>
          <w:sz w:val="20"/>
          <w:szCs w:val="20"/>
          <w:color w:val="auto"/>
        </w:rPr>
      </w:pPr>
    </w:p>
    <w:p>
      <w:pPr>
        <w:ind w:left="180" w:firstLine="465"/>
        <w:spacing w:after="0" w:line="275" w:lineRule="auto"/>
        <w:rPr>
          <w:sz w:val="20"/>
          <w:szCs w:val="20"/>
          <w:color w:val="auto"/>
        </w:rPr>
      </w:pPr>
      <w:r>
        <w:rPr>
          <w:rFonts w:ascii="Arial" w:cs="Arial" w:eastAsia="Arial" w:hAnsi="Arial"/>
          <w:sz w:val="19"/>
          <w:szCs w:val="19"/>
          <w:color w:val="auto"/>
        </w:rPr>
        <w:t>Our named executive officers for the year ended December 31, 2018, which consist of our principal executive officer and the next two most highly compensated executive officers, are:</w:t>
      </w:r>
    </w:p>
    <w:p>
      <w:pPr>
        <w:spacing w:after="0" w:line="84" w:lineRule="exact"/>
        <w:rPr>
          <w:sz w:val="20"/>
          <w:szCs w:val="20"/>
          <w:color w:val="auto"/>
        </w:rPr>
      </w:pPr>
    </w:p>
    <w:p>
      <w:pPr>
        <w:ind w:left="1100" w:hanging="350"/>
        <w:spacing w:after="0"/>
        <w:tabs>
          <w:tab w:leader="none" w:pos="11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Arnon Rosenthal, Ph.D., our Co-Founder and Chief Executive Officer;</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Robert Paul, M.D., Ph.D., our Chief Medical Officer; and</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Robert King, Ph.D., our Chief Development Officer.</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Summary Compensation Table</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information regarding the compensation of our named executive officers for the year ended December 31, 2018.</w:t>
      </w:r>
    </w:p>
    <w:p>
      <w:pPr>
        <w:spacing w:after="0" w:line="265"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8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8"/>
              </w:rPr>
              <w:t>Stock</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559"/>
              <w:spacing w:after="0"/>
              <w:rPr>
                <w:sz w:val="20"/>
                <w:szCs w:val="20"/>
                <w:color w:val="auto"/>
              </w:rPr>
            </w:pPr>
            <w:r>
              <w:rPr>
                <w:rFonts w:ascii="Arial" w:cs="Arial" w:eastAsia="Arial" w:hAnsi="Arial"/>
                <w:sz w:val="15"/>
                <w:szCs w:val="15"/>
                <w:b w:val="1"/>
                <w:bCs w:val="1"/>
                <w:color w:val="auto"/>
              </w:rPr>
              <w:t>All Other</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Name and Principal Position</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93"/>
              </w:rPr>
              <w:t>Salary</w:t>
            </w:r>
          </w:p>
        </w:tc>
        <w:tc>
          <w:tcPr>
            <w:tcW w:w="80" w:type="dxa"/>
            <w:vAlign w:val="bottom"/>
          </w:tcPr>
          <w:p>
            <w:pPr>
              <w:spacing w:after="0"/>
              <w:rPr>
                <w:sz w:val="13"/>
                <w:szCs w:val="13"/>
                <w:color w:val="auto"/>
              </w:rPr>
            </w:pPr>
          </w:p>
        </w:tc>
        <w:tc>
          <w:tcPr>
            <w:tcW w:w="1260" w:type="dxa"/>
            <w:vAlign w:val="bottom"/>
            <w:gridSpan w:val="2"/>
          </w:tcPr>
          <w:p>
            <w:pPr>
              <w:jc w:val="center"/>
              <w:ind w:right="419"/>
              <w:spacing w:after="0" w:line="157" w:lineRule="exact"/>
              <w:rPr>
                <w:sz w:val="20"/>
                <w:szCs w:val="20"/>
                <w:color w:val="auto"/>
              </w:rPr>
            </w:pPr>
            <w:r>
              <w:rPr>
                <w:rFonts w:ascii="Arial" w:cs="Arial" w:eastAsia="Arial" w:hAnsi="Arial"/>
                <w:sz w:val="15"/>
                <w:szCs w:val="15"/>
                <w:b w:val="1"/>
                <w:bCs w:val="1"/>
                <w:color w:val="auto"/>
                <w:w w:val="85"/>
              </w:rPr>
              <w:t>Bonus</w:t>
            </w:r>
          </w:p>
        </w:tc>
        <w:tc>
          <w:tcPr>
            <w:tcW w:w="160" w:type="dxa"/>
            <w:vAlign w:val="bottom"/>
          </w:tcPr>
          <w:p>
            <w:pPr>
              <w:spacing w:after="0"/>
              <w:rPr>
                <w:sz w:val="13"/>
                <w:szCs w:val="13"/>
                <w:color w:val="auto"/>
              </w:rPr>
            </w:pPr>
          </w:p>
        </w:tc>
        <w:tc>
          <w:tcPr>
            <w:tcW w:w="1000" w:type="dxa"/>
            <w:vAlign w:val="bottom"/>
            <w:gridSpan w:val="2"/>
          </w:tcPr>
          <w:p>
            <w:pPr>
              <w:jc w:val="center"/>
              <w:ind w:right="140"/>
              <w:spacing w:after="0" w:line="157" w:lineRule="exact"/>
              <w:rPr>
                <w:sz w:val="20"/>
                <w:szCs w:val="20"/>
                <w:color w:val="auto"/>
              </w:rPr>
            </w:pPr>
            <w:r>
              <w:rPr>
                <w:rFonts w:ascii="Arial" w:cs="Arial" w:eastAsia="Arial" w:hAnsi="Arial"/>
                <w:sz w:val="15"/>
                <w:szCs w:val="15"/>
                <w:b w:val="1"/>
                <w:bCs w:val="1"/>
                <w:color w:val="auto"/>
                <w:w w:val="92"/>
              </w:rPr>
              <w:t>Awards</w:t>
            </w:r>
          </w:p>
        </w:tc>
        <w:tc>
          <w:tcPr>
            <w:tcW w:w="120" w:type="dxa"/>
            <w:vAlign w:val="bottom"/>
          </w:tcPr>
          <w:p>
            <w:pPr>
              <w:spacing w:after="0"/>
              <w:rPr>
                <w:sz w:val="13"/>
                <w:szCs w:val="13"/>
                <w:color w:val="auto"/>
              </w:rPr>
            </w:pPr>
          </w:p>
        </w:tc>
        <w:tc>
          <w:tcPr>
            <w:tcW w:w="1140" w:type="dxa"/>
            <w:vAlign w:val="bottom"/>
            <w:gridSpan w:val="2"/>
          </w:tcPr>
          <w:p>
            <w:pPr>
              <w:jc w:val="center"/>
              <w:ind w:right="240"/>
              <w:spacing w:after="0" w:line="157" w:lineRule="exact"/>
              <w:rPr>
                <w:sz w:val="20"/>
                <w:szCs w:val="20"/>
                <w:color w:val="auto"/>
              </w:rPr>
            </w:pPr>
            <w:r>
              <w:rPr>
                <w:rFonts w:ascii="Arial" w:cs="Arial" w:eastAsia="Arial" w:hAnsi="Arial"/>
                <w:sz w:val="15"/>
                <w:szCs w:val="15"/>
                <w:b w:val="1"/>
                <w:bCs w:val="1"/>
                <w:color w:val="auto"/>
                <w:w w:val="95"/>
              </w:rPr>
              <w:t>Option</w:t>
            </w:r>
          </w:p>
        </w:tc>
        <w:tc>
          <w:tcPr>
            <w:tcW w:w="1440" w:type="dxa"/>
            <w:vAlign w:val="bottom"/>
            <w:gridSpan w:val="3"/>
          </w:tcPr>
          <w:p>
            <w:pPr>
              <w:ind w:left="20"/>
              <w:spacing w:after="0" w:line="157" w:lineRule="exact"/>
              <w:rPr>
                <w:sz w:val="20"/>
                <w:szCs w:val="20"/>
                <w:color w:val="auto"/>
              </w:rPr>
            </w:pPr>
            <w:r>
              <w:rPr>
                <w:rFonts w:ascii="Arial" w:cs="Arial" w:eastAsia="Arial" w:hAnsi="Arial"/>
                <w:sz w:val="15"/>
                <w:szCs w:val="15"/>
                <w:b w:val="1"/>
                <w:bCs w:val="1"/>
                <w:color w:val="auto"/>
              </w:rPr>
              <w:t>Compensation</w:t>
            </w:r>
          </w:p>
        </w:tc>
        <w:tc>
          <w:tcPr>
            <w:tcW w:w="940" w:type="dxa"/>
            <w:vAlign w:val="bottom"/>
            <w:gridSpan w:val="2"/>
          </w:tcPr>
          <w:p>
            <w:pPr>
              <w:ind w:left="280"/>
              <w:spacing w:after="0" w:line="157"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6"/>
        </w:trPr>
        <w:tc>
          <w:tcPr>
            <w:tcW w:w="3980" w:type="dxa"/>
            <w:vAlign w:val="bottom"/>
            <w:gridSpan w:val="2"/>
            <w:vMerge w:val="continue"/>
          </w:tcPr>
          <w:p>
            <w:pPr>
              <w:spacing w:after="0"/>
              <w:rPr>
                <w:sz w:val="16"/>
                <w:szCs w:val="16"/>
                <w:color w:val="auto"/>
              </w:rPr>
            </w:pPr>
          </w:p>
        </w:tc>
        <w:tc>
          <w:tcPr>
            <w:tcW w:w="720" w:type="dxa"/>
            <w:vAlign w:val="bottom"/>
            <w:gridSpan w:val="2"/>
          </w:tcPr>
          <w:p>
            <w:pPr>
              <w:ind w:left="60"/>
              <w:spacing w:after="0" w:line="166" w:lineRule="exact"/>
              <w:rPr>
                <w:sz w:val="20"/>
                <w:szCs w:val="20"/>
                <w:color w:val="auto"/>
              </w:rPr>
            </w:pPr>
            <w:r>
              <w:rPr>
                <w:rFonts w:ascii="Arial" w:cs="Arial" w:eastAsia="Arial" w:hAnsi="Arial"/>
                <w:sz w:val="15"/>
                <w:szCs w:val="15"/>
                <w:b w:val="1"/>
                <w:bCs w:val="1"/>
                <w:color w:val="auto"/>
              </w:rPr>
              <w:t>Year</w:t>
            </w:r>
          </w:p>
        </w:tc>
        <w:tc>
          <w:tcPr>
            <w:tcW w:w="720" w:type="dxa"/>
            <w:vAlign w:val="bottom"/>
          </w:tcPr>
          <w:p>
            <w:pPr>
              <w:jc w:val="center"/>
              <w:spacing w:after="0" w:line="166" w:lineRule="exact"/>
              <w:rPr>
                <w:sz w:val="20"/>
                <w:szCs w:val="20"/>
                <w:color w:val="auto"/>
              </w:rPr>
            </w:pPr>
            <w:r>
              <w:rPr>
                <w:rFonts w:ascii="Arial" w:cs="Arial" w:eastAsia="Arial" w:hAnsi="Arial"/>
                <w:sz w:val="15"/>
                <w:szCs w:val="15"/>
                <w:b w:val="1"/>
                <w:bCs w:val="1"/>
                <w:color w:val="auto"/>
                <w:w w:val="97"/>
              </w:rPr>
              <w:t>($)</w:t>
            </w:r>
          </w:p>
        </w:tc>
        <w:tc>
          <w:tcPr>
            <w:tcW w:w="80" w:type="dxa"/>
            <w:vAlign w:val="bottom"/>
          </w:tcPr>
          <w:p>
            <w:pPr>
              <w:spacing w:after="0"/>
              <w:rPr>
                <w:sz w:val="16"/>
                <w:szCs w:val="16"/>
                <w:color w:val="auto"/>
              </w:rPr>
            </w:pPr>
          </w:p>
        </w:tc>
        <w:tc>
          <w:tcPr>
            <w:tcW w:w="820" w:type="dxa"/>
            <w:vAlign w:val="bottom"/>
            <w:gridSpan w:val="2"/>
          </w:tcPr>
          <w:p>
            <w:pPr>
              <w:jc w:val="right"/>
              <w:ind w:right="194"/>
              <w:spacing w:after="0" w:line="166" w:lineRule="exact"/>
              <w:rPr>
                <w:sz w:val="20"/>
                <w:szCs w:val="20"/>
                <w:color w:val="auto"/>
              </w:rPr>
            </w:pPr>
            <w:r>
              <w:rPr>
                <w:rFonts w:ascii="Arial" w:cs="Arial" w:eastAsia="Arial" w:hAnsi="Arial"/>
                <w:sz w:val="15"/>
                <w:szCs w:val="15"/>
                <w:b w:val="1"/>
                <w:bCs w:val="1"/>
                <w:color w:val="auto"/>
              </w:rPr>
              <w:t>($)</w:t>
            </w:r>
          </w:p>
        </w:tc>
        <w:tc>
          <w:tcPr>
            <w:tcW w:w="520" w:type="dxa"/>
            <w:vAlign w:val="bottom"/>
          </w:tcPr>
          <w:p>
            <w:pPr>
              <w:spacing w:after="0"/>
              <w:rPr>
                <w:sz w:val="16"/>
                <w:szCs w:val="16"/>
                <w:color w:val="auto"/>
              </w:rPr>
            </w:pPr>
          </w:p>
        </w:tc>
        <w:tc>
          <w:tcPr>
            <w:tcW w:w="1040" w:type="dxa"/>
            <w:vAlign w:val="bottom"/>
            <w:gridSpan w:val="2"/>
          </w:tcPr>
          <w:p>
            <w:pPr>
              <w:jc w:val="center"/>
              <w:ind w:left="71"/>
              <w:spacing w:after="0" w:line="166" w:lineRule="exact"/>
              <w:rPr>
                <w:sz w:val="20"/>
                <w:szCs w:val="20"/>
                <w:color w:val="auto"/>
              </w:rPr>
            </w:pPr>
            <w:r>
              <w:rPr>
                <w:rFonts w:ascii="Arial" w:cs="Arial" w:eastAsia="Arial" w:hAnsi="Arial"/>
                <w:sz w:val="15"/>
                <w:szCs w:val="15"/>
                <w:b w:val="1"/>
                <w:bCs w:val="1"/>
                <w:color w:val="auto"/>
                <w:w w:val="96"/>
              </w:rPr>
              <w:t>($)</w:t>
            </w:r>
            <w:r>
              <w:rPr>
                <w:rFonts w:ascii="Arial" w:cs="Arial" w:eastAsia="Arial" w:hAnsi="Arial"/>
                <w:sz w:val="12"/>
                <w:szCs w:val="12"/>
                <w:b w:val="1"/>
                <w:bCs w:val="1"/>
                <w:color w:val="auto"/>
                <w:w w:val="96"/>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line="166" w:lineRule="exact"/>
              <w:rPr>
                <w:sz w:val="20"/>
                <w:szCs w:val="20"/>
                <w:color w:val="auto"/>
              </w:rPr>
            </w:pPr>
            <w:r>
              <w:rPr>
                <w:rFonts w:ascii="Arial" w:cs="Arial" w:eastAsia="Arial" w:hAnsi="Arial"/>
                <w:sz w:val="15"/>
                <w:szCs w:val="15"/>
                <w:b w:val="1"/>
                <w:bCs w:val="1"/>
                <w:color w:val="auto"/>
                <w:w w:val="94"/>
              </w:rPr>
              <w:t xml:space="preserve">Awards </w:t>
            </w:r>
            <w:r>
              <w:rPr>
                <w:rFonts w:ascii="Arial" w:cs="Arial" w:eastAsia="Arial" w:hAnsi="Arial"/>
                <w:sz w:val="15"/>
                <w:szCs w:val="15"/>
                <w:b w:val="1"/>
                <w:bCs w:val="1"/>
                <w:u w:val="single" w:color="auto"/>
                <w:color w:val="auto"/>
                <w:w w:val="94"/>
              </w:rPr>
              <w:t>($</w:t>
            </w:r>
            <w:r>
              <w:rPr>
                <w:rFonts w:ascii="Arial" w:cs="Arial" w:eastAsia="Arial" w:hAnsi="Arial"/>
                <w:sz w:val="15"/>
                <w:szCs w:val="15"/>
                <w:b w:val="1"/>
                <w:bCs w:val="1"/>
                <w:color w:val="auto"/>
                <w:w w:val="94"/>
              </w:rPr>
              <w:t>)</w:t>
            </w:r>
            <w:r>
              <w:rPr>
                <w:rFonts w:ascii="Arial" w:cs="Arial" w:eastAsia="Arial" w:hAnsi="Arial"/>
                <w:sz w:val="12"/>
                <w:szCs w:val="12"/>
                <w:b w:val="1"/>
                <w:bCs w:val="1"/>
                <w:color w:val="auto"/>
                <w:w w:val="94"/>
              </w:rPr>
              <w:t>(1)</w:t>
            </w:r>
          </w:p>
        </w:tc>
        <w:tc>
          <w:tcPr>
            <w:tcW w:w="140" w:type="dxa"/>
            <w:vAlign w:val="bottom"/>
          </w:tcPr>
          <w:p>
            <w:pPr>
              <w:spacing w:after="0"/>
              <w:rPr>
                <w:sz w:val="16"/>
                <w:szCs w:val="16"/>
                <w:color w:val="auto"/>
              </w:rPr>
            </w:pPr>
          </w:p>
        </w:tc>
        <w:tc>
          <w:tcPr>
            <w:tcW w:w="820" w:type="dxa"/>
            <w:vAlign w:val="bottom"/>
          </w:tcPr>
          <w:p>
            <w:pPr>
              <w:jc w:val="right"/>
              <w:ind w:right="310"/>
              <w:spacing w:after="0" w:line="166" w:lineRule="exact"/>
              <w:rPr>
                <w:sz w:val="20"/>
                <w:szCs w:val="20"/>
                <w:color w:val="auto"/>
              </w:rPr>
            </w:pPr>
            <w:r>
              <w:rPr>
                <w:rFonts w:ascii="Arial" w:cs="Arial" w:eastAsia="Arial" w:hAnsi="Arial"/>
                <w:sz w:val="15"/>
                <w:szCs w:val="15"/>
                <w:b w:val="1"/>
                <w:bCs w:val="1"/>
                <w:color w:val="auto"/>
              </w:rPr>
              <w:t>($)</w:t>
            </w:r>
          </w:p>
        </w:tc>
        <w:tc>
          <w:tcPr>
            <w:tcW w:w="480" w:type="dxa"/>
            <w:vAlign w:val="bottom"/>
          </w:tcPr>
          <w:p>
            <w:pPr>
              <w:spacing w:after="0"/>
              <w:rPr>
                <w:sz w:val="16"/>
                <w:szCs w:val="16"/>
                <w:color w:val="auto"/>
              </w:rPr>
            </w:pPr>
          </w:p>
        </w:tc>
        <w:tc>
          <w:tcPr>
            <w:tcW w:w="880" w:type="dxa"/>
            <w:vAlign w:val="bottom"/>
          </w:tcPr>
          <w:p>
            <w:pPr>
              <w:jc w:val="center"/>
              <w:spacing w:after="0" w:line="166" w:lineRule="exact"/>
              <w:rPr>
                <w:sz w:val="20"/>
                <w:szCs w:val="20"/>
                <w:color w:val="auto"/>
              </w:rPr>
            </w:pPr>
            <w:r>
              <w:rPr>
                <w:rFonts w:ascii="Arial" w:cs="Arial" w:eastAsia="Arial" w:hAnsi="Arial"/>
                <w:sz w:val="15"/>
                <w:szCs w:val="15"/>
                <w:b w:val="1"/>
                <w:bCs w:val="1"/>
                <w:color w:val="auto"/>
                <w:w w:val="97"/>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860" w:type="dxa"/>
            <w:vAlign w:val="bottom"/>
            <w:tcBorders>
              <w:top w:val="single" w:sz="8" w:color="auto"/>
            </w:tcBorders>
            <w:shd w:val="clear" w:color="auto" w:fill="CCEEFF"/>
          </w:tcPr>
          <w:p>
            <w:pPr>
              <w:spacing w:after="0" w:line="217" w:lineRule="exact"/>
              <w:rPr>
                <w:sz w:val="20"/>
                <w:szCs w:val="20"/>
                <w:color w:val="auto"/>
              </w:rPr>
            </w:pPr>
            <w:r>
              <w:rPr>
                <w:rFonts w:ascii="Arial" w:cs="Arial" w:eastAsia="Arial" w:hAnsi="Arial"/>
                <w:sz w:val="19"/>
                <w:szCs w:val="19"/>
                <w:color w:val="auto"/>
                <w:w w:val="94"/>
              </w:rPr>
              <w:t>Arnon Rosenthal, Ph.D</w:t>
            </w:r>
          </w:p>
        </w:tc>
        <w:tc>
          <w:tcPr>
            <w:tcW w:w="2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60"/>
              <w:spacing w:after="0" w:line="217" w:lineRule="exact"/>
              <w:rPr>
                <w:sz w:val="20"/>
                <w:szCs w:val="20"/>
                <w:color w:val="auto"/>
              </w:rPr>
            </w:pPr>
            <w:r>
              <w:rPr>
                <w:rFonts w:ascii="Arial" w:cs="Arial" w:eastAsia="Arial" w:hAnsi="Arial"/>
                <w:sz w:val="19"/>
                <w:szCs w:val="19"/>
                <w:color w:val="auto"/>
                <w:w w:val="85"/>
              </w:rPr>
              <w:t>2018</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line="217" w:lineRule="exact"/>
              <w:rPr>
                <w:sz w:val="20"/>
                <w:szCs w:val="20"/>
                <w:color w:val="auto"/>
              </w:rPr>
            </w:pPr>
            <w:r>
              <w:rPr>
                <w:rFonts w:ascii="Arial" w:cs="Arial" w:eastAsia="Arial" w:hAnsi="Arial"/>
                <w:sz w:val="19"/>
                <w:szCs w:val="19"/>
                <w:color w:val="auto"/>
                <w:w w:val="90"/>
              </w:rPr>
              <w:t>$396,764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line="217" w:lineRule="exact"/>
              <w:rPr>
                <w:sz w:val="20"/>
                <w:szCs w:val="20"/>
                <w:color w:val="auto"/>
              </w:rPr>
            </w:pPr>
            <w:r>
              <w:rPr>
                <w:rFonts w:ascii="Arial" w:cs="Arial" w:eastAsia="Arial" w:hAnsi="Arial"/>
                <w:sz w:val="19"/>
                <w:szCs w:val="19"/>
                <w:color w:val="auto"/>
                <w:w w:val="90"/>
              </w:rPr>
              <w:t>$237,540</w:t>
            </w:r>
          </w:p>
        </w:tc>
        <w:tc>
          <w:tcPr>
            <w:tcW w:w="520" w:type="dxa"/>
            <w:vAlign w:val="bottom"/>
            <w:tcBorders>
              <w:top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1"/>
              </w:rPr>
              <w:t>(2)</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580"/>
              <w:spacing w:after="0" w:line="217" w:lineRule="exact"/>
              <w:rPr>
                <w:sz w:val="20"/>
                <w:szCs w:val="20"/>
                <w:color w:val="auto"/>
              </w:rPr>
            </w:pPr>
            <w:r>
              <w:rPr>
                <w:rFonts w:ascii="Arial" w:cs="Arial" w:eastAsia="Arial" w:hAnsi="Arial"/>
                <w:sz w:val="19"/>
                <w:szCs w:val="19"/>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line="217" w:lineRule="exact"/>
              <w:rPr>
                <w:sz w:val="20"/>
                <w:szCs w:val="20"/>
                <w:color w:val="auto"/>
              </w:rPr>
            </w:pPr>
            <w:r>
              <w:rPr>
                <w:rFonts w:ascii="Arial" w:cs="Arial" w:eastAsia="Arial" w:hAnsi="Arial"/>
                <w:sz w:val="19"/>
                <w:szCs w:val="19"/>
                <w:color w:val="auto"/>
                <w:w w:val="87"/>
              </w:rPr>
              <w:t>$ 4,816,115</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line="217" w:lineRule="exact"/>
              <w:rPr>
                <w:sz w:val="20"/>
                <w:szCs w:val="20"/>
                <w:color w:val="auto"/>
              </w:rPr>
            </w:pPr>
            <w:r>
              <w:rPr>
                <w:rFonts w:ascii="Arial" w:cs="Arial" w:eastAsia="Arial" w:hAnsi="Arial"/>
                <w:sz w:val="19"/>
                <w:szCs w:val="19"/>
                <w:color w:val="auto"/>
              </w:rPr>
              <w:t>$</w:t>
            </w:r>
          </w:p>
        </w:tc>
        <w:tc>
          <w:tcPr>
            <w:tcW w:w="820" w:type="dxa"/>
            <w:vAlign w:val="bottom"/>
            <w:tcBorders>
              <w:top w:val="single" w:sz="8" w:color="auto"/>
            </w:tcBorders>
            <w:shd w:val="clear" w:color="auto" w:fill="CCEEFF"/>
          </w:tcPr>
          <w:p>
            <w:pPr>
              <w:jc w:val="right"/>
              <w:spacing w:after="0" w:line="217" w:lineRule="exact"/>
              <w:rPr>
                <w:sz w:val="20"/>
                <w:szCs w:val="20"/>
                <w:color w:val="auto"/>
              </w:rPr>
            </w:pPr>
            <w:r>
              <w:rPr>
                <w:rFonts w:ascii="Arial" w:cs="Arial" w:eastAsia="Arial" w:hAnsi="Arial"/>
                <w:sz w:val="19"/>
                <w:szCs w:val="19"/>
                <w:color w:val="auto"/>
              </w:rPr>
              <w:t>3,564</w:t>
            </w:r>
          </w:p>
        </w:tc>
        <w:tc>
          <w:tcPr>
            <w:tcW w:w="480" w:type="dxa"/>
            <w:vAlign w:val="bottom"/>
            <w:tcBorders>
              <w:top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1"/>
              </w:rPr>
              <w:t>(3)</w:t>
            </w:r>
          </w:p>
        </w:tc>
        <w:tc>
          <w:tcPr>
            <w:tcW w:w="880" w:type="dxa"/>
            <w:vAlign w:val="bottom"/>
            <w:tcBorders>
              <w:top w:val="single" w:sz="8" w:color="auto"/>
            </w:tcBorders>
            <w:shd w:val="clear" w:color="auto" w:fill="CCEEFF"/>
          </w:tcPr>
          <w:p>
            <w:pPr>
              <w:jc w:val="center"/>
              <w:spacing w:after="0" w:line="217" w:lineRule="exact"/>
              <w:rPr>
                <w:sz w:val="20"/>
                <w:szCs w:val="20"/>
                <w:color w:val="auto"/>
              </w:rPr>
            </w:pPr>
            <w:r>
              <w:rPr>
                <w:rFonts w:ascii="Arial" w:cs="Arial" w:eastAsia="Arial" w:hAnsi="Arial"/>
                <w:sz w:val="19"/>
                <w:szCs w:val="19"/>
                <w:color w:val="auto"/>
                <w:w w:val="92"/>
              </w:rPr>
              <w:t>$5,453,983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80" w:type="dxa"/>
            <w:vAlign w:val="bottom"/>
            <w:gridSpan w:val="2"/>
          </w:tcPr>
          <w:p>
            <w:pPr>
              <w:ind w:left="180"/>
              <w:spacing w:after="0"/>
              <w:rPr>
                <w:sz w:val="20"/>
                <w:szCs w:val="20"/>
                <w:color w:val="auto"/>
              </w:rPr>
            </w:pPr>
            <w:r>
              <w:rPr>
                <w:rFonts w:ascii="Arial" w:cs="Arial" w:eastAsia="Arial" w:hAnsi="Arial"/>
                <w:sz w:val="19"/>
                <w:szCs w:val="19"/>
                <w:i w:val="1"/>
                <w:iCs w:val="1"/>
                <w:color w:val="auto"/>
              </w:rPr>
              <w:t>Co-Founder and Chief Executive Officer</w:t>
            </w:r>
          </w:p>
        </w:tc>
        <w:tc>
          <w:tcPr>
            <w:tcW w:w="440" w:type="dxa"/>
            <w:vAlign w:val="bottom"/>
          </w:tcPr>
          <w:p>
            <w:pPr>
              <w:ind w:left="60"/>
              <w:spacing w:after="0"/>
              <w:rPr>
                <w:sz w:val="20"/>
                <w:szCs w:val="20"/>
                <w:color w:val="auto"/>
              </w:rPr>
            </w:pPr>
            <w:r>
              <w:rPr>
                <w:rFonts w:ascii="Arial" w:cs="Arial" w:eastAsia="Arial" w:hAnsi="Arial"/>
                <w:sz w:val="19"/>
                <w:szCs w:val="19"/>
                <w:color w:val="auto"/>
                <w:w w:val="85"/>
              </w:rPr>
              <w:t>2017</w:t>
            </w:r>
          </w:p>
        </w:tc>
        <w:tc>
          <w:tcPr>
            <w:tcW w:w="280" w:type="dxa"/>
            <w:vAlign w:val="bottom"/>
          </w:tcPr>
          <w:p>
            <w:pPr>
              <w:spacing w:after="0"/>
              <w:rPr>
                <w:sz w:val="19"/>
                <w:szCs w:val="19"/>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9"/>
                <w:szCs w:val="19"/>
                <w:color w:val="auto"/>
                <w:w w:val="90"/>
              </w:rPr>
              <w:t>$370,001</w:t>
            </w:r>
          </w:p>
        </w:tc>
        <w:tc>
          <w:tcPr>
            <w:tcW w:w="1340" w:type="dxa"/>
            <w:vAlign w:val="bottom"/>
            <w:gridSpan w:val="3"/>
          </w:tcPr>
          <w:p>
            <w:pPr>
              <w:ind w:left="80"/>
              <w:spacing w:after="0"/>
              <w:rPr>
                <w:sz w:val="20"/>
                <w:szCs w:val="20"/>
                <w:color w:val="auto"/>
              </w:rPr>
            </w:pPr>
            <w:r>
              <w:rPr>
                <w:rFonts w:ascii="Arial" w:cs="Arial" w:eastAsia="Arial" w:hAnsi="Arial"/>
                <w:sz w:val="19"/>
                <w:szCs w:val="19"/>
                <w:color w:val="auto"/>
              </w:rPr>
              <w:t>$140,600</w:t>
            </w:r>
            <w:r>
              <w:rPr>
                <w:rFonts w:ascii="Arial" w:cs="Arial" w:eastAsia="Arial" w:hAnsi="Arial"/>
                <w:sz w:val="16"/>
                <w:szCs w:val="16"/>
                <w:color w:val="auto"/>
              </w:rPr>
              <w:t>(4)</w:t>
            </w:r>
          </w:p>
        </w:tc>
        <w:tc>
          <w:tcPr>
            <w:tcW w:w="1160" w:type="dxa"/>
            <w:vAlign w:val="bottom"/>
            <w:gridSpan w:val="3"/>
          </w:tcPr>
          <w:p>
            <w:pPr>
              <w:jc w:val="center"/>
              <w:spacing w:after="0"/>
              <w:rPr>
                <w:sz w:val="20"/>
                <w:szCs w:val="20"/>
                <w:color w:val="auto"/>
              </w:rPr>
            </w:pPr>
            <w:r>
              <w:rPr>
                <w:rFonts w:ascii="Arial" w:cs="Arial" w:eastAsia="Arial" w:hAnsi="Arial"/>
                <w:sz w:val="19"/>
                <w:szCs w:val="19"/>
                <w:color w:val="auto"/>
                <w:w w:val="92"/>
              </w:rPr>
              <w:t>$2,881,057</w:t>
            </w:r>
          </w:p>
        </w:tc>
        <w:tc>
          <w:tcPr>
            <w:tcW w:w="120" w:type="dxa"/>
            <w:vAlign w:val="bottom"/>
          </w:tcPr>
          <w:p>
            <w:pPr>
              <w:spacing w:after="0"/>
              <w:rPr>
                <w:sz w:val="19"/>
                <w:szCs w:val="19"/>
                <w:color w:val="auto"/>
              </w:rPr>
            </w:pPr>
          </w:p>
        </w:tc>
        <w:tc>
          <w:tcPr>
            <w:tcW w:w="1140" w:type="dxa"/>
            <w:vAlign w:val="bottom"/>
            <w:gridSpan w:val="2"/>
          </w:tcPr>
          <w:p>
            <w:pPr>
              <w:ind w:left="60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20"/>
                <w:szCs w:val="20"/>
                <w:color w:val="auto"/>
              </w:rPr>
            </w:pPr>
            <w:r>
              <w:rPr>
                <w:rFonts w:ascii="Arial" w:cs="Arial" w:eastAsia="Arial" w:hAnsi="Arial"/>
                <w:sz w:val="19"/>
                <w:szCs w:val="19"/>
                <w:color w:val="auto"/>
              </w:rPr>
              <w:t>$</w:t>
            </w:r>
          </w:p>
        </w:tc>
        <w:tc>
          <w:tcPr>
            <w:tcW w:w="1300" w:type="dxa"/>
            <w:vAlign w:val="bottom"/>
            <w:gridSpan w:val="2"/>
          </w:tcPr>
          <w:p>
            <w:pPr>
              <w:jc w:val="right"/>
              <w:ind w:right="219"/>
              <w:spacing w:after="0"/>
              <w:rPr>
                <w:sz w:val="20"/>
                <w:szCs w:val="20"/>
                <w:color w:val="auto"/>
              </w:rPr>
            </w:pPr>
            <w:r>
              <w:rPr>
                <w:rFonts w:ascii="Arial" w:cs="Arial" w:eastAsia="Arial" w:hAnsi="Arial"/>
                <w:sz w:val="19"/>
                <w:szCs w:val="19"/>
                <w:color w:val="auto"/>
              </w:rPr>
              <w:t>3,564</w:t>
            </w:r>
            <w:r>
              <w:rPr>
                <w:rFonts w:ascii="Arial" w:cs="Arial" w:eastAsia="Arial" w:hAnsi="Arial"/>
                <w:sz w:val="16"/>
                <w:szCs w:val="16"/>
                <w:color w:val="auto"/>
              </w:rPr>
              <w:t>(3)</w:t>
            </w:r>
          </w:p>
        </w:tc>
        <w:tc>
          <w:tcPr>
            <w:tcW w:w="880" w:type="dxa"/>
            <w:vAlign w:val="bottom"/>
          </w:tcPr>
          <w:p>
            <w:pPr>
              <w:jc w:val="center"/>
              <w:spacing w:after="0"/>
              <w:rPr>
                <w:sz w:val="20"/>
                <w:szCs w:val="20"/>
                <w:color w:val="auto"/>
              </w:rPr>
            </w:pPr>
            <w:r>
              <w:rPr>
                <w:rFonts w:ascii="Arial" w:cs="Arial" w:eastAsia="Arial" w:hAnsi="Arial"/>
                <w:sz w:val="19"/>
                <w:szCs w:val="19"/>
                <w:color w:val="auto"/>
                <w:w w:val="92"/>
              </w:rPr>
              <w:t>$3,395,222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Robert King, Ph.D</w:t>
            </w:r>
          </w:p>
        </w:tc>
        <w:tc>
          <w:tcPr>
            <w:tcW w:w="440" w:type="dxa"/>
            <w:vAlign w:val="bottom"/>
            <w:shd w:val="clear" w:color="auto" w:fill="CCEEFF"/>
          </w:tcPr>
          <w:p>
            <w:pPr>
              <w:ind w:left="60"/>
              <w:spacing w:after="0"/>
              <w:rPr>
                <w:sz w:val="20"/>
                <w:szCs w:val="20"/>
                <w:color w:val="auto"/>
              </w:rPr>
            </w:pPr>
            <w:r>
              <w:rPr>
                <w:rFonts w:ascii="Arial" w:cs="Arial" w:eastAsia="Arial" w:hAnsi="Arial"/>
                <w:sz w:val="19"/>
                <w:szCs w:val="19"/>
                <w:color w:val="auto"/>
                <w:w w:val="85"/>
              </w:rPr>
              <w:t>2018</w:t>
            </w: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9"/>
                <w:szCs w:val="19"/>
                <w:color w:val="auto"/>
                <w:w w:val="90"/>
              </w:rPr>
              <w:t>$352,297</w:t>
            </w:r>
          </w:p>
        </w:tc>
        <w:tc>
          <w:tcPr>
            <w:tcW w:w="1340" w:type="dxa"/>
            <w:vAlign w:val="bottom"/>
            <w:gridSpan w:val="3"/>
            <w:shd w:val="clear" w:color="auto" w:fill="CCEEFF"/>
          </w:tcPr>
          <w:p>
            <w:pPr>
              <w:ind w:left="80"/>
              <w:spacing w:after="0"/>
              <w:rPr>
                <w:sz w:val="20"/>
                <w:szCs w:val="20"/>
                <w:color w:val="auto"/>
              </w:rPr>
            </w:pPr>
            <w:r>
              <w:rPr>
                <w:rFonts w:ascii="Arial" w:cs="Arial" w:eastAsia="Arial" w:hAnsi="Arial"/>
                <w:sz w:val="19"/>
                <w:szCs w:val="19"/>
                <w:color w:val="auto"/>
              </w:rPr>
              <w:t>$147,800</w:t>
            </w:r>
            <w:r>
              <w:rPr>
                <w:rFonts w:ascii="Arial" w:cs="Arial" w:eastAsia="Arial" w:hAnsi="Arial"/>
                <w:sz w:val="16"/>
                <w:szCs w:val="16"/>
                <w:color w:val="auto"/>
              </w:rPr>
              <w:t>(2)</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9"/>
                <w:szCs w:val="19"/>
                <w:color w:val="auto"/>
              </w:rPr>
              <w:t>—</w:t>
            </w:r>
          </w:p>
        </w:tc>
        <w:tc>
          <w:tcPr>
            <w:tcW w:w="1000" w:type="dxa"/>
            <w:vAlign w:val="bottom"/>
            <w:gridSpan w:val="2"/>
            <w:shd w:val="clear" w:color="auto" w:fill="CCEEFF"/>
          </w:tcPr>
          <w:p>
            <w:pPr>
              <w:jc w:val="center"/>
              <w:ind w:left="25"/>
              <w:spacing w:after="0"/>
              <w:rPr>
                <w:sz w:val="20"/>
                <w:szCs w:val="20"/>
                <w:color w:val="auto"/>
              </w:rPr>
            </w:pPr>
            <w:r>
              <w:rPr>
                <w:rFonts w:ascii="Arial" w:cs="Arial" w:eastAsia="Arial" w:hAnsi="Arial"/>
                <w:sz w:val="19"/>
                <w:szCs w:val="19"/>
                <w:color w:val="auto"/>
                <w:w w:val="92"/>
              </w:rPr>
              <w:t>$1,570,355</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1300" w:type="dxa"/>
            <w:vAlign w:val="bottom"/>
            <w:gridSpan w:val="2"/>
            <w:shd w:val="clear" w:color="auto" w:fill="CCEEFF"/>
          </w:tcPr>
          <w:p>
            <w:pPr>
              <w:jc w:val="right"/>
              <w:ind w:right="219"/>
              <w:spacing w:after="0"/>
              <w:rPr>
                <w:sz w:val="20"/>
                <w:szCs w:val="20"/>
                <w:color w:val="auto"/>
              </w:rPr>
            </w:pPr>
            <w:r>
              <w:rPr>
                <w:rFonts w:ascii="Arial" w:cs="Arial" w:eastAsia="Arial" w:hAnsi="Arial"/>
                <w:sz w:val="19"/>
                <w:szCs w:val="19"/>
                <w:color w:val="auto"/>
              </w:rPr>
              <w:t>2,323</w:t>
            </w:r>
            <w:r>
              <w:rPr>
                <w:rFonts w:ascii="Arial" w:cs="Arial" w:eastAsia="Arial" w:hAnsi="Arial"/>
                <w:sz w:val="16"/>
                <w:szCs w:val="16"/>
                <w:color w:val="auto"/>
              </w:rPr>
              <w:t>(3)</w:t>
            </w:r>
          </w:p>
        </w:tc>
        <w:tc>
          <w:tcPr>
            <w:tcW w:w="8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2"/>
              </w:rPr>
              <w:t>$2,072,775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gridSpan w:val="2"/>
          </w:tcPr>
          <w:p>
            <w:pPr>
              <w:ind w:left="180"/>
              <w:spacing w:after="0"/>
              <w:rPr>
                <w:sz w:val="20"/>
                <w:szCs w:val="20"/>
                <w:color w:val="auto"/>
              </w:rPr>
            </w:pPr>
            <w:r>
              <w:rPr>
                <w:rFonts w:ascii="Arial" w:cs="Arial" w:eastAsia="Arial" w:hAnsi="Arial"/>
                <w:sz w:val="19"/>
                <w:szCs w:val="19"/>
                <w:i w:val="1"/>
                <w:iCs w:val="1"/>
                <w:color w:val="auto"/>
              </w:rPr>
              <w:t>Chief Development Officer</w:t>
            </w:r>
          </w:p>
        </w:tc>
        <w:tc>
          <w:tcPr>
            <w:tcW w:w="440" w:type="dxa"/>
            <w:vAlign w:val="bottom"/>
          </w:tcPr>
          <w:p>
            <w:pPr>
              <w:ind w:left="60"/>
              <w:spacing w:after="0"/>
              <w:rPr>
                <w:sz w:val="20"/>
                <w:szCs w:val="20"/>
                <w:color w:val="auto"/>
              </w:rPr>
            </w:pPr>
            <w:r>
              <w:rPr>
                <w:rFonts w:ascii="Arial" w:cs="Arial" w:eastAsia="Arial" w:hAnsi="Arial"/>
                <w:sz w:val="19"/>
                <w:szCs w:val="19"/>
                <w:color w:val="auto"/>
                <w:w w:val="85"/>
              </w:rPr>
              <w:t>2017</w:t>
            </w:r>
          </w:p>
        </w:tc>
        <w:tc>
          <w:tcPr>
            <w:tcW w:w="280" w:type="dxa"/>
            <w:vAlign w:val="bottom"/>
          </w:tcPr>
          <w:p>
            <w:pPr>
              <w:spacing w:after="0"/>
              <w:rPr>
                <w:sz w:val="19"/>
                <w:szCs w:val="19"/>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9"/>
                <w:szCs w:val="19"/>
                <w:color w:val="auto"/>
                <w:w w:val="90"/>
              </w:rPr>
              <w:t>$316,898</w:t>
            </w:r>
          </w:p>
        </w:tc>
        <w:tc>
          <w:tcPr>
            <w:tcW w:w="1340" w:type="dxa"/>
            <w:vAlign w:val="bottom"/>
            <w:gridSpan w:val="3"/>
          </w:tcPr>
          <w:p>
            <w:pPr>
              <w:ind w:left="80"/>
              <w:spacing w:after="0"/>
              <w:rPr>
                <w:sz w:val="20"/>
                <w:szCs w:val="20"/>
                <w:color w:val="auto"/>
              </w:rPr>
            </w:pPr>
            <w:r>
              <w:rPr>
                <w:rFonts w:ascii="Arial" w:cs="Arial" w:eastAsia="Arial" w:hAnsi="Arial"/>
                <w:sz w:val="19"/>
                <w:szCs w:val="19"/>
                <w:color w:val="auto"/>
              </w:rPr>
              <w:t>$103,700</w:t>
            </w:r>
            <w:r>
              <w:rPr>
                <w:rFonts w:ascii="Arial" w:cs="Arial" w:eastAsia="Arial" w:hAnsi="Arial"/>
                <w:sz w:val="16"/>
                <w:szCs w:val="16"/>
                <w:color w:val="auto"/>
              </w:rPr>
              <w:t>(4)</w:t>
            </w:r>
          </w:p>
        </w:tc>
        <w:tc>
          <w:tcPr>
            <w:tcW w:w="1160" w:type="dxa"/>
            <w:vAlign w:val="bottom"/>
            <w:gridSpan w:val="3"/>
          </w:tcPr>
          <w:p>
            <w:pPr>
              <w:jc w:val="center"/>
              <w:spacing w:after="0"/>
              <w:rPr>
                <w:sz w:val="20"/>
                <w:szCs w:val="20"/>
                <w:color w:val="auto"/>
              </w:rPr>
            </w:pPr>
            <w:r>
              <w:rPr>
                <w:rFonts w:ascii="Arial" w:cs="Arial" w:eastAsia="Arial" w:hAnsi="Arial"/>
                <w:sz w:val="19"/>
                <w:szCs w:val="19"/>
                <w:color w:val="auto"/>
                <w:w w:val="92"/>
              </w:rPr>
              <w:t>$1,309,005</w:t>
            </w:r>
          </w:p>
        </w:tc>
        <w:tc>
          <w:tcPr>
            <w:tcW w:w="120" w:type="dxa"/>
            <w:vAlign w:val="bottom"/>
          </w:tcPr>
          <w:p>
            <w:pPr>
              <w:spacing w:after="0"/>
              <w:rPr>
                <w:sz w:val="19"/>
                <w:szCs w:val="19"/>
                <w:color w:val="auto"/>
              </w:rPr>
            </w:pPr>
          </w:p>
        </w:tc>
        <w:tc>
          <w:tcPr>
            <w:tcW w:w="1140" w:type="dxa"/>
            <w:vAlign w:val="bottom"/>
            <w:gridSpan w:val="2"/>
          </w:tcPr>
          <w:p>
            <w:pPr>
              <w:ind w:left="60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20"/>
                <w:szCs w:val="20"/>
                <w:color w:val="auto"/>
              </w:rPr>
            </w:pPr>
            <w:r>
              <w:rPr>
                <w:rFonts w:ascii="Arial" w:cs="Arial" w:eastAsia="Arial" w:hAnsi="Arial"/>
                <w:sz w:val="19"/>
                <w:szCs w:val="19"/>
                <w:color w:val="auto"/>
              </w:rPr>
              <w:t>$</w:t>
            </w:r>
          </w:p>
        </w:tc>
        <w:tc>
          <w:tcPr>
            <w:tcW w:w="1300" w:type="dxa"/>
            <w:vAlign w:val="bottom"/>
            <w:gridSpan w:val="2"/>
          </w:tcPr>
          <w:p>
            <w:pPr>
              <w:jc w:val="right"/>
              <w:ind w:right="219"/>
              <w:spacing w:after="0"/>
              <w:rPr>
                <w:sz w:val="20"/>
                <w:szCs w:val="20"/>
                <w:color w:val="auto"/>
              </w:rPr>
            </w:pPr>
            <w:r>
              <w:rPr>
                <w:rFonts w:ascii="Arial" w:cs="Arial" w:eastAsia="Arial" w:hAnsi="Arial"/>
                <w:sz w:val="19"/>
                <w:szCs w:val="19"/>
                <w:color w:val="auto"/>
              </w:rPr>
              <w:t>1,180</w:t>
            </w:r>
            <w:r>
              <w:rPr>
                <w:rFonts w:ascii="Arial" w:cs="Arial" w:eastAsia="Arial" w:hAnsi="Arial"/>
                <w:sz w:val="16"/>
                <w:szCs w:val="16"/>
                <w:color w:val="auto"/>
              </w:rPr>
              <w:t>(3)</w:t>
            </w:r>
          </w:p>
        </w:tc>
        <w:tc>
          <w:tcPr>
            <w:tcW w:w="880" w:type="dxa"/>
            <w:vAlign w:val="bottom"/>
          </w:tcPr>
          <w:p>
            <w:pPr>
              <w:jc w:val="center"/>
              <w:spacing w:after="0"/>
              <w:rPr>
                <w:sz w:val="20"/>
                <w:szCs w:val="20"/>
                <w:color w:val="auto"/>
              </w:rPr>
            </w:pPr>
            <w:r>
              <w:rPr>
                <w:rFonts w:ascii="Arial" w:cs="Arial" w:eastAsia="Arial" w:hAnsi="Arial"/>
                <w:sz w:val="19"/>
                <w:szCs w:val="19"/>
                <w:color w:val="auto"/>
                <w:w w:val="92"/>
              </w:rPr>
              <w:t>$1,730,783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Robert Paul, M.D., Ph.D</w:t>
            </w:r>
          </w:p>
        </w:tc>
        <w:tc>
          <w:tcPr>
            <w:tcW w:w="440" w:type="dxa"/>
            <w:vAlign w:val="bottom"/>
            <w:shd w:val="clear" w:color="auto" w:fill="CCEEFF"/>
          </w:tcPr>
          <w:p>
            <w:pPr>
              <w:ind w:left="60"/>
              <w:spacing w:after="0"/>
              <w:rPr>
                <w:sz w:val="20"/>
                <w:szCs w:val="20"/>
                <w:color w:val="auto"/>
              </w:rPr>
            </w:pPr>
            <w:r>
              <w:rPr>
                <w:rFonts w:ascii="Arial" w:cs="Arial" w:eastAsia="Arial" w:hAnsi="Arial"/>
                <w:sz w:val="19"/>
                <w:szCs w:val="19"/>
                <w:color w:val="auto"/>
                <w:w w:val="85"/>
              </w:rPr>
              <w:t>2018</w:t>
            </w: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9"/>
                <w:szCs w:val="19"/>
                <w:color w:val="auto"/>
                <w:w w:val="90"/>
              </w:rPr>
              <w:t>$326,367</w:t>
            </w:r>
          </w:p>
        </w:tc>
        <w:tc>
          <w:tcPr>
            <w:tcW w:w="1340" w:type="dxa"/>
            <w:vAlign w:val="bottom"/>
            <w:gridSpan w:val="3"/>
            <w:shd w:val="clear" w:color="auto" w:fill="CCEEFF"/>
          </w:tcPr>
          <w:p>
            <w:pPr>
              <w:ind w:left="80"/>
              <w:spacing w:after="0"/>
              <w:rPr>
                <w:sz w:val="20"/>
                <w:szCs w:val="20"/>
                <w:color w:val="auto"/>
              </w:rPr>
            </w:pPr>
            <w:r>
              <w:rPr>
                <w:rFonts w:ascii="Arial" w:cs="Arial" w:eastAsia="Arial" w:hAnsi="Arial"/>
                <w:sz w:val="19"/>
                <w:szCs w:val="19"/>
                <w:color w:val="auto"/>
              </w:rPr>
              <w:t>$180,670</w:t>
            </w:r>
            <w:r>
              <w:rPr>
                <w:rFonts w:ascii="Arial" w:cs="Arial" w:eastAsia="Arial" w:hAnsi="Arial"/>
                <w:sz w:val="16"/>
                <w:szCs w:val="16"/>
                <w:color w:val="auto"/>
              </w:rPr>
              <w:t>(2)(5)</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9"/>
                <w:szCs w:val="19"/>
                <w:color w:val="auto"/>
              </w:rPr>
              <w:t>—</w:t>
            </w:r>
          </w:p>
        </w:tc>
        <w:tc>
          <w:tcPr>
            <w:tcW w:w="1000" w:type="dxa"/>
            <w:vAlign w:val="bottom"/>
            <w:gridSpan w:val="2"/>
            <w:shd w:val="clear" w:color="auto" w:fill="CCEEFF"/>
          </w:tcPr>
          <w:p>
            <w:pPr>
              <w:jc w:val="center"/>
              <w:ind w:left="25"/>
              <w:spacing w:after="0"/>
              <w:rPr>
                <w:sz w:val="20"/>
                <w:szCs w:val="20"/>
                <w:color w:val="auto"/>
              </w:rPr>
            </w:pPr>
            <w:r>
              <w:rPr>
                <w:rFonts w:ascii="Arial" w:cs="Arial" w:eastAsia="Arial" w:hAnsi="Arial"/>
                <w:sz w:val="19"/>
                <w:szCs w:val="19"/>
                <w:color w:val="auto"/>
                <w:w w:val="92"/>
              </w:rPr>
              <w:t>$2,707,815</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1300" w:type="dxa"/>
            <w:vAlign w:val="bottom"/>
            <w:gridSpan w:val="2"/>
            <w:shd w:val="clear" w:color="auto" w:fill="CCEEFF"/>
          </w:tcPr>
          <w:p>
            <w:pPr>
              <w:jc w:val="right"/>
              <w:ind w:right="219"/>
              <w:spacing w:after="0"/>
              <w:rPr>
                <w:sz w:val="20"/>
                <w:szCs w:val="20"/>
                <w:color w:val="auto"/>
              </w:rPr>
            </w:pPr>
            <w:r>
              <w:rPr>
                <w:rFonts w:ascii="Arial" w:cs="Arial" w:eastAsia="Arial" w:hAnsi="Arial"/>
                <w:sz w:val="19"/>
                <w:szCs w:val="19"/>
                <w:color w:val="auto"/>
              </w:rPr>
              <w:t>1,243</w:t>
            </w:r>
            <w:r>
              <w:rPr>
                <w:rFonts w:ascii="Arial" w:cs="Arial" w:eastAsia="Arial" w:hAnsi="Arial"/>
                <w:sz w:val="16"/>
                <w:szCs w:val="16"/>
                <w:color w:val="auto"/>
              </w:rPr>
              <w:t>(3)</w:t>
            </w:r>
          </w:p>
        </w:tc>
        <w:tc>
          <w:tcPr>
            <w:tcW w:w="8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2"/>
              </w:rPr>
              <w:t>$3,216,095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80" w:type="dxa"/>
            <w:vAlign w:val="bottom"/>
            <w:gridSpan w:val="2"/>
          </w:tcPr>
          <w:p>
            <w:pPr>
              <w:ind w:left="180"/>
              <w:spacing w:after="0"/>
              <w:rPr>
                <w:sz w:val="20"/>
                <w:szCs w:val="20"/>
                <w:color w:val="auto"/>
              </w:rPr>
            </w:pPr>
            <w:r>
              <w:rPr>
                <w:rFonts w:ascii="Arial" w:cs="Arial" w:eastAsia="Arial" w:hAnsi="Arial"/>
                <w:sz w:val="19"/>
                <w:szCs w:val="19"/>
                <w:i w:val="1"/>
                <w:iCs w:val="1"/>
                <w:color w:val="auto"/>
              </w:rPr>
              <w:t>Chief Medical Officer</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81915</wp:posOffset>
            </wp:positionV>
            <wp:extent cx="74231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52" w:lineRule="exact"/>
        <w:rPr>
          <w:sz w:val="20"/>
          <w:szCs w:val="20"/>
          <w:color w:val="auto"/>
        </w:rPr>
      </w:pPr>
    </w:p>
    <w:p>
      <w:pPr>
        <w:ind w:left="640" w:right="40" w:hanging="461"/>
        <w:spacing w:after="0" w:line="254" w:lineRule="auto"/>
        <w:tabs>
          <w:tab w:leader="none" w:pos="6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amounts disclosed represent the aggregate grant date fair value of the award as calculated in accordance with ASC 718. The assumptions used in calculating the grant date fair value of the award disclosed in this column are set forth in the notes to our audited financial statements included elsewhere in this prospectus. These amounts do not correspond to the actual value that may be recognized by the named executive officers upon vesting of the applicable awards.</w:t>
      </w:r>
    </w:p>
    <w:p>
      <w:pPr>
        <w:ind w:left="640" w:right="120" w:hanging="461"/>
        <w:spacing w:after="0" w:line="250" w:lineRule="auto"/>
        <w:tabs>
          <w:tab w:leader="none" w:pos="6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amounts reported represent a bonus earned upon the achievement of company objectives for the fiscal year ended December 31, 2018, which is expected to be paid in March 2019.</w:t>
      </w:r>
    </w:p>
    <w:p>
      <w:pPr>
        <w:spacing w:after="0" w:line="1" w:lineRule="exact"/>
        <w:rPr>
          <w:rFonts w:ascii="Arial" w:cs="Arial" w:eastAsia="Arial" w:hAnsi="Arial"/>
          <w:sz w:val="19"/>
          <w:szCs w:val="19"/>
          <w:color w:val="auto"/>
        </w:rPr>
      </w:pPr>
    </w:p>
    <w:p>
      <w:pPr>
        <w:ind w:left="640" w:hanging="461"/>
        <w:spacing w:after="0"/>
        <w:tabs>
          <w:tab w:leader="none" w:pos="6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amounts reported include life insurance premiums paid by us on behalf of our named executive officers.</w:t>
      </w:r>
    </w:p>
    <w:p>
      <w:pPr>
        <w:spacing w:after="0" w:line="9" w:lineRule="exact"/>
        <w:rPr>
          <w:rFonts w:ascii="Arial" w:cs="Arial" w:eastAsia="Arial" w:hAnsi="Arial"/>
          <w:sz w:val="19"/>
          <w:szCs w:val="19"/>
          <w:color w:val="auto"/>
        </w:rPr>
      </w:pPr>
    </w:p>
    <w:p>
      <w:pPr>
        <w:ind w:left="640" w:right="300" w:hanging="461"/>
        <w:spacing w:after="0" w:line="250" w:lineRule="auto"/>
        <w:tabs>
          <w:tab w:leader="none" w:pos="6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amounts reported represent a bonus based upon the achievement of company objectives for the year ended December 31, 2017, which was paid in March 2018.</w:t>
      </w:r>
    </w:p>
    <w:p>
      <w:pPr>
        <w:spacing w:after="0" w:line="1" w:lineRule="exact"/>
        <w:rPr>
          <w:rFonts w:ascii="Arial" w:cs="Arial" w:eastAsia="Arial" w:hAnsi="Arial"/>
          <w:sz w:val="19"/>
          <w:szCs w:val="19"/>
          <w:color w:val="auto"/>
        </w:rPr>
      </w:pPr>
    </w:p>
    <w:p>
      <w:pPr>
        <w:ind w:left="640" w:right="100" w:hanging="461"/>
        <w:spacing w:after="0" w:line="261" w:lineRule="auto"/>
        <w:tabs>
          <w:tab w:leader="none" w:pos="6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amount included in the “Bonus” column includes a portion of a signing bonus earned and paid in 2018 to Dr. Paul in the aggregate amount of $43,750.</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142</w:t>
      </w:r>
    </w:p>
    <w:p>
      <w:pPr>
        <w:sectPr>
          <w:pgSz w:w="12240" w:h="15840" w:orient="portrait"/>
          <w:cols w:equalWidth="0" w:num="1">
            <w:col w:w="11820"/>
          </w:cols>
          <w:pgMar w:left="120" w:top="336" w:right="300" w:bottom="1440" w:gutter="0" w:footer="0" w:header="0"/>
        </w:sectPr>
      </w:pPr>
    </w:p>
    <w:bookmarkStart w:id="150" w:name="page151"/>
    <w:bookmarkEnd w:id="15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Outstanding Equity Awards at Fiscal Year-End</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information concerning outstanding equity awards held by each of our named executive officers as of December 31,</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2018:</w:t>
      </w:r>
    </w:p>
    <w:p>
      <w:pPr>
        <w:spacing w:after="0" w:line="244"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3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Option Awards</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4"/>
          </w:tcPr>
          <w:p>
            <w:pPr>
              <w:ind w:left="600"/>
              <w:spacing w:after="0"/>
              <w:rPr>
                <w:sz w:val="20"/>
                <w:szCs w:val="20"/>
                <w:color w:val="auto"/>
              </w:rPr>
            </w:pPr>
            <w:r>
              <w:rPr>
                <w:rFonts w:ascii="Arial" w:cs="Arial" w:eastAsia="Arial" w:hAnsi="Arial"/>
                <w:sz w:val="15"/>
                <w:szCs w:val="15"/>
                <w:b w:val="1"/>
                <w:bCs w:val="1"/>
                <w:color w:val="auto"/>
              </w:rPr>
              <w:t>Stock Awards</w:t>
            </w:r>
          </w:p>
        </w:tc>
        <w:tc>
          <w:tcPr>
            <w:tcW w:w="0" w:type="dxa"/>
            <w:vAlign w:val="bottom"/>
          </w:tcPr>
          <w:p>
            <w:pPr>
              <w:spacing w:after="0"/>
              <w:rPr>
                <w:sz w:val="1"/>
                <w:szCs w:val="1"/>
                <w:color w:val="auto"/>
              </w:rPr>
            </w:pPr>
          </w:p>
        </w:tc>
      </w:tr>
      <w:tr>
        <w:trPr>
          <w:trHeight w:val="128"/>
        </w:trPr>
        <w:tc>
          <w:tcPr>
            <w:tcW w:w="3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Borders>
              <w:top w:val="single" w:sz="8" w:color="auto"/>
            </w:tcBorders>
            <w:gridSpan w:val="2"/>
          </w:tcPr>
          <w:p>
            <w:pPr>
              <w:jc w:val="center"/>
              <w:ind w:right="519"/>
              <w:spacing w:after="0" w:line="128" w:lineRule="exact"/>
              <w:rPr>
                <w:sz w:val="20"/>
                <w:szCs w:val="20"/>
                <w:color w:val="auto"/>
              </w:rPr>
            </w:pPr>
            <w:r>
              <w:rPr>
                <w:rFonts w:ascii="Arial" w:cs="Arial" w:eastAsia="Arial" w:hAnsi="Arial"/>
                <w:sz w:val="14"/>
                <w:szCs w:val="14"/>
                <w:b w:val="1"/>
                <w:bCs w:val="1"/>
                <w:color w:val="auto"/>
              </w:rPr>
              <w:t>Number</w:t>
            </w:r>
          </w:p>
        </w:tc>
        <w:tc>
          <w:tcPr>
            <w:tcW w:w="82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rPr>
              <w:t>Market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560"/>
              <w:spacing w:after="0" w:line="157" w:lineRule="exact"/>
              <w:rPr>
                <w:sz w:val="20"/>
                <w:szCs w:val="20"/>
                <w:color w:val="auto"/>
              </w:rPr>
            </w:pPr>
            <w:r>
              <w:rPr>
                <w:rFonts w:ascii="Arial" w:cs="Arial" w:eastAsia="Arial" w:hAnsi="Arial"/>
                <w:sz w:val="15"/>
                <w:szCs w:val="15"/>
                <w:b w:val="1"/>
                <w:bCs w:val="1"/>
                <w:color w:val="auto"/>
                <w:w w:val="93"/>
              </w:rPr>
              <w:t>Number of</w:t>
            </w:r>
          </w:p>
        </w:tc>
        <w:tc>
          <w:tcPr>
            <w:tcW w:w="1440" w:type="dxa"/>
            <w:vAlign w:val="bottom"/>
            <w:gridSpan w:val="2"/>
          </w:tcPr>
          <w:p>
            <w:pPr>
              <w:jc w:val="center"/>
              <w:ind w:right="520"/>
              <w:spacing w:after="0" w:line="157" w:lineRule="exact"/>
              <w:rPr>
                <w:sz w:val="20"/>
                <w:szCs w:val="20"/>
                <w:color w:val="auto"/>
              </w:rPr>
            </w:pPr>
            <w:r>
              <w:rPr>
                <w:rFonts w:ascii="Arial" w:cs="Arial" w:eastAsia="Arial" w:hAnsi="Arial"/>
                <w:sz w:val="15"/>
                <w:szCs w:val="15"/>
                <w:b w:val="1"/>
                <w:bCs w:val="1"/>
                <w:color w:val="auto"/>
                <w:w w:val="95"/>
              </w:rPr>
              <w:t>Number of</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499"/>
              <w:spacing w:after="0" w:line="157" w:lineRule="exact"/>
              <w:rPr>
                <w:sz w:val="20"/>
                <w:szCs w:val="20"/>
                <w:color w:val="auto"/>
              </w:rPr>
            </w:pPr>
            <w:r>
              <w:rPr>
                <w:rFonts w:ascii="Arial" w:cs="Arial" w:eastAsia="Arial" w:hAnsi="Arial"/>
                <w:sz w:val="15"/>
                <w:szCs w:val="15"/>
                <w:b w:val="1"/>
                <w:bCs w:val="1"/>
                <w:color w:val="auto"/>
                <w:w w:val="87"/>
              </w:rPr>
              <w:t>of Shares</w:t>
            </w:r>
          </w:p>
        </w:tc>
        <w:tc>
          <w:tcPr>
            <w:tcW w:w="880" w:type="dxa"/>
            <w:vAlign w:val="bottom"/>
            <w:gridSpan w:val="2"/>
          </w:tcPr>
          <w:p>
            <w:pPr>
              <w:jc w:val="center"/>
              <w:ind w:right="60"/>
              <w:spacing w:after="0" w:line="157" w:lineRule="exact"/>
              <w:rPr>
                <w:sz w:val="20"/>
                <w:szCs w:val="20"/>
                <w:color w:val="auto"/>
              </w:rPr>
            </w:pPr>
            <w:r>
              <w:rPr>
                <w:rFonts w:ascii="Arial" w:cs="Arial" w:eastAsia="Arial" w:hAnsi="Arial"/>
                <w:sz w:val="15"/>
                <w:szCs w:val="15"/>
                <w:b w:val="1"/>
                <w:bCs w:val="1"/>
                <w:color w:val="auto"/>
                <w:w w:val="92"/>
              </w:rPr>
              <w:t>Value of</w:t>
            </w: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560"/>
              <w:spacing w:after="0" w:line="157" w:lineRule="exact"/>
              <w:rPr>
                <w:sz w:val="20"/>
                <w:szCs w:val="20"/>
                <w:color w:val="auto"/>
              </w:rPr>
            </w:pPr>
            <w:r>
              <w:rPr>
                <w:rFonts w:ascii="Arial" w:cs="Arial" w:eastAsia="Arial" w:hAnsi="Arial"/>
                <w:sz w:val="15"/>
                <w:szCs w:val="15"/>
                <w:b w:val="1"/>
                <w:bCs w:val="1"/>
                <w:color w:val="auto"/>
                <w:w w:val="86"/>
              </w:rPr>
              <w:t>Securities</w:t>
            </w:r>
          </w:p>
        </w:tc>
        <w:tc>
          <w:tcPr>
            <w:tcW w:w="1440" w:type="dxa"/>
            <w:vAlign w:val="bottom"/>
            <w:gridSpan w:val="2"/>
          </w:tcPr>
          <w:p>
            <w:pPr>
              <w:jc w:val="center"/>
              <w:ind w:right="520"/>
              <w:spacing w:after="0" w:line="157" w:lineRule="exact"/>
              <w:rPr>
                <w:sz w:val="20"/>
                <w:szCs w:val="20"/>
                <w:color w:val="auto"/>
              </w:rPr>
            </w:pPr>
            <w:r>
              <w:rPr>
                <w:rFonts w:ascii="Arial" w:cs="Arial" w:eastAsia="Arial" w:hAnsi="Arial"/>
                <w:sz w:val="15"/>
                <w:szCs w:val="15"/>
                <w:b w:val="1"/>
                <w:bCs w:val="1"/>
                <w:color w:val="auto"/>
                <w:w w:val="89"/>
              </w:rPr>
              <w:t>Securities</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499"/>
              <w:spacing w:after="0" w:line="157" w:lineRule="exact"/>
              <w:rPr>
                <w:sz w:val="20"/>
                <w:szCs w:val="20"/>
                <w:color w:val="auto"/>
              </w:rPr>
            </w:pPr>
            <w:r>
              <w:rPr>
                <w:rFonts w:ascii="Arial" w:cs="Arial" w:eastAsia="Arial" w:hAnsi="Arial"/>
                <w:sz w:val="15"/>
                <w:szCs w:val="15"/>
                <w:b w:val="1"/>
                <w:bCs w:val="1"/>
                <w:color w:val="auto"/>
                <w:w w:val="87"/>
              </w:rPr>
              <w:t>of Stock</w:t>
            </w:r>
          </w:p>
        </w:tc>
        <w:tc>
          <w:tcPr>
            <w:tcW w:w="880" w:type="dxa"/>
            <w:vAlign w:val="bottom"/>
            <w:gridSpan w:val="2"/>
          </w:tcPr>
          <w:p>
            <w:pPr>
              <w:jc w:val="center"/>
              <w:ind w:right="80"/>
              <w:spacing w:after="0" w:line="157" w:lineRule="exact"/>
              <w:rPr>
                <w:sz w:val="20"/>
                <w:szCs w:val="20"/>
                <w:color w:val="auto"/>
              </w:rPr>
            </w:pPr>
            <w:r>
              <w:rPr>
                <w:rFonts w:ascii="Arial" w:cs="Arial" w:eastAsia="Arial" w:hAnsi="Arial"/>
                <w:sz w:val="15"/>
                <w:szCs w:val="15"/>
                <w:b w:val="1"/>
                <w:bCs w:val="1"/>
                <w:color w:val="auto"/>
                <w:w w:val="87"/>
              </w:rPr>
              <w:t>Shares of</w:t>
            </w: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560"/>
              <w:spacing w:after="0" w:line="157" w:lineRule="exact"/>
              <w:rPr>
                <w:sz w:val="20"/>
                <w:szCs w:val="20"/>
                <w:color w:val="auto"/>
              </w:rPr>
            </w:pPr>
            <w:r>
              <w:rPr>
                <w:rFonts w:ascii="Arial" w:cs="Arial" w:eastAsia="Arial" w:hAnsi="Arial"/>
                <w:sz w:val="15"/>
                <w:szCs w:val="15"/>
                <w:b w:val="1"/>
                <w:bCs w:val="1"/>
                <w:color w:val="auto"/>
                <w:w w:val="94"/>
              </w:rPr>
              <w:t>Underlying</w:t>
            </w:r>
          </w:p>
        </w:tc>
        <w:tc>
          <w:tcPr>
            <w:tcW w:w="1440" w:type="dxa"/>
            <w:vAlign w:val="bottom"/>
            <w:gridSpan w:val="2"/>
          </w:tcPr>
          <w:p>
            <w:pPr>
              <w:jc w:val="center"/>
              <w:ind w:right="520"/>
              <w:spacing w:after="0" w:line="157" w:lineRule="exact"/>
              <w:rPr>
                <w:sz w:val="20"/>
                <w:szCs w:val="20"/>
                <w:color w:val="auto"/>
              </w:rPr>
            </w:pPr>
            <w:r>
              <w:rPr>
                <w:rFonts w:ascii="Arial" w:cs="Arial" w:eastAsia="Arial" w:hAnsi="Arial"/>
                <w:sz w:val="15"/>
                <w:szCs w:val="15"/>
                <w:b w:val="1"/>
                <w:bCs w:val="1"/>
                <w:color w:val="auto"/>
                <w:w w:val="91"/>
              </w:rPr>
              <w:t>Underlying</w:t>
            </w:r>
          </w:p>
        </w:tc>
        <w:tc>
          <w:tcPr>
            <w:tcW w:w="40" w:type="dxa"/>
            <w:vAlign w:val="bottom"/>
          </w:tcPr>
          <w:p>
            <w:pPr>
              <w:spacing w:after="0"/>
              <w:rPr>
                <w:sz w:val="13"/>
                <w:szCs w:val="13"/>
                <w:color w:val="auto"/>
              </w:rPr>
            </w:pPr>
          </w:p>
        </w:tc>
        <w:tc>
          <w:tcPr>
            <w:tcW w:w="800" w:type="dxa"/>
            <w:vAlign w:val="bottom"/>
            <w:gridSpan w:val="2"/>
          </w:tcPr>
          <w:p>
            <w:pPr>
              <w:jc w:val="center"/>
              <w:ind w:right="260"/>
              <w:spacing w:after="0" w:line="157" w:lineRule="exact"/>
              <w:rPr>
                <w:sz w:val="20"/>
                <w:szCs w:val="20"/>
                <w:color w:val="auto"/>
              </w:rPr>
            </w:pPr>
            <w:r>
              <w:rPr>
                <w:rFonts w:ascii="Arial" w:cs="Arial" w:eastAsia="Arial" w:hAnsi="Arial"/>
                <w:sz w:val="15"/>
                <w:szCs w:val="15"/>
                <w:b w:val="1"/>
                <w:bCs w:val="1"/>
                <w:color w:val="auto"/>
                <w:w w:val="95"/>
              </w:rPr>
              <w:t>Option</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499"/>
              <w:spacing w:after="0" w:line="157" w:lineRule="exact"/>
              <w:rPr>
                <w:sz w:val="20"/>
                <w:szCs w:val="20"/>
                <w:color w:val="auto"/>
              </w:rPr>
            </w:pPr>
            <w:r>
              <w:rPr>
                <w:rFonts w:ascii="Arial" w:cs="Arial" w:eastAsia="Arial" w:hAnsi="Arial"/>
                <w:sz w:val="15"/>
                <w:szCs w:val="15"/>
                <w:b w:val="1"/>
                <w:bCs w:val="1"/>
                <w:color w:val="auto"/>
              </w:rPr>
              <w:t>That</w:t>
            </w:r>
          </w:p>
        </w:tc>
        <w:tc>
          <w:tcPr>
            <w:tcW w:w="880" w:type="dxa"/>
            <w:vAlign w:val="bottom"/>
            <w:gridSpan w:val="2"/>
          </w:tcPr>
          <w:p>
            <w:pPr>
              <w:jc w:val="center"/>
              <w:ind w:right="80"/>
              <w:spacing w:after="0" w:line="157" w:lineRule="exact"/>
              <w:rPr>
                <w:sz w:val="20"/>
                <w:szCs w:val="20"/>
                <w:color w:val="auto"/>
              </w:rPr>
            </w:pPr>
            <w:r>
              <w:rPr>
                <w:rFonts w:ascii="Arial" w:cs="Arial" w:eastAsia="Arial" w:hAnsi="Arial"/>
                <w:sz w:val="15"/>
                <w:szCs w:val="15"/>
                <w:b w:val="1"/>
                <w:bCs w:val="1"/>
                <w:color w:val="auto"/>
                <w:w w:val="93"/>
              </w:rPr>
              <w:t>Stock That</w:t>
            </w: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560"/>
              <w:spacing w:after="0" w:line="157" w:lineRule="exact"/>
              <w:rPr>
                <w:sz w:val="20"/>
                <w:szCs w:val="20"/>
                <w:color w:val="auto"/>
              </w:rPr>
            </w:pPr>
            <w:r>
              <w:rPr>
                <w:rFonts w:ascii="Arial" w:cs="Arial" w:eastAsia="Arial" w:hAnsi="Arial"/>
                <w:sz w:val="15"/>
                <w:szCs w:val="15"/>
                <w:b w:val="1"/>
                <w:bCs w:val="1"/>
                <w:color w:val="auto"/>
                <w:w w:val="87"/>
              </w:rPr>
              <w:t>Unexercised</w:t>
            </w:r>
          </w:p>
        </w:tc>
        <w:tc>
          <w:tcPr>
            <w:tcW w:w="1440" w:type="dxa"/>
            <w:vAlign w:val="bottom"/>
            <w:gridSpan w:val="2"/>
          </w:tcPr>
          <w:p>
            <w:pPr>
              <w:jc w:val="center"/>
              <w:ind w:right="520"/>
              <w:spacing w:after="0" w:line="157" w:lineRule="exact"/>
              <w:rPr>
                <w:sz w:val="20"/>
                <w:szCs w:val="20"/>
                <w:color w:val="auto"/>
              </w:rPr>
            </w:pPr>
            <w:r>
              <w:rPr>
                <w:rFonts w:ascii="Arial" w:cs="Arial" w:eastAsia="Arial" w:hAnsi="Arial"/>
                <w:sz w:val="15"/>
                <w:szCs w:val="15"/>
                <w:b w:val="1"/>
                <w:bCs w:val="1"/>
                <w:color w:val="auto"/>
                <w:w w:val="89"/>
              </w:rPr>
              <w:t>Unexercised</w:t>
            </w:r>
          </w:p>
        </w:tc>
        <w:tc>
          <w:tcPr>
            <w:tcW w:w="40" w:type="dxa"/>
            <w:vAlign w:val="bottom"/>
          </w:tcPr>
          <w:p>
            <w:pPr>
              <w:spacing w:after="0"/>
              <w:rPr>
                <w:sz w:val="13"/>
                <w:szCs w:val="13"/>
                <w:color w:val="auto"/>
              </w:rPr>
            </w:pPr>
          </w:p>
        </w:tc>
        <w:tc>
          <w:tcPr>
            <w:tcW w:w="800" w:type="dxa"/>
            <w:vAlign w:val="bottom"/>
            <w:gridSpan w:val="2"/>
          </w:tcPr>
          <w:p>
            <w:pPr>
              <w:jc w:val="center"/>
              <w:ind w:right="260"/>
              <w:spacing w:after="0" w:line="157" w:lineRule="exact"/>
              <w:rPr>
                <w:sz w:val="20"/>
                <w:szCs w:val="20"/>
                <w:color w:val="auto"/>
              </w:rPr>
            </w:pPr>
            <w:r>
              <w:rPr>
                <w:rFonts w:ascii="Arial" w:cs="Arial" w:eastAsia="Arial" w:hAnsi="Arial"/>
                <w:sz w:val="15"/>
                <w:szCs w:val="15"/>
                <w:b w:val="1"/>
                <w:bCs w:val="1"/>
                <w:color w:val="auto"/>
                <w:w w:val="87"/>
              </w:rPr>
              <w:t>Exercise</w:t>
            </w:r>
          </w:p>
        </w:tc>
        <w:tc>
          <w:tcPr>
            <w:tcW w:w="1080" w:type="dxa"/>
            <w:vAlign w:val="bottom"/>
            <w:gridSpan w:val="2"/>
          </w:tcPr>
          <w:p>
            <w:pPr>
              <w:jc w:val="center"/>
              <w:ind w:right="180"/>
              <w:spacing w:after="0" w:line="157" w:lineRule="exact"/>
              <w:rPr>
                <w:sz w:val="20"/>
                <w:szCs w:val="20"/>
                <w:color w:val="auto"/>
              </w:rPr>
            </w:pPr>
            <w:r>
              <w:rPr>
                <w:rFonts w:ascii="Arial" w:cs="Arial" w:eastAsia="Arial" w:hAnsi="Arial"/>
                <w:sz w:val="15"/>
                <w:szCs w:val="15"/>
                <w:b w:val="1"/>
                <w:bCs w:val="1"/>
                <w:color w:val="auto"/>
                <w:w w:val="95"/>
              </w:rPr>
              <w:t>Option</w:t>
            </w:r>
          </w:p>
        </w:tc>
        <w:tc>
          <w:tcPr>
            <w:tcW w:w="1260" w:type="dxa"/>
            <w:vAlign w:val="bottom"/>
            <w:gridSpan w:val="2"/>
          </w:tcPr>
          <w:p>
            <w:pPr>
              <w:jc w:val="center"/>
              <w:ind w:right="499"/>
              <w:spacing w:after="0" w:line="157" w:lineRule="exact"/>
              <w:rPr>
                <w:sz w:val="20"/>
                <w:szCs w:val="20"/>
                <w:color w:val="auto"/>
              </w:rPr>
            </w:pPr>
            <w:r>
              <w:rPr>
                <w:rFonts w:ascii="Arial" w:cs="Arial" w:eastAsia="Arial" w:hAnsi="Arial"/>
                <w:sz w:val="15"/>
                <w:szCs w:val="15"/>
                <w:b w:val="1"/>
                <w:bCs w:val="1"/>
                <w:color w:val="auto"/>
                <w:w w:val="92"/>
              </w:rPr>
              <w:t>Have Not</w:t>
            </w:r>
          </w:p>
        </w:tc>
        <w:tc>
          <w:tcPr>
            <w:tcW w:w="880" w:type="dxa"/>
            <w:vAlign w:val="bottom"/>
            <w:gridSpan w:val="2"/>
          </w:tcPr>
          <w:p>
            <w:pPr>
              <w:jc w:val="center"/>
              <w:ind w:right="60"/>
              <w:spacing w:after="0" w:line="157" w:lineRule="exact"/>
              <w:rPr>
                <w:sz w:val="20"/>
                <w:szCs w:val="20"/>
                <w:color w:val="auto"/>
              </w:rPr>
            </w:pPr>
            <w:r>
              <w:rPr>
                <w:rFonts w:ascii="Arial" w:cs="Arial" w:eastAsia="Arial" w:hAnsi="Arial"/>
                <w:sz w:val="15"/>
                <w:szCs w:val="15"/>
                <w:b w:val="1"/>
                <w:bCs w:val="1"/>
                <w:color w:val="auto"/>
                <w:w w:val="95"/>
              </w:rPr>
              <w:t>Have Not</w:t>
            </w:r>
          </w:p>
        </w:tc>
        <w:tc>
          <w:tcPr>
            <w:tcW w:w="0" w:type="dxa"/>
            <w:vAlign w:val="bottom"/>
          </w:tcPr>
          <w:p>
            <w:pPr>
              <w:spacing w:after="0"/>
              <w:rPr>
                <w:sz w:val="1"/>
                <w:szCs w:val="1"/>
                <w:color w:val="auto"/>
              </w:rPr>
            </w:pPr>
          </w:p>
        </w:tc>
      </w:tr>
      <w:tr>
        <w:trPr>
          <w:trHeight w:val="157"/>
        </w:trPr>
        <w:tc>
          <w:tcPr>
            <w:tcW w:w="380" w:type="dxa"/>
            <w:vAlign w:val="bottom"/>
            <w:vMerge w:val="restart"/>
          </w:tcPr>
          <w:p>
            <w:pPr>
              <w:spacing w:after="0"/>
              <w:rPr>
                <w:sz w:val="20"/>
                <w:szCs w:val="20"/>
                <w:color w:val="auto"/>
              </w:rPr>
            </w:pPr>
            <w:r>
              <w:rPr>
                <w:rFonts w:ascii="Arial" w:cs="Arial" w:eastAsia="Arial" w:hAnsi="Arial"/>
                <w:sz w:val="15"/>
                <w:szCs w:val="15"/>
                <w:b w:val="1"/>
                <w:bCs w:val="1"/>
                <w:color w:val="auto"/>
                <w:w w:val="88"/>
              </w:rPr>
              <w:t>Name</w:t>
            </w:r>
          </w:p>
        </w:tc>
        <w:tc>
          <w:tcPr>
            <w:tcW w:w="28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560"/>
              <w:spacing w:after="0" w:line="157" w:lineRule="exact"/>
              <w:rPr>
                <w:sz w:val="20"/>
                <w:szCs w:val="20"/>
                <w:color w:val="auto"/>
              </w:rPr>
            </w:pPr>
            <w:r>
              <w:rPr>
                <w:rFonts w:ascii="Arial" w:cs="Arial" w:eastAsia="Arial" w:hAnsi="Arial"/>
                <w:sz w:val="15"/>
                <w:szCs w:val="15"/>
                <w:b w:val="1"/>
                <w:bCs w:val="1"/>
                <w:color w:val="auto"/>
                <w:w w:val="93"/>
              </w:rPr>
              <w:t>Options (#)</w:t>
            </w:r>
          </w:p>
        </w:tc>
        <w:tc>
          <w:tcPr>
            <w:tcW w:w="1440" w:type="dxa"/>
            <w:vAlign w:val="bottom"/>
            <w:gridSpan w:val="2"/>
          </w:tcPr>
          <w:p>
            <w:pPr>
              <w:jc w:val="center"/>
              <w:ind w:right="520"/>
              <w:spacing w:after="0" w:line="157" w:lineRule="exact"/>
              <w:rPr>
                <w:sz w:val="20"/>
                <w:szCs w:val="20"/>
                <w:color w:val="auto"/>
              </w:rPr>
            </w:pPr>
            <w:r>
              <w:rPr>
                <w:rFonts w:ascii="Arial" w:cs="Arial" w:eastAsia="Arial" w:hAnsi="Arial"/>
                <w:sz w:val="15"/>
                <w:szCs w:val="15"/>
                <w:b w:val="1"/>
                <w:bCs w:val="1"/>
                <w:color w:val="auto"/>
                <w:w w:val="90"/>
              </w:rPr>
              <w:t>Options (#)</w:t>
            </w:r>
          </w:p>
        </w:tc>
        <w:tc>
          <w:tcPr>
            <w:tcW w:w="40" w:type="dxa"/>
            <w:vAlign w:val="bottom"/>
          </w:tcPr>
          <w:p>
            <w:pPr>
              <w:spacing w:after="0"/>
              <w:rPr>
                <w:sz w:val="13"/>
                <w:szCs w:val="13"/>
                <w:color w:val="auto"/>
              </w:rPr>
            </w:pPr>
          </w:p>
        </w:tc>
        <w:tc>
          <w:tcPr>
            <w:tcW w:w="800" w:type="dxa"/>
            <w:vAlign w:val="bottom"/>
            <w:gridSpan w:val="2"/>
          </w:tcPr>
          <w:p>
            <w:pPr>
              <w:jc w:val="center"/>
              <w:ind w:right="260"/>
              <w:spacing w:after="0" w:line="157" w:lineRule="exact"/>
              <w:rPr>
                <w:sz w:val="20"/>
                <w:szCs w:val="20"/>
                <w:color w:val="auto"/>
              </w:rPr>
            </w:pPr>
            <w:r>
              <w:rPr>
                <w:rFonts w:ascii="Arial" w:cs="Arial" w:eastAsia="Arial" w:hAnsi="Arial"/>
                <w:sz w:val="15"/>
                <w:szCs w:val="15"/>
                <w:b w:val="1"/>
                <w:bCs w:val="1"/>
                <w:color w:val="auto"/>
                <w:w w:val="92"/>
              </w:rPr>
              <w:t>Price</w:t>
            </w:r>
          </w:p>
        </w:tc>
        <w:tc>
          <w:tcPr>
            <w:tcW w:w="1080" w:type="dxa"/>
            <w:vAlign w:val="bottom"/>
            <w:gridSpan w:val="2"/>
          </w:tcPr>
          <w:p>
            <w:pPr>
              <w:jc w:val="center"/>
              <w:ind w:right="180"/>
              <w:spacing w:after="0" w:line="157" w:lineRule="exact"/>
              <w:rPr>
                <w:sz w:val="20"/>
                <w:szCs w:val="20"/>
                <w:color w:val="auto"/>
              </w:rPr>
            </w:pPr>
            <w:r>
              <w:rPr>
                <w:rFonts w:ascii="Arial" w:cs="Arial" w:eastAsia="Arial" w:hAnsi="Arial"/>
                <w:sz w:val="15"/>
                <w:szCs w:val="15"/>
                <w:b w:val="1"/>
                <w:bCs w:val="1"/>
                <w:color w:val="auto"/>
                <w:w w:val="95"/>
              </w:rPr>
              <w:t>Expiration</w:t>
            </w:r>
          </w:p>
        </w:tc>
        <w:tc>
          <w:tcPr>
            <w:tcW w:w="1260" w:type="dxa"/>
            <w:vAlign w:val="bottom"/>
            <w:gridSpan w:val="2"/>
          </w:tcPr>
          <w:p>
            <w:pPr>
              <w:jc w:val="center"/>
              <w:ind w:right="499"/>
              <w:spacing w:after="0" w:line="157" w:lineRule="exact"/>
              <w:rPr>
                <w:sz w:val="20"/>
                <w:szCs w:val="20"/>
                <w:color w:val="auto"/>
              </w:rPr>
            </w:pPr>
            <w:r>
              <w:rPr>
                <w:rFonts w:ascii="Arial" w:cs="Arial" w:eastAsia="Arial" w:hAnsi="Arial"/>
                <w:sz w:val="15"/>
                <w:szCs w:val="15"/>
                <w:b w:val="1"/>
                <w:bCs w:val="1"/>
                <w:color w:val="auto"/>
                <w:w w:val="89"/>
              </w:rPr>
              <w:t>Vested</w:t>
            </w:r>
          </w:p>
        </w:tc>
        <w:tc>
          <w:tcPr>
            <w:tcW w:w="880" w:type="dxa"/>
            <w:vAlign w:val="bottom"/>
            <w:gridSpan w:val="2"/>
          </w:tcPr>
          <w:p>
            <w:pPr>
              <w:jc w:val="center"/>
              <w:ind w:right="60"/>
              <w:spacing w:after="0" w:line="157" w:lineRule="exact"/>
              <w:rPr>
                <w:sz w:val="20"/>
                <w:szCs w:val="20"/>
                <w:color w:val="auto"/>
              </w:rPr>
            </w:pPr>
            <w:r>
              <w:rPr>
                <w:rFonts w:ascii="Arial" w:cs="Arial" w:eastAsia="Arial" w:hAnsi="Arial"/>
                <w:sz w:val="15"/>
                <w:szCs w:val="15"/>
                <w:b w:val="1"/>
                <w:bCs w:val="1"/>
                <w:color w:val="auto"/>
                <w:w w:val="85"/>
              </w:rPr>
              <w:t>Vested</w:t>
            </w:r>
          </w:p>
        </w:tc>
        <w:tc>
          <w:tcPr>
            <w:tcW w:w="0" w:type="dxa"/>
            <w:vAlign w:val="bottom"/>
          </w:tcPr>
          <w:p>
            <w:pPr>
              <w:spacing w:after="0"/>
              <w:rPr>
                <w:sz w:val="1"/>
                <w:szCs w:val="1"/>
                <w:color w:val="auto"/>
              </w:rPr>
            </w:pPr>
          </w:p>
        </w:tc>
      </w:tr>
      <w:tr>
        <w:trPr>
          <w:trHeight w:val="186"/>
        </w:trPr>
        <w:tc>
          <w:tcPr>
            <w:tcW w:w="380" w:type="dxa"/>
            <w:vAlign w:val="bottom"/>
            <w:tcBorders>
              <w:bottom w:val="single" w:sz="8" w:color="auto"/>
            </w:tcBorders>
            <w:vMerge w:val="continue"/>
          </w:tcPr>
          <w:p>
            <w:pPr>
              <w:spacing w:after="0"/>
              <w:rPr>
                <w:sz w:val="16"/>
                <w:szCs w:val="16"/>
                <w:color w:val="auto"/>
              </w:rPr>
            </w:pPr>
          </w:p>
        </w:tc>
        <w:tc>
          <w:tcPr>
            <w:tcW w:w="2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299"/>
              <w:spacing w:after="0" w:line="166" w:lineRule="exact"/>
              <w:rPr>
                <w:sz w:val="20"/>
                <w:szCs w:val="20"/>
                <w:color w:val="auto"/>
              </w:rPr>
            </w:pPr>
            <w:r>
              <w:rPr>
                <w:rFonts w:ascii="Arial" w:cs="Arial" w:eastAsia="Arial" w:hAnsi="Arial"/>
                <w:sz w:val="15"/>
                <w:szCs w:val="15"/>
                <w:b w:val="1"/>
                <w:bCs w:val="1"/>
                <w:color w:val="auto"/>
              </w:rPr>
              <w:t>Grant Date</w:t>
            </w:r>
          </w:p>
        </w:tc>
        <w:tc>
          <w:tcPr>
            <w:tcW w:w="200" w:type="dxa"/>
            <w:vAlign w:val="bottom"/>
          </w:tcPr>
          <w:p>
            <w:pPr>
              <w:spacing w:after="0"/>
              <w:rPr>
                <w:sz w:val="16"/>
                <w:szCs w:val="16"/>
                <w:color w:val="auto"/>
              </w:rPr>
            </w:pPr>
          </w:p>
        </w:tc>
        <w:tc>
          <w:tcPr>
            <w:tcW w:w="1340" w:type="dxa"/>
            <w:vAlign w:val="bottom"/>
            <w:gridSpan w:val="2"/>
          </w:tcPr>
          <w:p>
            <w:pPr>
              <w:jc w:val="center"/>
              <w:ind w:right="560"/>
              <w:spacing w:after="0" w:line="166" w:lineRule="exact"/>
              <w:rPr>
                <w:sz w:val="20"/>
                <w:szCs w:val="20"/>
                <w:color w:val="auto"/>
              </w:rPr>
            </w:pPr>
            <w:r>
              <w:rPr>
                <w:rFonts w:ascii="Arial" w:cs="Arial" w:eastAsia="Arial" w:hAnsi="Arial"/>
                <w:sz w:val="15"/>
                <w:szCs w:val="15"/>
                <w:b w:val="1"/>
                <w:bCs w:val="1"/>
                <w:color w:val="auto"/>
                <w:w w:val="88"/>
              </w:rPr>
              <w:t>Exercisable</w:t>
            </w:r>
          </w:p>
        </w:tc>
        <w:tc>
          <w:tcPr>
            <w:tcW w:w="1440" w:type="dxa"/>
            <w:vAlign w:val="bottom"/>
            <w:gridSpan w:val="2"/>
          </w:tcPr>
          <w:p>
            <w:pPr>
              <w:jc w:val="center"/>
              <w:ind w:right="520"/>
              <w:spacing w:after="0" w:line="166" w:lineRule="exact"/>
              <w:rPr>
                <w:sz w:val="20"/>
                <w:szCs w:val="20"/>
                <w:color w:val="auto"/>
              </w:rPr>
            </w:pPr>
            <w:r>
              <w:rPr>
                <w:rFonts w:ascii="Arial" w:cs="Arial" w:eastAsia="Arial" w:hAnsi="Arial"/>
                <w:sz w:val="15"/>
                <w:szCs w:val="15"/>
                <w:b w:val="1"/>
                <w:bCs w:val="1"/>
                <w:color w:val="auto"/>
                <w:w w:val="90"/>
              </w:rPr>
              <w:t>Unexercisable</w:t>
            </w:r>
          </w:p>
        </w:tc>
        <w:tc>
          <w:tcPr>
            <w:tcW w:w="600" w:type="dxa"/>
            <w:vAlign w:val="bottom"/>
            <w:gridSpan w:val="2"/>
          </w:tcPr>
          <w:p>
            <w:pPr>
              <w:jc w:val="center"/>
              <w:spacing w:after="0" w:line="166"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2"/>
                <w:szCs w:val="12"/>
                <w:b w:val="1"/>
                <w:bCs w:val="1"/>
                <w:color w:val="auto"/>
              </w:rPr>
              <w:t>(1)</w:t>
            </w:r>
          </w:p>
        </w:tc>
        <w:tc>
          <w:tcPr>
            <w:tcW w:w="240" w:type="dxa"/>
            <w:vAlign w:val="bottom"/>
          </w:tcPr>
          <w:p>
            <w:pPr>
              <w:spacing w:after="0"/>
              <w:rPr>
                <w:sz w:val="16"/>
                <w:szCs w:val="16"/>
                <w:color w:val="auto"/>
              </w:rPr>
            </w:pPr>
          </w:p>
        </w:tc>
        <w:tc>
          <w:tcPr>
            <w:tcW w:w="1080" w:type="dxa"/>
            <w:vAlign w:val="bottom"/>
            <w:gridSpan w:val="2"/>
          </w:tcPr>
          <w:p>
            <w:pPr>
              <w:jc w:val="center"/>
              <w:ind w:right="180"/>
              <w:spacing w:after="0" w:line="166" w:lineRule="exact"/>
              <w:rPr>
                <w:sz w:val="20"/>
                <w:szCs w:val="20"/>
                <w:color w:val="auto"/>
              </w:rPr>
            </w:pPr>
            <w:r>
              <w:rPr>
                <w:rFonts w:ascii="Arial" w:cs="Arial" w:eastAsia="Arial" w:hAnsi="Arial"/>
                <w:sz w:val="15"/>
                <w:szCs w:val="15"/>
                <w:b w:val="1"/>
                <w:bCs w:val="1"/>
                <w:color w:val="auto"/>
                <w:w w:val="92"/>
              </w:rPr>
              <w:t>Date</w:t>
            </w:r>
          </w:p>
        </w:tc>
        <w:tc>
          <w:tcPr>
            <w:tcW w:w="680" w:type="dxa"/>
            <w:vAlign w:val="bottom"/>
          </w:tcPr>
          <w:p>
            <w:pPr>
              <w:jc w:val="center"/>
              <w:spacing w:after="0" w:line="166" w:lineRule="exact"/>
              <w:rPr>
                <w:sz w:val="20"/>
                <w:szCs w:val="20"/>
                <w:color w:val="auto"/>
              </w:rPr>
            </w:pPr>
            <w:r>
              <w:rPr>
                <w:rFonts w:ascii="Arial" w:cs="Arial" w:eastAsia="Arial" w:hAnsi="Arial"/>
                <w:sz w:val="15"/>
                <w:szCs w:val="15"/>
                <w:b w:val="1"/>
                <w:bCs w:val="1"/>
                <w:color w:val="auto"/>
                <w:w w:val="87"/>
              </w:rPr>
              <w:t>(#)</w:t>
            </w:r>
          </w:p>
        </w:tc>
        <w:tc>
          <w:tcPr>
            <w:tcW w:w="580" w:type="dxa"/>
            <w:vAlign w:val="bottom"/>
          </w:tcPr>
          <w:p>
            <w:pPr>
              <w:spacing w:after="0"/>
              <w:rPr>
                <w:sz w:val="16"/>
                <w:szCs w:val="16"/>
                <w:color w:val="auto"/>
              </w:rPr>
            </w:pPr>
          </w:p>
        </w:tc>
        <w:tc>
          <w:tcPr>
            <w:tcW w:w="820" w:type="dxa"/>
            <w:vAlign w:val="bottom"/>
          </w:tcPr>
          <w:p>
            <w:pPr>
              <w:jc w:val="center"/>
              <w:spacing w:after="0" w:line="166" w:lineRule="exact"/>
              <w:rPr>
                <w:sz w:val="20"/>
                <w:szCs w:val="20"/>
                <w:color w:val="auto"/>
              </w:rPr>
            </w:pPr>
            <w:r>
              <w:rPr>
                <w:rFonts w:ascii="Arial" w:cs="Arial" w:eastAsia="Arial" w:hAnsi="Arial"/>
                <w:sz w:val="15"/>
                <w:szCs w:val="15"/>
                <w:b w:val="1"/>
                <w:bCs w:val="1"/>
                <w:color w:val="auto"/>
                <w:w w:val="96"/>
              </w:rPr>
              <w:t>($)</w:t>
            </w:r>
            <w:r>
              <w:rPr>
                <w:rFonts w:ascii="Arial" w:cs="Arial" w:eastAsia="Arial" w:hAnsi="Arial"/>
                <w:sz w:val="12"/>
                <w:szCs w:val="12"/>
                <w:b w:val="1"/>
                <w:bCs w:val="1"/>
                <w:color w:val="auto"/>
                <w:w w:val="96"/>
              </w:rPr>
              <w:t>(2)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9"/>
                <w:szCs w:val="19"/>
                <w:color w:val="auto"/>
              </w:rPr>
              <w:t>Arnon Rosenthal, Ph.D.</w:t>
            </w: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9"/>
                <w:szCs w:val="19"/>
                <w:color w:val="auto"/>
                <w:w w:val="94"/>
              </w:rPr>
              <w:t>04/10/2015</w:t>
            </w:r>
          </w:p>
        </w:tc>
        <w:tc>
          <w:tcPr>
            <w:tcW w:w="28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1"/>
              </w:rPr>
              <w:t>(3)</w:t>
            </w: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9"/>
                <w:szCs w:val="19"/>
                <w:color w:val="auto"/>
              </w:rPr>
              <w:t>12,370</w:t>
            </w:r>
          </w:p>
        </w:tc>
        <w:tc>
          <w:tcPr>
            <w:tcW w:w="580" w:type="dxa"/>
            <w:vAlign w:val="bottom"/>
            <w:tcBorders>
              <w:top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91"/>
              </w:rPr>
              <w:t>(4)</w:t>
            </w:r>
          </w:p>
        </w:tc>
        <w:tc>
          <w:tcPr>
            <w:tcW w:w="8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9"/>
                <w:szCs w:val="19"/>
                <w:color w:val="auto"/>
              </w:rPr>
              <w:t>125,432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8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9"/>
              <w:spacing w:after="0"/>
              <w:rPr>
                <w:sz w:val="20"/>
                <w:szCs w:val="20"/>
                <w:color w:val="auto"/>
              </w:rPr>
            </w:pPr>
            <w:r>
              <w:rPr>
                <w:rFonts w:ascii="Arial" w:cs="Arial" w:eastAsia="Arial" w:hAnsi="Arial"/>
                <w:sz w:val="19"/>
                <w:szCs w:val="19"/>
                <w:color w:val="auto"/>
                <w:w w:val="94"/>
              </w:rPr>
              <w:t>07/17/2015</w:t>
            </w:r>
            <w:r>
              <w:rPr>
                <w:rFonts w:ascii="Arial" w:cs="Arial" w:eastAsia="Arial" w:hAnsi="Arial"/>
                <w:sz w:val="16"/>
                <w:szCs w:val="16"/>
                <w:color w:val="auto"/>
                <w:w w:val="94"/>
              </w:rPr>
              <w:t>(3)</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99"/>
              <w:spacing w:after="0"/>
              <w:rPr>
                <w:sz w:val="20"/>
                <w:szCs w:val="20"/>
                <w:color w:val="auto"/>
              </w:rPr>
            </w:pPr>
            <w:r>
              <w:rPr>
                <w:rFonts w:ascii="Arial" w:cs="Arial" w:eastAsia="Arial" w:hAnsi="Arial"/>
                <w:sz w:val="19"/>
                <w:szCs w:val="19"/>
                <w:color w:val="auto"/>
              </w:rPr>
              <w:t>30,716</w:t>
            </w:r>
            <w:r>
              <w:rPr>
                <w:rFonts w:ascii="Arial" w:cs="Arial" w:eastAsia="Arial" w:hAnsi="Arial"/>
                <w:sz w:val="16"/>
                <w:szCs w:val="16"/>
                <w:color w:val="auto"/>
              </w:rPr>
              <w:t>(5)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311,461</w:t>
            </w:r>
          </w:p>
        </w:tc>
        <w:tc>
          <w:tcPr>
            <w:tcW w:w="0" w:type="dxa"/>
            <w:vAlign w:val="bottom"/>
          </w:tcPr>
          <w:p>
            <w:pPr>
              <w:spacing w:after="0"/>
              <w:rPr>
                <w:sz w:val="1"/>
                <w:szCs w:val="1"/>
                <w:color w:val="auto"/>
              </w:rPr>
            </w:pPr>
          </w:p>
        </w:tc>
      </w:tr>
      <w:tr>
        <w:trPr>
          <w:trHeight w:val="228"/>
        </w:trPr>
        <w:tc>
          <w:tcPr>
            <w:tcW w:w="38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08/09/2017</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1"/>
              </w:rPr>
              <w:t>(3)</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99"/>
              <w:spacing w:after="0"/>
              <w:rPr>
                <w:sz w:val="20"/>
                <w:szCs w:val="20"/>
                <w:color w:val="auto"/>
              </w:rPr>
            </w:pPr>
            <w:r>
              <w:rPr>
                <w:rFonts w:ascii="Arial" w:cs="Arial" w:eastAsia="Arial" w:hAnsi="Arial"/>
                <w:sz w:val="19"/>
                <w:szCs w:val="19"/>
                <w:color w:val="auto"/>
                <w:w w:val="97"/>
              </w:rPr>
              <w:t>195,905</w:t>
            </w:r>
            <w:r>
              <w:rPr>
                <w:rFonts w:ascii="Arial" w:cs="Arial" w:eastAsia="Arial" w:hAnsi="Arial"/>
                <w:sz w:val="16"/>
                <w:szCs w:val="16"/>
                <w:color w:val="auto"/>
                <w:w w:val="97"/>
              </w:rPr>
              <w:t>(6)</w:t>
            </w:r>
          </w:p>
        </w:tc>
        <w:tc>
          <w:tcPr>
            <w:tcW w:w="8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1,986,477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08/09/2017</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1"/>
              </w:rPr>
              <w:t>(7)</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99"/>
              <w:spacing w:after="0"/>
              <w:rPr>
                <w:sz w:val="20"/>
                <w:szCs w:val="20"/>
                <w:color w:val="auto"/>
              </w:rPr>
            </w:pPr>
            <w:r>
              <w:rPr>
                <w:rFonts w:ascii="Arial" w:cs="Arial" w:eastAsia="Arial" w:hAnsi="Arial"/>
                <w:sz w:val="19"/>
                <w:szCs w:val="19"/>
                <w:color w:val="auto"/>
                <w:w w:val="97"/>
              </w:rPr>
              <w:t>121,655</w:t>
            </w:r>
            <w:r>
              <w:rPr>
                <w:rFonts w:ascii="Arial" w:cs="Arial" w:eastAsia="Arial" w:hAnsi="Arial"/>
                <w:sz w:val="16"/>
                <w:szCs w:val="16"/>
                <w:color w:val="auto"/>
                <w:w w:val="97"/>
              </w:rPr>
              <w:t>(8)</w:t>
            </w:r>
          </w:p>
        </w:tc>
        <w:tc>
          <w:tcPr>
            <w:tcW w:w="8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1,233,582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07/02/2018</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1"/>
              </w:rPr>
              <w:t>(9)</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52,083</w:t>
            </w:r>
            <w:r>
              <w:rPr>
                <w:rFonts w:ascii="Arial" w:cs="Arial" w:eastAsia="Arial" w:hAnsi="Arial"/>
                <w:sz w:val="16"/>
                <w:szCs w:val="16"/>
                <w:color w:val="auto"/>
              </w:rPr>
              <w:t>(10)</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447,917</w:t>
            </w:r>
            <w:r>
              <w:rPr>
                <w:rFonts w:ascii="Arial" w:cs="Arial" w:eastAsia="Arial" w:hAnsi="Arial"/>
                <w:sz w:val="16"/>
                <w:szCs w:val="16"/>
                <w:color w:val="auto"/>
              </w:rPr>
              <w:t>(10)</w:t>
            </w:r>
          </w:p>
        </w:tc>
        <w:tc>
          <w:tcPr>
            <w:tcW w:w="840" w:type="dxa"/>
            <w:vAlign w:val="bottom"/>
            <w:gridSpan w:val="3"/>
            <w:shd w:val="clear" w:color="auto" w:fill="CCEEFF"/>
          </w:tcPr>
          <w:p>
            <w:pPr>
              <w:jc w:val="center"/>
              <w:ind w:right="200"/>
              <w:spacing w:after="0"/>
              <w:rPr>
                <w:sz w:val="20"/>
                <w:szCs w:val="20"/>
                <w:color w:val="auto"/>
              </w:rPr>
            </w:pPr>
            <w:r>
              <w:rPr>
                <w:rFonts w:ascii="Arial" w:cs="Arial" w:eastAsia="Arial" w:hAnsi="Arial"/>
                <w:sz w:val="19"/>
                <w:szCs w:val="19"/>
                <w:color w:val="auto"/>
                <w:w w:val="96"/>
              </w:rPr>
              <w:t>$  8.16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w w:val="94"/>
              </w:rPr>
              <w:t>07/02/2028</w:t>
            </w: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4"/>
        </w:trPr>
        <w:tc>
          <w:tcPr>
            <w:tcW w:w="38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11/06/2018</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1"/>
              </w:rPr>
              <w:t>(9)</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275,000</w:t>
            </w:r>
            <w:r>
              <w:rPr>
                <w:rFonts w:ascii="Arial" w:cs="Arial" w:eastAsia="Arial" w:hAnsi="Arial"/>
                <w:sz w:val="16"/>
                <w:szCs w:val="16"/>
                <w:color w:val="auto"/>
              </w:rPr>
              <w:t>(11)</w:t>
            </w:r>
          </w:p>
        </w:tc>
        <w:tc>
          <w:tcPr>
            <w:tcW w:w="840" w:type="dxa"/>
            <w:vAlign w:val="bottom"/>
            <w:gridSpan w:val="3"/>
            <w:shd w:val="clear" w:color="auto" w:fill="CCEEFF"/>
          </w:tcPr>
          <w:p>
            <w:pPr>
              <w:jc w:val="center"/>
              <w:ind w:right="200"/>
              <w:spacing w:after="0"/>
              <w:rPr>
                <w:sz w:val="20"/>
                <w:szCs w:val="20"/>
                <w:color w:val="auto"/>
              </w:rPr>
            </w:pPr>
            <w:r>
              <w:rPr>
                <w:rFonts w:ascii="Arial" w:cs="Arial" w:eastAsia="Arial" w:hAnsi="Arial"/>
                <w:sz w:val="19"/>
                <w:szCs w:val="19"/>
                <w:color w:val="auto"/>
                <w:w w:val="88"/>
              </w:rPr>
              <w:t>$ 10.14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w w:val="94"/>
              </w:rPr>
              <w:t>11/06/2028</w:t>
            </w:r>
          </w:p>
        </w:tc>
        <w:tc>
          <w:tcPr>
            <w:tcW w:w="6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3"/>
        </w:trPr>
        <w:tc>
          <w:tcPr>
            <w:tcW w:w="3200" w:type="dxa"/>
            <w:vAlign w:val="bottom"/>
            <w:gridSpan w:val="2"/>
          </w:tcPr>
          <w:p>
            <w:pPr>
              <w:spacing w:after="0" w:line="213" w:lineRule="exact"/>
              <w:rPr>
                <w:sz w:val="20"/>
                <w:szCs w:val="20"/>
                <w:color w:val="auto"/>
              </w:rPr>
            </w:pPr>
            <w:r>
              <w:rPr>
                <w:rFonts w:ascii="Arial" w:cs="Arial" w:eastAsia="Arial" w:hAnsi="Arial"/>
                <w:sz w:val="19"/>
                <w:szCs w:val="19"/>
                <w:color w:val="auto"/>
              </w:rPr>
              <w:t>Robert King, Ph.D.</w:t>
            </w:r>
          </w:p>
        </w:tc>
        <w:tc>
          <w:tcPr>
            <w:tcW w:w="200" w:type="dxa"/>
            <w:vAlign w:val="bottom"/>
          </w:tcPr>
          <w:p>
            <w:pPr>
              <w:spacing w:after="0"/>
              <w:rPr>
                <w:sz w:val="18"/>
                <w:szCs w:val="18"/>
                <w:color w:val="auto"/>
              </w:rPr>
            </w:pPr>
          </w:p>
        </w:tc>
        <w:tc>
          <w:tcPr>
            <w:tcW w:w="920" w:type="dxa"/>
            <w:vAlign w:val="bottom"/>
          </w:tcPr>
          <w:p>
            <w:pPr>
              <w:jc w:val="right"/>
              <w:spacing w:after="0" w:line="213" w:lineRule="exact"/>
              <w:rPr>
                <w:sz w:val="20"/>
                <w:szCs w:val="20"/>
                <w:color w:val="auto"/>
              </w:rPr>
            </w:pPr>
            <w:r>
              <w:rPr>
                <w:rFonts w:ascii="Arial" w:cs="Arial" w:eastAsia="Arial" w:hAnsi="Arial"/>
                <w:sz w:val="19"/>
                <w:szCs w:val="19"/>
                <w:color w:val="auto"/>
                <w:w w:val="94"/>
              </w:rPr>
              <w:t>01/26/2017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1"/>
              </w:rPr>
              <w:t>(3)</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19"/>
              <w:spacing w:after="0" w:line="213" w:lineRule="exact"/>
              <w:rPr>
                <w:sz w:val="20"/>
                <w:szCs w:val="20"/>
                <w:color w:val="auto"/>
              </w:rPr>
            </w:pPr>
            <w:r>
              <w:rPr>
                <w:rFonts w:ascii="Arial" w:cs="Arial" w:eastAsia="Arial" w:hAnsi="Arial"/>
                <w:sz w:val="19"/>
                <w:szCs w:val="19"/>
                <w:color w:val="auto"/>
                <w:w w:val="96"/>
              </w:rPr>
              <w:t>279,853</w:t>
            </w:r>
            <w:r>
              <w:rPr>
                <w:rFonts w:ascii="Arial" w:cs="Arial" w:eastAsia="Arial" w:hAnsi="Arial"/>
                <w:sz w:val="16"/>
                <w:szCs w:val="16"/>
                <w:color w:val="auto"/>
                <w:w w:val="96"/>
              </w:rPr>
              <w:t>(12)</w:t>
            </w:r>
          </w:p>
        </w:tc>
        <w:tc>
          <w:tcPr>
            <w:tcW w:w="820" w:type="dxa"/>
            <w:vAlign w:val="bottom"/>
          </w:tcPr>
          <w:p>
            <w:pPr>
              <w:jc w:val="right"/>
              <w:spacing w:after="0" w:line="213" w:lineRule="exact"/>
              <w:rPr>
                <w:sz w:val="20"/>
                <w:szCs w:val="20"/>
                <w:color w:val="auto"/>
              </w:rPr>
            </w:pPr>
            <w:r>
              <w:rPr>
                <w:rFonts w:ascii="Arial" w:cs="Arial" w:eastAsia="Arial" w:hAnsi="Arial"/>
                <w:sz w:val="19"/>
                <w:szCs w:val="19"/>
                <w:color w:val="auto"/>
                <w:w w:val="94"/>
              </w:rPr>
              <w:t>2,837,710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400" w:type="dxa"/>
            <w:vAlign w:val="bottom"/>
            <w:gridSpan w:val="3"/>
          </w:tcPr>
          <w:p>
            <w:pPr>
              <w:jc w:val="right"/>
              <w:ind w:right="19"/>
              <w:spacing w:after="0"/>
              <w:rPr>
                <w:sz w:val="20"/>
                <w:szCs w:val="20"/>
                <w:color w:val="auto"/>
              </w:rPr>
            </w:pPr>
            <w:r>
              <w:rPr>
                <w:rFonts w:ascii="Arial" w:cs="Arial" w:eastAsia="Arial" w:hAnsi="Arial"/>
                <w:sz w:val="19"/>
                <w:szCs w:val="19"/>
                <w:color w:val="auto"/>
              </w:rPr>
              <w:t>07/02/2018</w:t>
            </w:r>
            <w:r>
              <w:rPr>
                <w:rFonts w:ascii="Arial" w:cs="Arial" w:eastAsia="Arial" w:hAnsi="Arial"/>
                <w:sz w:val="16"/>
                <w:szCs w:val="16"/>
                <w:color w:val="auto"/>
              </w:rPr>
              <w:t>(9)</w:t>
            </w:r>
          </w:p>
        </w:tc>
        <w:tc>
          <w:tcPr>
            <w:tcW w:w="1540" w:type="dxa"/>
            <w:vAlign w:val="bottom"/>
            <w:gridSpan w:val="3"/>
          </w:tcPr>
          <w:p>
            <w:pPr>
              <w:jc w:val="right"/>
              <w:ind w:right="280"/>
              <w:spacing w:after="0"/>
              <w:rPr>
                <w:sz w:val="20"/>
                <w:szCs w:val="20"/>
                <w:color w:val="auto"/>
              </w:rPr>
            </w:pPr>
            <w:r>
              <w:rPr>
                <w:rFonts w:ascii="Arial" w:cs="Arial" w:eastAsia="Arial" w:hAnsi="Arial"/>
                <w:sz w:val="19"/>
                <w:szCs w:val="19"/>
                <w:color w:val="auto"/>
              </w:rPr>
              <w:t>15,625</w:t>
            </w:r>
            <w:r>
              <w:rPr>
                <w:rFonts w:ascii="Arial" w:cs="Arial" w:eastAsia="Arial" w:hAnsi="Arial"/>
                <w:sz w:val="16"/>
                <w:szCs w:val="16"/>
                <w:color w:val="auto"/>
              </w:rPr>
              <w:t>(13)</w:t>
            </w:r>
          </w:p>
        </w:tc>
        <w:tc>
          <w:tcPr>
            <w:tcW w:w="1440" w:type="dxa"/>
            <w:vAlign w:val="bottom"/>
            <w:gridSpan w:val="2"/>
          </w:tcPr>
          <w:p>
            <w:pPr>
              <w:jc w:val="right"/>
              <w:ind w:right="260"/>
              <w:spacing w:after="0"/>
              <w:rPr>
                <w:sz w:val="20"/>
                <w:szCs w:val="20"/>
                <w:color w:val="auto"/>
              </w:rPr>
            </w:pPr>
            <w:r>
              <w:rPr>
                <w:rFonts w:ascii="Arial" w:cs="Arial" w:eastAsia="Arial" w:hAnsi="Arial"/>
                <w:sz w:val="19"/>
                <w:szCs w:val="19"/>
                <w:color w:val="auto"/>
              </w:rPr>
              <w:t>134,375</w:t>
            </w:r>
            <w:r>
              <w:rPr>
                <w:rFonts w:ascii="Arial" w:cs="Arial" w:eastAsia="Arial" w:hAnsi="Arial"/>
                <w:sz w:val="16"/>
                <w:szCs w:val="16"/>
                <w:color w:val="auto"/>
              </w:rPr>
              <w:t>(13)</w:t>
            </w:r>
          </w:p>
        </w:tc>
        <w:tc>
          <w:tcPr>
            <w:tcW w:w="840" w:type="dxa"/>
            <w:vAlign w:val="bottom"/>
            <w:gridSpan w:val="3"/>
          </w:tcPr>
          <w:p>
            <w:pPr>
              <w:jc w:val="center"/>
              <w:ind w:right="200"/>
              <w:spacing w:after="0"/>
              <w:rPr>
                <w:sz w:val="20"/>
                <w:szCs w:val="20"/>
                <w:color w:val="auto"/>
              </w:rPr>
            </w:pPr>
            <w:r>
              <w:rPr>
                <w:rFonts w:ascii="Arial" w:cs="Arial" w:eastAsia="Arial" w:hAnsi="Arial"/>
                <w:sz w:val="19"/>
                <w:szCs w:val="19"/>
                <w:color w:val="auto"/>
                <w:w w:val="96"/>
              </w:rPr>
              <w:t>$  8.16</w:t>
            </w:r>
          </w:p>
        </w:tc>
        <w:tc>
          <w:tcPr>
            <w:tcW w:w="1080" w:type="dxa"/>
            <w:vAlign w:val="bottom"/>
            <w:gridSpan w:val="2"/>
          </w:tcPr>
          <w:p>
            <w:pPr>
              <w:jc w:val="right"/>
              <w:ind w:right="160"/>
              <w:spacing w:after="0"/>
              <w:rPr>
                <w:sz w:val="20"/>
                <w:szCs w:val="20"/>
                <w:color w:val="auto"/>
              </w:rPr>
            </w:pPr>
            <w:r>
              <w:rPr>
                <w:rFonts w:ascii="Arial" w:cs="Arial" w:eastAsia="Arial" w:hAnsi="Arial"/>
                <w:sz w:val="19"/>
                <w:szCs w:val="19"/>
                <w:color w:val="auto"/>
                <w:w w:val="94"/>
              </w:rPr>
              <w:t>07/02/2028</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2"/>
        </w:trPr>
        <w:tc>
          <w:tcPr>
            <w:tcW w:w="3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400" w:type="dxa"/>
            <w:vAlign w:val="bottom"/>
            <w:gridSpan w:val="3"/>
          </w:tcPr>
          <w:p>
            <w:pPr>
              <w:jc w:val="right"/>
              <w:ind w:right="19"/>
              <w:spacing w:after="0"/>
              <w:rPr>
                <w:sz w:val="20"/>
                <w:szCs w:val="20"/>
                <w:color w:val="auto"/>
              </w:rPr>
            </w:pPr>
            <w:r>
              <w:rPr>
                <w:rFonts w:ascii="Arial" w:cs="Arial" w:eastAsia="Arial" w:hAnsi="Arial"/>
                <w:sz w:val="19"/>
                <w:szCs w:val="19"/>
                <w:color w:val="auto"/>
              </w:rPr>
              <w:t>11/06/2018</w:t>
            </w:r>
            <w:r>
              <w:rPr>
                <w:rFonts w:ascii="Arial" w:cs="Arial" w:eastAsia="Arial" w:hAnsi="Arial"/>
                <w:sz w:val="16"/>
                <w:szCs w:val="16"/>
                <w:color w:val="auto"/>
              </w:rPr>
              <w:t>(9)</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9"/>
                <w:szCs w:val="19"/>
                <w:color w:val="auto"/>
              </w:rPr>
              <w:t>100,000</w:t>
            </w:r>
            <w:r>
              <w:rPr>
                <w:rFonts w:ascii="Arial" w:cs="Arial" w:eastAsia="Arial" w:hAnsi="Arial"/>
                <w:sz w:val="16"/>
                <w:szCs w:val="16"/>
                <w:color w:val="auto"/>
              </w:rPr>
              <w:t>(14)</w:t>
            </w:r>
          </w:p>
        </w:tc>
        <w:tc>
          <w:tcPr>
            <w:tcW w:w="840" w:type="dxa"/>
            <w:vAlign w:val="bottom"/>
            <w:gridSpan w:val="3"/>
          </w:tcPr>
          <w:p>
            <w:pPr>
              <w:jc w:val="center"/>
              <w:ind w:right="200"/>
              <w:spacing w:after="0"/>
              <w:rPr>
                <w:sz w:val="20"/>
                <w:szCs w:val="20"/>
                <w:color w:val="auto"/>
              </w:rPr>
            </w:pPr>
            <w:r>
              <w:rPr>
                <w:rFonts w:ascii="Arial" w:cs="Arial" w:eastAsia="Arial" w:hAnsi="Arial"/>
                <w:sz w:val="19"/>
                <w:szCs w:val="19"/>
                <w:color w:val="auto"/>
                <w:w w:val="88"/>
              </w:rPr>
              <w:t>$ 10.14</w:t>
            </w:r>
          </w:p>
        </w:tc>
        <w:tc>
          <w:tcPr>
            <w:tcW w:w="1080" w:type="dxa"/>
            <w:vAlign w:val="bottom"/>
            <w:gridSpan w:val="2"/>
          </w:tcPr>
          <w:p>
            <w:pPr>
              <w:jc w:val="right"/>
              <w:ind w:right="160"/>
              <w:spacing w:after="0"/>
              <w:rPr>
                <w:sz w:val="20"/>
                <w:szCs w:val="20"/>
                <w:color w:val="auto"/>
              </w:rPr>
            </w:pPr>
            <w:r>
              <w:rPr>
                <w:rFonts w:ascii="Arial" w:cs="Arial" w:eastAsia="Arial" w:hAnsi="Arial"/>
                <w:sz w:val="19"/>
                <w:szCs w:val="19"/>
                <w:color w:val="auto"/>
                <w:w w:val="94"/>
              </w:rPr>
              <w:t>11/06/2028</w:t>
            </w: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spacing w:after="0" w:line="214" w:lineRule="exact"/>
              <w:rPr>
                <w:sz w:val="20"/>
                <w:szCs w:val="20"/>
                <w:color w:val="auto"/>
              </w:rPr>
            </w:pPr>
            <w:r>
              <w:rPr>
                <w:rFonts w:ascii="Arial" w:cs="Arial" w:eastAsia="Arial" w:hAnsi="Arial"/>
                <w:sz w:val="19"/>
                <w:szCs w:val="19"/>
                <w:color w:val="auto"/>
              </w:rPr>
              <w:t>Robert Paul, M.D., Ph.D.</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line="214" w:lineRule="exact"/>
              <w:rPr>
                <w:sz w:val="20"/>
                <w:szCs w:val="20"/>
                <w:color w:val="auto"/>
              </w:rPr>
            </w:pPr>
            <w:r>
              <w:rPr>
                <w:rFonts w:ascii="Arial" w:cs="Arial" w:eastAsia="Arial" w:hAnsi="Arial"/>
                <w:sz w:val="19"/>
                <w:szCs w:val="19"/>
                <w:color w:val="auto"/>
                <w:w w:val="94"/>
              </w:rPr>
              <w:t>11/04/2016</w:t>
            </w:r>
            <w:r>
              <w:rPr>
                <w:rFonts w:ascii="Arial" w:cs="Arial" w:eastAsia="Arial" w:hAnsi="Arial"/>
                <w:sz w:val="16"/>
                <w:szCs w:val="16"/>
                <w:color w:val="auto"/>
                <w:w w:val="94"/>
              </w:rPr>
              <w:t>(3)</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9"/>
              <w:spacing w:after="0" w:line="214" w:lineRule="exact"/>
              <w:rPr>
                <w:sz w:val="20"/>
                <w:szCs w:val="20"/>
                <w:color w:val="auto"/>
              </w:rPr>
            </w:pPr>
            <w:r>
              <w:rPr>
                <w:rFonts w:ascii="Arial" w:cs="Arial" w:eastAsia="Arial" w:hAnsi="Arial"/>
                <w:sz w:val="19"/>
                <w:szCs w:val="19"/>
                <w:color w:val="auto"/>
                <w:w w:val="96"/>
              </w:rPr>
              <w:t>131,123</w:t>
            </w:r>
            <w:r>
              <w:rPr>
                <w:rFonts w:ascii="Arial" w:cs="Arial" w:eastAsia="Arial" w:hAnsi="Arial"/>
                <w:sz w:val="16"/>
                <w:szCs w:val="16"/>
                <w:color w:val="auto"/>
                <w:w w:val="96"/>
              </w:rPr>
              <w:t>(15)</w:t>
            </w:r>
          </w:p>
        </w:tc>
        <w:tc>
          <w:tcPr>
            <w:tcW w:w="820" w:type="dxa"/>
            <w:vAlign w:val="bottom"/>
            <w:shd w:val="clear" w:color="auto" w:fill="CCEEFF"/>
          </w:tcPr>
          <w:p>
            <w:pPr>
              <w:jc w:val="right"/>
              <w:spacing w:after="0" w:line="214" w:lineRule="exact"/>
              <w:rPr>
                <w:sz w:val="20"/>
                <w:szCs w:val="20"/>
                <w:color w:val="auto"/>
              </w:rPr>
            </w:pPr>
            <w:r>
              <w:rPr>
                <w:rFonts w:ascii="Arial" w:cs="Arial" w:eastAsia="Arial" w:hAnsi="Arial"/>
                <w:sz w:val="19"/>
                <w:szCs w:val="19"/>
                <w:color w:val="auto"/>
                <w:w w:val="94"/>
              </w:rPr>
              <w:t>1,329,588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8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9"/>
              <w:spacing w:after="0"/>
              <w:rPr>
                <w:sz w:val="20"/>
                <w:szCs w:val="20"/>
                <w:color w:val="auto"/>
              </w:rPr>
            </w:pPr>
            <w:r>
              <w:rPr>
                <w:rFonts w:ascii="Arial" w:cs="Arial" w:eastAsia="Arial" w:hAnsi="Arial"/>
                <w:sz w:val="19"/>
                <w:szCs w:val="19"/>
                <w:color w:val="auto"/>
                <w:w w:val="94"/>
              </w:rPr>
              <w:t>08/09/2017</w:t>
            </w:r>
            <w:r>
              <w:rPr>
                <w:rFonts w:ascii="Arial" w:cs="Arial" w:eastAsia="Arial" w:hAnsi="Arial"/>
                <w:sz w:val="16"/>
                <w:szCs w:val="16"/>
                <w:color w:val="auto"/>
                <w:w w:val="94"/>
              </w:rPr>
              <w:t>(3)</w:t>
            </w:r>
          </w:p>
        </w:tc>
        <w:tc>
          <w:tcPr>
            <w:tcW w:w="154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9"/>
                <w:szCs w:val="19"/>
                <w:color w:val="auto"/>
              </w:rPr>
              <w:t>36,458</w:t>
            </w:r>
            <w:r>
              <w:rPr>
                <w:rFonts w:ascii="Arial" w:cs="Arial" w:eastAsia="Arial" w:hAnsi="Arial"/>
                <w:sz w:val="16"/>
                <w:szCs w:val="16"/>
                <w:color w:val="auto"/>
              </w:rPr>
              <w:t>(17)</w:t>
            </w:r>
          </w:p>
        </w:tc>
        <w:tc>
          <w:tcPr>
            <w:tcW w:w="14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9"/>
                <w:szCs w:val="19"/>
                <w:color w:val="auto"/>
              </w:rPr>
              <w:t>313,542</w:t>
            </w:r>
            <w:r>
              <w:rPr>
                <w:rFonts w:ascii="Arial" w:cs="Arial" w:eastAsia="Arial" w:hAnsi="Arial"/>
                <w:sz w:val="16"/>
                <w:szCs w:val="16"/>
                <w:color w:val="auto"/>
              </w:rPr>
              <w:t>(17)</w:t>
            </w:r>
          </w:p>
        </w:tc>
        <w:tc>
          <w:tcPr>
            <w:tcW w:w="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19"/>
              <w:spacing w:after="0"/>
              <w:rPr>
                <w:sz w:val="20"/>
                <w:szCs w:val="20"/>
                <w:color w:val="auto"/>
              </w:rPr>
            </w:pPr>
            <w:r>
              <w:rPr>
                <w:rFonts w:ascii="Arial" w:cs="Arial" w:eastAsia="Arial" w:hAnsi="Arial"/>
                <w:sz w:val="19"/>
                <w:szCs w:val="19"/>
                <w:color w:val="auto"/>
              </w:rPr>
              <w:t>31,761</w:t>
            </w:r>
            <w:r>
              <w:rPr>
                <w:rFonts w:ascii="Arial" w:cs="Arial" w:eastAsia="Arial" w:hAnsi="Arial"/>
                <w:sz w:val="16"/>
                <w:szCs w:val="16"/>
                <w:color w:val="auto"/>
              </w:rPr>
              <w:t>(16)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322,057</w:t>
            </w:r>
          </w:p>
        </w:tc>
        <w:tc>
          <w:tcPr>
            <w:tcW w:w="0" w:type="dxa"/>
            <w:vAlign w:val="bottom"/>
          </w:tcPr>
          <w:p>
            <w:pPr>
              <w:spacing w:after="0"/>
              <w:rPr>
                <w:sz w:val="1"/>
                <w:szCs w:val="1"/>
                <w:color w:val="auto"/>
              </w:rPr>
            </w:pPr>
          </w:p>
        </w:tc>
      </w:tr>
      <w:tr>
        <w:trPr>
          <w:trHeight w:val="214"/>
        </w:trPr>
        <w:tc>
          <w:tcPr>
            <w:tcW w:w="3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4" w:lineRule="exact"/>
              <w:rPr>
                <w:sz w:val="20"/>
                <w:szCs w:val="20"/>
                <w:color w:val="auto"/>
              </w:rPr>
            </w:pPr>
            <w:r>
              <w:rPr>
                <w:rFonts w:ascii="Arial" w:cs="Arial" w:eastAsia="Arial" w:hAnsi="Arial"/>
                <w:sz w:val="19"/>
                <w:szCs w:val="19"/>
                <w:color w:val="auto"/>
                <w:w w:val="94"/>
              </w:rPr>
              <w:t>07/02/2018</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1"/>
              </w:rPr>
              <w:t>(9)</w:t>
            </w:r>
          </w:p>
        </w:tc>
        <w:tc>
          <w:tcPr>
            <w:tcW w:w="1540" w:type="dxa"/>
            <w:vAlign w:val="bottom"/>
            <w:gridSpan w:val="3"/>
            <w:vMerge w:val="continue"/>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840" w:type="dxa"/>
            <w:vAlign w:val="bottom"/>
            <w:gridSpan w:val="3"/>
            <w:shd w:val="clear" w:color="auto" w:fill="CCEEFF"/>
          </w:tcPr>
          <w:p>
            <w:pPr>
              <w:jc w:val="center"/>
              <w:ind w:right="200"/>
              <w:spacing w:after="0" w:line="214" w:lineRule="exact"/>
              <w:rPr>
                <w:sz w:val="20"/>
                <w:szCs w:val="20"/>
                <w:color w:val="auto"/>
              </w:rPr>
            </w:pPr>
            <w:r>
              <w:rPr>
                <w:rFonts w:ascii="Arial" w:cs="Arial" w:eastAsia="Arial" w:hAnsi="Arial"/>
                <w:sz w:val="19"/>
                <w:szCs w:val="19"/>
                <w:color w:val="auto"/>
                <w:w w:val="96"/>
              </w:rPr>
              <w:t>$  8.16</w:t>
            </w:r>
          </w:p>
        </w:tc>
        <w:tc>
          <w:tcPr>
            <w:tcW w:w="1080" w:type="dxa"/>
            <w:vAlign w:val="bottom"/>
            <w:gridSpan w:val="2"/>
            <w:shd w:val="clear" w:color="auto" w:fill="CCEEFF"/>
          </w:tcPr>
          <w:p>
            <w:pPr>
              <w:jc w:val="right"/>
              <w:ind w:right="160"/>
              <w:spacing w:after="0" w:line="214" w:lineRule="exact"/>
              <w:rPr>
                <w:sz w:val="20"/>
                <w:szCs w:val="20"/>
                <w:color w:val="auto"/>
              </w:rPr>
            </w:pPr>
            <w:r>
              <w:rPr>
                <w:rFonts w:ascii="Arial" w:cs="Arial" w:eastAsia="Arial" w:hAnsi="Arial"/>
                <w:sz w:val="19"/>
                <w:szCs w:val="19"/>
                <w:color w:val="auto"/>
                <w:w w:val="94"/>
              </w:rPr>
              <w:t>07/02/2028</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line="214"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4"/>
        </w:trPr>
        <w:tc>
          <w:tcPr>
            <w:tcW w:w="38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11/06/2018</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1"/>
              </w:rPr>
              <w:t>(9)</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100,000</w:t>
            </w:r>
            <w:r>
              <w:rPr>
                <w:rFonts w:ascii="Arial" w:cs="Arial" w:eastAsia="Arial" w:hAnsi="Arial"/>
                <w:sz w:val="16"/>
                <w:szCs w:val="16"/>
                <w:color w:val="auto"/>
              </w:rPr>
              <w:t>(18)</w:t>
            </w:r>
          </w:p>
        </w:tc>
        <w:tc>
          <w:tcPr>
            <w:tcW w:w="840" w:type="dxa"/>
            <w:vAlign w:val="bottom"/>
            <w:gridSpan w:val="3"/>
            <w:shd w:val="clear" w:color="auto" w:fill="CCEEFF"/>
          </w:tcPr>
          <w:p>
            <w:pPr>
              <w:jc w:val="center"/>
              <w:ind w:right="200"/>
              <w:spacing w:after="0"/>
              <w:rPr>
                <w:sz w:val="20"/>
                <w:szCs w:val="20"/>
                <w:color w:val="auto"/>
              </w:rPr>
            </w:pPr>
            <w:r>
              <w:rPr>
                <w:rFonts w:ascii="Arial" w:cs="Arial" w:eastAsia="Arial" w:hAnsi="Arial"/>
                <w:sz w:val="19"/>
                <w:szCs w:val="19"/>
                <w:color w:val="auto"/>
                <w:w w:val="88"/>
              </w:rPr>
              <w:t>$ 10.14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w w:val="94"/>
              </w:rPr>
              <w:t>11/06/2028</w:t>
            </w:r>
          </w:p>
        </w:tc>
        <w:tc>
          <w:tcPr>
            <w:tcW w:w="6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90805</wp:posOffset>
            </wp:positionV>
            <wp:extent cx="74231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65" w:lineRule="exact"/>
        <w:rPr>
          <w:sz w:val="20"/>
          <w:szCs w:val="20"/>
          <w:color w:val="auto"/>
        </w:rPr>
      </w:pPr>
    </w:p>
    <w:p>
      <w:pPr>
        <w:ind w:left="640" w:right="280" w:hanging="461"/>
        <w:spacing w:after="0" w:line="257" w:lineRule="auto"/>
        <w:tabs>
          <w:tab w:leader="none" w:pos="6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This column represents the fair market value of a share of our common stock on the date of grant, as determined by our board of directors or its authorized committee.</w:t>
      </w:r>
    </w:p>
    <w:p>
      <w:pPr>
        <w:spacing w:after="0" w:line="1" w:lineRule="exact"/>
        <w:rPr>
          <w:rFonts w:ascii="Arial" w:cs="Arial" w:eastAsia="Arial" w:hAnsi="Arial"/>
          <w:sz w:val="19"/>
          <w:szCs w:val="19"/>
          <w:color w:val="auto"/>
        </w:rPr>
      </w:pPr>
    </w:p>
    <w:p>
      <w:pPr>
        <w:ind w:left="640" w:right="80" w:hanging="461"/>
        <w:spacing w:after="0" w:line="250" w:lineRule="auto"/>
        <w:tabs>
          <w:tab w:leader="none" w:pos="6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Because our common stock was not traded on a public market on December 31, 2018, the market value has been calculated based on an estimated fair market value of $10.14 per share as of December 31, 2018.</w:t>
      </w:r>
    </w:p>
    <w:p>
      <w:pPr>
        <w:spacing w:after="0" w:line="1" w:lineRule="exact"/>
        <w:rPr>
          <w:rFonts w:ascii="Arial" w:cs="Arial" w:eastAsia="Arial" w:hAnsi="Arial"/>
          <w:sz w:val="19"/>
          <w:szCs w:val="19"/>
          <w:color w:val="auto"/>
        </w:rPr>
      </w:pPr>
    </w:p>
    <w:p>
      <w:pPr>
        <w:ind w:left="640" w:right="20" w:hanging="461"/>
        <w:spacing w:after="0" w:line="250" w:lineRule="auto"/>
        <w:tabs>
          <w:tab w:leader="none" w:pos="6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This restricted stock grant of our common stock was granted pursuant to our 2017 Plan. The applicable grants listed above were initially made as restricted units and profit interest units of Alector LLC. Upon the Conversion of Alector LLC into Alector, Inc. on October 13, 2017, the restricted units were converted on a one-for-one basis into shares of restricted common stock of Alector, Inc. and the profit interest units were converted into restricted common stock of Alector, Inc., net of the value equal to the aggregate strike price of the profit interest units. For more information regarding the Conversion, see the section titled “Management’s Discussion and Analysis of Financial Condition and Results of Operations— Overview.”</w:t>
      </w:r>
    </w:p>
    <w:p>
      <w:pPr>
        <w:spacing w:after="0" w:line="3" w:lineRule="exact"/>
        <w:rPr>
          <w:rFonts w:ascii="Arial" w:cs="Arial" w:eastAsia="Arial" w:hAnsi="Arial"/>
          <w:sz w:val="19"/>
          <w:szCs w:val="19"/>
          <w:color w:val="auto"/>
        </w:rPr>
      </w:pPr>
    </w:p>
    <w:p>
      <w:pPr>
        <w:ind w:left="640" w:right="40" w:hanging="461"/>
        <w:spacing w:after="0" w:line="250" w:lineRule="auto"/>
        <w:tabs>
          <w:tab w:leader="none" w:pos="6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One-fourth of the total number of shares subject to the restricted stock grant vested on January 15, 2016, and an additional 1/16th of the total number of shares subject to the restricted stock grant vested, and continued to vest, quarterly thereafter, subject to Dr. Rosenthal’s continued status as a service provider through each such vesting date.</w:t>
      </w:r>
    </w:p>
    <w:p>
      <w:pPr>
        <w:spacing w:after="0" w:line="1" w:lineRule="exact"/>
        <w:rPr>
          <w:rFonts w:ascii="Arial" w:cs="Arial" w:eastAsia="Arial" w:hAnsi="Arial"/>
          <w:sz w:val="19"/>
          <w:szCs w:val="19"/>
          <w:color w:val="auto"/>
        </w:rPr>
      </w:pPr>
    </w:p>
    <w:p>
      <w:pPr>
        <w:ind w:left="640" w:right="120" w:hanging="461"/>
        <w:spacing w:after="0" w:line="250" w:lineRule="auto"/>
        <w:tabs>
          <w:tab w:leader="none" w:pos="6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One-fourth of the total number of shares subject to the restricted stock grant vested on July 17, 2016, and an additional 1/48th of the total number of shares subject to the restricted stock grant vested, and continued to vest, on the same day of each month thereafter, subject to Dr. Rosenthal’s continued status as a service provider through each such vesting date.</w:t>
      </w:r>
    </w:p>
    <w:p>
      <w:pPr>
        <w:spacing w:after="0" w:line="1" w:lineRule="exact"/>
        <w:rPr>
          <w:rFonts w:ascii="Arial" w:cs="Arial" w:eastAsia="Arial" w:hAnsi="Arial"/>
          <w:sz w:val="19"/>
          <w:szCs w:val="19"/>
          <w:color w:val="auto"/>
        </w:rPr>
      </w:pPr>
    </w:p>
    <w:p>
      <w:pPr>
        <w:ind w:left="640" w:right="780" w:hanging="461"/>
        <w:spacing w:after="0" w:line="250" w:lineRule="auto"/>
        <w:tabs>
          <w:tab w:leader="none" w:pos="6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shares subject to the restricted stock grant vested, and continue to vest, 1/48th per month beginning on the one month anniversary of August 1, 2017, subject to Dr. Rosenthal’s continued status as a service provider on each such vesting date.</w:t>
      </w:r>
    </w:p>
    <w:p>
      <w:pPr>
        <w:spacing w:after="0" w:line="1" w:lineRule="exact"/>
        <w:rPr>
          <w:rFonts w:ascii="Arial" w:cs="Arial" w:eastAsia="Arial" w:hAnsi="Arial"/>
          <w:sz w:val="19"/>
          <w:szCs w:val="19"/>
          <w:color w:val="auto"/>
        </w:rPr>
      </w:pPr>
    </w:p>
    <w:p>
      <w:pPr>
        <w:ind w:left="640" w:right="40" w:hanging="461"/>
        <w:spacing w:after="0" w:line="253" w:lineRule="auto"/>
        <w:tabs>
          <w:tab w:leader="none" w:pos="6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This restricted stock grant of our common stock was granted outside of the 2017 Plan, but is subject to the terms of the 2017 Plan as if the grant was made under the 2017 Plan (except with respect to the forfeiture of unvested shares). The applicable grant listed above was initially made as grants of restricted units of Alector LLC, and upon the Conversion, the restricted units were then converted into shares of restricted common stock of Alector, Inc. by exchanging the restricted units for shares on a one-for-one basis and withholding a number of shares with a value equal to the aggregate strike price of the restricted units. For more</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143</w:t>
      </w:r>
    </w:p>
    <w:p>
      <w:pPr>
        <w:sectPr>
          <w:pgSz w:w="12240" w:h="15840" w:orient="portrait"/>
          <w:cols w:equalWidth="0" w:num="1">
            <w:col w:w="11820"/>
          </w:cols>
          <w:pgMar w:left="120" w:top="337" w:right="300" w:bottom="1440" w:gutter="0" w:footer="0" w:header="0"/>
        </w:sectPr>
      </w:pPr>
    </w:p>
    <w:bookmarkStart w:id="151" w:name="page152"/>
    <w:bookmarkEnd w:id="15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right="580"/>
        <w:spacing w:after="0" w:line="257" w:lineRule="auto"/>
        <w:rPr>
          <w:sz w:val="20"/>
          <w:szCs w:val="20"/>
          <w:color w:val="auto"/>
        </w:rPr>
      </w:pPr>
      <w:r>
        <w:rPr>
          <w:rFonts w:ascii="Arial" w:cs="Arial" w:eastAsia="Arial" w:hAnsi="Arial"/>
          <w:sz w:val="19"/>
          <w:szCs w:val="19"/>
          <w:color w:val="auto"/>
        </w:rPr>
        <w:t>information regarding the Conversion, see the section titled “Management’s Discussion and Analysis of Financial Condition and Results of Operations—Overview.”</w:t>
      </w:r>
    </w:p>
    <w:p>
      <w:pPr>
        <w:spacing w:after="0" w:line="2" w:lineRule="exact"/>
        <w:rPr>
          <w:sz w:val="20"/>
          <w:szCs w:val="20"/>
          <w:color w:val="auto"/>
        </w:rPr>
      </w:pPr>
    </w:p>
    <w:p>
      <w:pPr>
        <w:ind w:left="640" w:right="760" w:hanging="461"/>
        <w:spacing w:after="0" w:line="250" w:lineRule="auto"/>
        <w:tabs>
          <w:tab w:leader="none" w:pos="640"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shares subject to the restricted stock grant vested, and continue to vest, 1/48th per month beginning on the one month anniversary of August 1, 2017, subject to Dr. Rosenthal’s continued status as a service provider on each such vesting date.</w:t>
      </w:r>
    </w:p>
    <w:p>
      <w:pPr>
        <w:spacing w:after="0" w:line="1" w:lineRule="exact"/>
        <w:rPr>
          <w:rFonts w:ascii="Arial" w:cs="Arial" w:eastAsia="Arial" w:hAnsi="Arial"/>
          <w:sz w:val="19"/>
          <w:szCs w:val="19"/>
          <w:color w:val="auto"/>
        </w:rPr>
      </w:pPr>
    </w:p>
    <w:p>
      <w:pPr>
        <w:ind w:left="640" w:hanging="461"/>
        <w:spacing w:after="0"/>
        <w:tabs>
          <w:tab w:leader="none" w:pos="640"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This option to purchase shares of our common stock was granted pursuant to our 2017 Plan.</w:t>
      </w:r>
    </w:p>
    <w:p>
      <w:pPr>
        <w:spacing w:after="0" w:line="9" w:lineRule="exact"/>
        <w:rPr>
          <w:rFonts w:ascii="Arial" w:cs="Arial" w:eastAsia="Arial" w:hAnsi="Arial"/>
          <w:sz w:val="19"/>
          <w:szCs w:val="19"/>
          <w:color w:val="auto"/>
        </w:rPr>
      </w:pPr>
    </w:p>
    <w:p>
      <w:pPr>
        <w:ind w:left="640" w:right="20" w:hanging="461"/>
        <w:spacing w:after="0" w:line="250" w:lineRule="auto"/>
        <w:tabs>
          <w:tab w:leader="none" w:pos="640"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shares subject to this option vested, and continue to vest, 1/48th per month beginning on the one month anniversary of July 2, 2018, subject to Dr. Rosenthal’s continued status as a service provider on each such vesting date.</w:t>
      </w:r>
    </w:p>
    <w:p>
      <w:pPr>
        <w:spacing w:after="0" w:line="1" w:lineRule="exact"/>
        <w:rPr>
          <w:rFonts w:ascii="Arial" w:cs="Arial" w:eastAsia="Arial" w:hAnsi="Arial"/>
          <w:sz w:val="19"/>
          <w:szCs w:val="19"/>
          <w:color w:val="auto"/>
        </w:rPr>
      </w:pPr>
    </w:p>
    <w:p>
      <w:pPr>
        <w:ind w:left="640" w:right="480" w:hanging="461"/>
        <w:spacing w:after="0" w:line="250" w:lineRule="auto"/>
        <w:tabs>
          <w:tab w:leader="none" w:pos="640" w:val="left"/>
        </w:tabs>
        <w:numPr>
          <w:ilvl w:val="0"/>
          <w:numId w:val="92"/>
        </w:numPr>
        <w:rPr>
          <w:rFonts w:ascii="Arial" w:cs="Arial" w:eastAsia="Arial" w:hAnsi="Arial"/>
          <w:sz w:val="19"/>
          <w:szCs w:val="19"/>
          <w:color w:val="auto"/>
        </w:rPr>
      </w:pPr>
      <w:r>
        <w:rPr>
          <w:rFonts w:ascii="Arial" w:cs="Arial" w:eastAsia="Arial" w:hAnsi="Arial"/>
          <w:sz w:val="19"/>
          <w:szCs w:val="19"/>
          <w:color w:val="auto"/>
        </w:rPr>
        <w:t>One-fourth of the total number of shares subject to the option grant vest on the one year anniversary of November 1, 2018, and an additional 1/48th of the total number of shares subject to the option grant continue to vest, on the same day of each month thereafter, subject to Dr. Rosenthal’s continued status as a service provider through each such vesting date.</w:t>
      </w:r>
    </w:p>
    <w:p>
      <w:pPr>
        <w:spacing w:after="0" w:line="1" w:lineRule="exact"/>
        <w:rPr>
          <w:rFonts w:ascii="Arial" w:cs="Arial" w:eastAsia="Arial" w:hAnsi="Arial"/>
          <w:sz w:val="19"/>
          <w:szCs w:val="19"/>
          <w:color w:val="auto"/>
        </w:rPr>
      </w:pPr>
    </w:p>
    <w:p>
      <w:pPr>
        <w:ind w:left="640" w:hanging="461"/>
        <w:spacing w:after="0" w:line="250" w:lineRule="auto"/>
        <w:tabs>
          <w:tab w:leader="none" w:pos="640" w:val="left"/>
        </w:tabs>
        <w:numPr>
          <w:ilvl w:val="0"/>
          <w:numId w:val="92"/>
        </w:numPr>
        <w:rPr>
          <w:rFonts w:ascii="Arial" w:cs="Arial" w:eastAsia="Arial" w:hAnsi="Arial"/>
          <w:sz w:val="19"/>
          <w:szCs w:val="19"/>
          <w:color w:val="auto"/>
        </w:rPr>
      </w:pPr>
      <w:r>
        <w:rPr>
          <w:rFonts w:ascii="Arial" w:cs="Arial" w:eastAsia="Arial" w:hAnsi="Arial"/>
          <w:sz w:val="19"/>
          <w:szCs w:val="19"/>
          <w:color w:val="auto"/>
        </w:rPr>
        <w:t>One-fourth of the total number of shares subject to the restricted stock grant vested on January 26, 2018, and an additional 1/48th of the total number of shares subject to the restricted stock grant vested, and continued to vest, on the same day of each month thereafter, subject to Dr. King’s continued status as a service provider through each such vesting date.</w:t>
      </w:r>
    </w:p>
    <w:p>
      <w:pPr>
        <w:spacing w:after="0" w:line="1" w:lineRule="exact"/>
        <w:rPr>
          <w:rFonts w:ascii="Arial" w:cs="Arial" w:eastAsia="Arial" w:hAnsi="Arial"/>
          <w:sz w:val="19"/>
          <w:szCs w:val="19"/>
          <w:color w:val="auto"/>
        </w:rPr>
      </w:pPr>
    </w:p>
    <w:p>
      <w:pPr>
        <w:ind w:left="640" w:right="20" w:hanging="461"/>
        <w:spacing w:after="0" w:line="250" w:lineRule="auto"/>
        <w:tabs>
          <w:tab w:leader="none" w:pos="640"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shares subject to this option vested, and continue to vest, 1/48th per month beginning on the one month anniversary of July 2, 2018, subject to Dr. King’s continued status as a service provider on each such vesting date.</w:t>
      </w:r>
    </w:p>
    <w:p>
      <w:pPr>
        <w:spacing w:after="0" w:line="1" w:lineRule="exact"/>
        <w:rPr>
          <w:rFonts w:ascii="Arial" w:cs="Arial" w:eastAsia="Arial" w:hAnsi="Arial"/>
          <w:sz w:val="19"/>
          <w:szCs w:val="19"/>
          <w:color w:val="auto"/>
        </w:rPr>
      </w:pPr>
    </w:p>
    <w:p>
      <w:pPr>
        <w:ind w:left="640" w:right="280" w:hanging="461"/>
        <w:spacing w:after="0" w:line="250" w:lineRule="auto"/>
        <w:tabs>
          <w:tab w:leader="none" w:pos="640" w:val="left"/>
        </w:tabs>
        <w:numPr>
          <w:ilvl w:val="0"/>
          <w:numId w:val="92"/>
        </w:numPr>
        <w:rPr>
          <w:rFonts w:ascii="Arial" w:cs="Arial" w:eastAsia="Arial" w:hAnsi="Arial"/>
          <w:sz w:val="19"/>
          <w:szCs w:val="19"/>
          <w:color w:val="auto"/>
        </w:rPr>
      </w:pPr>
      <w:r>
        <w:rPr>
          <w:rFonts w:ascii="Arial" w:cs="Arial" w:eastAsia="Arial" w:hAnsi="Arial"/>
          <w:sz w:val="19"/>
          <w:szCs w:val="19"/>
          <w:color w:val="auto"/>
        </w:rPr>
        <w:t>One-fourth of the total number of shares subject to the option grant vest on the one year anniversary of November 1, 2018, and an additional 1/48th of the total number of shares subject to the option grant continue to vest, on the same day of each month thereafter, subject to Dr. King’s continued status as a service provider through each such vesting date.</w:t>
      </w:r>
    </w:p>
    <w:p>
      <w:pPr>
        <w:spacing w:after="0" w:line="1" w:lineRule="exact"/>
        <w:rPr>
          <w:rFonts w:ascii="Arial" w:cs="Arial" w:eastAsia="Arial" w:hAnsi="Arial"/>
          <w:sz w:val="19"/>
          <w:szCs w:val="19"/>
          <w:color w:val="auto"/>
        </w:rPr>
      </w:pPr>
    </w:p>
    <w:p>
      <w:pPr>
        <w:ind w:left="640" w:right="60" w:hanging="461"/>
        <w:spacing w:after="0" w:line="250" w:lineRule="auto"/>
        <w:tabs>
          <w:tab w:leader="none" w:pos="640" w:val="left"/>
        </w:tabs>
        <w:numPr>
          <w:ilvl w:val="0"/>
          <w:numId w:val="92"/>
        </w:numPr>
        <w:rPr>
          <w:rFonts w:ascii="Arial" w:cs="Arial" w:eastAsia="Arial" w:hAnsi="Arial"/>
          <w:sz w:val="19"/>
          <w:szCs w:val="19"/>
          <w:color w:val="auto"/>
        </w:rPr>
      </w:pPr>
      <w:r>
        <w:rPr>
          <w:rFonts w:ascii="Arial" w:cs="Arial" w:eastAsia="Arial" w:hAnsi="Arial"/>
          <w:sz w:val="19"/>
          <w:szCs w:val="19"/>
          <w:color w:val="auto"/>
        </w:rPr>
        <w:t>One-fourth of the total number of shares subject to the restricted stock grant vested on October 3, 2017, and an additional 1/48th of the total number of shares subject to the restricted stock grant vested, and continued to vest, on the same day of each month thereafter, subject to Dr. Paul’s continued status as a service provider through each such vesting date.</w:t>
      </w:r>
    </w:p>
    <w:p>
      <w:pPr>
        <w:spacing w:after="0" w:line="1" w:lineRule="exact"/>
        <w:rPr>
          <w:rFonts w:ascii="Arial" w:cs="Arial" w:eastAsia="Arial" w:hAnsi="Arial"/>
          <w:sz w:val="19"/>
          <w:szCs w:val="19"/>
          <w:color w:val="auto"/>
        </w:rPr>
      </w:pPr>
    </w:p>
    <w:p>
      <w:pPr>
        <w:ind w:left="640" w:right="760" w:hanging="461"/>
        <w:spacing w:after="0" w:line="250" w:lineRule="auto"/>
        <w:tabs>
          <w:tab w:leader="none" w:pos="640"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shares subject to the restricted stock grant vested, and continue to vest, 1/48th per month beginning on the one month anniversary of August 1, 2017, subject to Dr. Paul’s continued status as a service provider through each such vesting date.</w:t>
      </w:r>
    </w:p>
    <w:p>
      <w:pPr>
        <w:spacing w:after="0" w:line="1" w:lineRule="exact"/>
        <w:rPr>
          <w:rFonts w:ascii="Arial" w:cs="Arial" w:eastAsia="Arial" w:hAnsi="Arial"/>
          <w:sz w:val="19"/>
          <w:szCs w:val="19"/>
          <w:color w:val="auto"/>
        </w:rPr>
      </w:pPr>
    </w:p>
    <w:p>
      <w:pPr>
        <w:ind w:left="640" w:right="20" w:hanging="461"/>
        <w:spacing w:after="0" w:line="250" w:lineRule="auto"/>
        <w:tabs>
          <w:tab w:leader="none" w:pos="640"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shares subject to this option vested, and continue to vest, 1/48th per month beginning on the one month anniversary of July 2, 2018, subject to Dr. Paul’s continued status as a service provider on each such vesting date.</w:t>
      </w:r>
    </w:p>
    <w:p>
      <w:pPr>
        <w:spacing w:after="0" w:line="1" w:lineRule="exact"/>
        <w:rPr>
          <w:rFonts w:ascii="Arial" w:cs="Arial" w:eastAsia="Arial" w:hAnsi="Arial"/>
          <w:sz w:val="19"/>
          <w:szCs w:val="19"/>
          <w:color w:val="auto"/>
        </w:rPr>
      </w:pPr>
    </w:p>
    <w:p>
      <w:pPr>
        <w:ind w:left="640" w:right="320" w:hanging="461"/>
        <w:spacing w:after="0" w:line="255" w:lineRule="auto"/>
        <w:tabs>
          <w:tab w:leader="none" w:pos="640" w:val="left"/>
        </w:tabs>
        <w:numPr>
          <w:ilvl w:val="0"/>
          <w:numId w:val="92"/>
        </w:numPr>
        <w:rPr>
          <w:rFonts w:ascii="Arial" w:cs="Arial" w:eastAsia="Arial" w:hAnsi="Arial"/>
          <w:sz w:val="19"/>
          <w:szCs w:val="19"/>
          <w:color w:val="auto"/>
        </w:rPr>
      </w:pPr>
      <w:r>
        <w:rPr>
          <w:rFonts w:ascii="Arial" w:cs="Arial" w:eastAsia="Arial" w:hAnsi="Arial"/>
          <w:sz w:val="19"/>
          <w:szCs w:val="19"/>
          <w:color w:val="auto"/>
        </w:rPr>
        <w:t>One-fourth of the total number of shares subject to the option grant vest on the one year anniversary of November 1, 2018, and an additional 1/48th of the total number of shares subject to the option grant continue to vest, on the same day of each month thereafter, subject to Dr. Paul’s continued status as a service provider through each such vesting date.</w:t>
      </w:r>
    </w:p>
    <w:p>
      <w:pPr>
        <w:spacing w:after="0" w:line="311"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Employment Arrangements with Our Named Executive Officers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Dr. Arnon Rosenthal</w:t>
      </w:r>
    </w:p>
    <w:p>
      <w:pPr>
        <w:spacing w:after="0" w:line="124" w:lineRule="exact"/>
        <w:rPr>
          <w:sz w:val="20"/>
          <w:szCs w:val="20"/>
          <w:color w:val="auto"/>
        </w:rPr>
      </w:pPr>
    </w:p>
    <w:p>
      <w:pPr>
        <w:ind w:left="180" w:right="160" w:firstLine="465"/>
        <w:spacing w:after="0" w:line="259" w:lineRule="auto"/>
        <w:rPr>
          <w:sz w:val="20"/>
          <w:szCs w:val="20"/>
          <w:color w:val="auto"/>
        </w:rPr>
      </w:pPr>
      <w:r>
        <w:rPr>
          <w:rFonts w:ascii="Arial" w:cs="Arial" w:eastAsia="Arial" w:hAnsi="Arial"/>
          <w:sz w:val="19"/>
          <w:szCs w:val="19"/>
          <w:color w:val="auto"/>
        </w:rPr>
        <w:t>Prior to the completion of this offering, we intend to enter into a confirmatory employment letter with Arnon Rosenthal, our Co-Founder and Chief Executive Officer. The confirmatory employment letter is currently expected to have no specific term and will provide that Dr. Rosenthal is an at-will employee. Dr. Rosenthal’s current annual base salary is $395,900 and he is eligible for an annual target cash incentive payment equal to 40% of his annual base salary.</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Dr. Robert King</w:t>
      </w:r>
    </w:p>
    <w:p>
      <w:pPr>
        <w:spacing w:after="0" w:line="124" w:lineRule="exact"/>
        <w:rPr>
          <w:sz w:val="20"/>
          <w:szCs w:val="20"/>
          <w:color w:val="auto"/>
        </w:rPr>
      </w:pPr>
    </w:p>
    <w:p>
      <w:pPr>
        <w:ind w:left="180" w:right="540" w:firstLine="465"/>
        <w:spacing w:after="0" w:line="275" w:lineRule="auto"/>
        <w:rPr>
          <w:sz w:val="20"/>
          <w:szCs w:val="20"/>
          <w:color w:val="auto"/>
        </w:rPr>
      </w:pPr>
      <w:r>
        <w:rPr>
          <w:rFonts w:ascii="Arial" w:cs="Arial" w:eastAsia="Arial" w:hAnsi="Arial"/>
          <w:sz w:val="19"/>
          <w:szCs w:val="19"/>
          <w:color w:val="auto"/>
        </w:rPr>
        <w:t>Prior to the completion of this offering, we intend to enter into a confirmatory employment letter with Robert King, our Chief Development Officer. The confirmatory employment letter is currently expected to have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144</w:t>
      </w:r>
    </w:p>
    <w:p>
      <w:pPr>
        <w:sectPr>
          <w:pgSz w:w="12240" w:h="15840" w:orient="portrait"/>
          <w:cols w:equalWidth="0" w:num="1">
            <w:col w:w="11800"/>
          </w:cols>
          <w:pgMar w:left="120" w:top="336" w:right="320" w:bottom="1440" w:gutter="0" w:footer="0" w:header="0"/>
        </w:sectPr>
      </w:pPr>
    </w:p>
    <w:bookmarkStart w:id="152" w:name="page153"/>
    <w:bookmarkEnd w:id="15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80"/>
        <w:spacing w:after="0" w:line="275" w:lineRule="auto"/>
        <w:rPr>
          <w:sz w:val="20"/>
          <w:szCs w:val="20"/>
          <w:color w:val="auto"/>
        </w:rPr>
      </w:pPr>
      <w:r>
        <w:rPr>
          <w:rFonts w:ascii="Arial" w:cs="Arial" w:eastAsia="Arial" w:hAnsi="Arial"/>
          <w:sz w:val="19"/>
          <w:szCs w:val="19"/>
          <w:color w:val="auto"/>
        </w:rPr>
        <w:t>no specific term and will provide that Dr. King is an at-will employee. Dr. King’s current annual base salary is $351,900 and he is eligible for an annual target cash incentive payment equal to 30% of his annual base salary.</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Dr. Robert Paul</w:t>
      </w:r>
    </w:p>
    <w:p>
      <w:pPr>
        <w:spacing w:after="0" w:line="124" w:lineRule="exact"/>
        <w:rPr>
          <w:sz w:val="20"/>
          <w:szCs w:val="20"/>
          <w:color w:val="auto"/>
        </w:rPr>
      </w:pPr>
    </w:p>
    <w:p>
      <w:pPr>
        <w:ind w:left="180" w:firstLine="465"/>
        <w:spacing w:after="0" w:line="284" w:lineRule="auto"/>
        <w:rPr>
          <w:sz w:val="20"/>
          <w:szCs w:val="20"/>
          <w:color w:val="auto"/>
        </w:rPr>
      </w:pPr>
      <w:r>
        <w:rPr>
          <w:rFonts w:ascii="Arial" w:cs="Arial" w:eastAsia="Arial" w:hAnsi="Arial"/>
          <w:sz w:val="18"/>
          <w:szCs w:val="18"/>
          <w:color w:val="auto"/>
        </w:rPr>
        <w:t>Prior to the completion of this offering, we intend to enter into a confirmatory employment letter with Robert Paul, our Chief Medical Officer. The confirmatory employment letter is currently expected to have no specific term and will provide that Dr. Paul is an at-will employee. Dr. Paul’s current annual base salary is $326,000 and he is eligible for an annual target cash incentive payment equal to 30% of his annual base salary.</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Executive Change in Control and Severance Agreements</w:t>
      </w:r>
    </w:p>
    <w:p>
      <w:pPr>
        <w:spacing w:after="0" w:line="124" w:lineRule="exact"/>
        <w:rPr>
          <w:sz w:val="20"/>
          <w:szCs w:val="20"/>
          <w:color w:val="auto"/>
        </w:rPr>
      </w:pPr>
    </w:p>
    <w:p>
      <w:pPr>
        <w:ind w:left="180" w:right="80" w:firstLine="465"/>
        <w:spacing w:after="0" w:line="259" w:lineRule="auto"/>
        <w:rPr>
          <w:sz w:val="20"/>
          <w:szCs w:val="20"/>
          <w:color w:val="auto"/>
        </w:rPr>
      </w:pPr>
      <w:r>
        <w:rPr>
          <w:rFonts w:ascii="Arial" w:cs="Arial" w:eastAsia="Arial" w:hAnsi="Arial"/>
          <w:sz w:val="19"/>
          <w:szCs w:val="19"/>
          <w:color w:val="auto"/>
        </w:rPr>
        <w:t>In November 2018, our board of directors approved a change in control and severance agreement for each of our named executive officers, which agreement would provide for certain severance and change in control benefits as described below. Each change in control and severance agreement will supersede any prior agreement or arrangement the named executive officer may have had with us that provides for severance and/or change in control payments or benefits.</w:t>
      </w:r>
    </w:p>
    <w:p>
      <w:pPr>
        <w:spacing w:after="0" w:line="198" w:lineRule="exact"/>
        <w:rPr>
          <w:sz w:val="20"/>
          <w:szCs w:val="20"/>
          <w:color w:val="auto"/>
        </w:rPr>
      </w:pPr>
    </w:p>
    <w:p>
      <w:pPr>
        <w:ind w:left="180" w:right="80" w:firstLine="465"/>
        <w:spacing w:after="0" w:line="256" w:lineRule="auto"/>
        <w:rPr>
          <w:sz w:val="20"/>
          <w:szCs w:val="20"/>
          <w:color w:val="auto"/>
        </w:rPr>
      </w:pPr>
      <w:r>
        <w:rPr>
          <w:rFonts w:ascii="Arial" w:cs="Arial" w:eastAsia="Arial" w:hAnsi="Arial"/>
          <w:sz w:val="19"/>
          <w:szCs w:val="19"/>
          <w:color w:val="auto"/>
        </w:rPr>
        <w:t>If a named executive officer’s employment is terminated outside the period beginning on the date of a change in control and ending 12 months following that change in control (the “Change in Control Period”) either (1) by the Company or any of its subsidiaries (the “Company Group”) without “cause” (excluding by reason of death or disability) or (2) by the named executive officer for “good reason” (as such terms are defined in the named executive officer’s change in control and severance agreement), the named executive officer will receive the following benefits if he or she timely signs and does not revoke a release of claims in our favor:</w:t>
      </w:r>
    </w:p>
    <w:p>
      <w:pPr>
        <w:spacing w:after="0" w:line="104" w:lineRule="exact"/>
        <w:rPr>
          <w:sz w:val="20"/>
          <w:szCs w:val="20"/>
          <w:color w:val="auto"/>
        </w:rPr>
      </w:pPr>
    </w:p>
    <w:p>
      <w:pPr>
        <w:ind w:left="1100" w:right="40" w:hanging="350"/>
        <w:spacing w:after="0" w:line="263" w:lineRule="auto"/>
        <w:tabs>
          <w:tab w:leader="none" w:pos="1100" w:val="left"/>
        </w:tabs>
        <w:numPr>
          <w:ilvl w:val="0"/>
          <w:numId w:val="93"/>
        </w:numPr>
        <w:rPr>
          <w:rFonts w:ascii="Arial" w:cs="Arial" w:eastAsia="Arial" w:hAnsi="Arial"/>
          <w:sz w:val="19"/>
          <w:szCs w:val="19"/>
          <w:color w:val="auto"/>
        </w:rPr>
      </w:pPr>
      <w:r>
        <w:rPr>
          <w:rFonts w:ascii="Arial" w:cs="Arial" w:eastAsia="Arial" w:hAnsi="Arial"/>
          <w:sz w:val="19"/>
          <w:szCs w:val="19"/>
          <w:color w:val="auto"/>
        </w:rPr>
        <w:t>a lump-sum payment equal to 9 months (or 12 months in the case of Dr. Rosenthal) of the named executive officer’s annual base salary as in effect immediately prior to such termination (or if such termination is due to a resignation for good reason based on a material reduction in base salary, then as in effect immediately prior to the reduction); and</w:t>
      </w:r>
    </w:p>
    <w:p>
      <w:pPr>
        <w:spacing w:after="0" w:line="94" w:lineRule="exact"/>
        <w:rPr>
          <w:rFonts w:ascii="Arial" w:cs="Arial" w:eastAsia="Arial" w:hAnsi="Arial"/>
          <w:sz w:val="19"/>
          <w:szCs w:val="19"/>
          <w:color w:val="auto"/>
        </w:rPr>
      </w:pPr>
    </w:p>
    <w:p>
      <w:pPr>
        <w:ind w:left="1100" w:right="260" w:hanging="350"/>
        <w:spacing w:after="0" w:line="259" w:lineRule="auto"/>
        <w:tabs>
          <w:tab w:leader="none" w:pos="1100" w:val="left"/>
        </w:tabs>
        <w:numPr>
          <w:ilvl w:val="0"/>
          <w:numId w:val="93"/>
        </w:numPr>
        <w:rPr>
          <w:rFonts w:ascii="Arial" w:cs="Arial" w:eastAsia="Arial" w:hAnsi="Arial"/>
          <w:sz w:val="19"/>
          <w:szCs w:val="19"/>
          <w:color w:val="auto"/>
        </w:rPr>
      </w:pPr>
      <w:r>
        <w:rPr>
          <w:rFonts w:ascii="Arial" w:cs="Arial" w:eastAsia="Arial" w:hAnsi="Arial"/>
          <w:sz w:val="19"/>
          <w:szCs w:val="19"/>
          <w:color w:val="auto"/>
        </w:rPr>
        <w:t>payment of premiums for coverage under the Consolidated Omnibus Budget Reconciliation Act of 1985, as amended (COBRA), for the named executive officer and the named executive officer’s eligible dependents, if any, for up to 9 months (or 12 months in the case of Dr. Rosenthal), or taxable monthly payments for the equivalent period in the event payment of the COBRA premiums would violate or be subject to an excise tax under applicable law.</w:t>
      </w:r>
    </w:p>
    <w:p>
      <w:pPr>
        <w:spacing w:after="0" w:line="198" w:lineRule="exact"/>
        <w:rPr>
          <w:sz w:val="20"/>
          <w:szCs w:val="20"/>
          <w:color w:val="auto"/>
        </w:rPr>
      </w:pPr>
    </w:p>
    <w:p>
      <w:pPr>
        <w:ind w:left="180" w:right="460" w:firstLine="465"/>
        <w:spacing w:after="0" w:line="308" w:lineRule="auto"/>
        <w:rPr>
          <w:sz w:val="20"/>
          <w:szCs w:val="20"/>
          <w:color w:val="auto"/>
        </w:rPr>
      </w:pPr>
      <w:r>
        <w:rPr>
          <w:rFonts w:ascii="Arial" w:cs="Arial" w:eastAsia="Arial" w:hAnsi="Arial"/>
          <w:sz w:val="17"/>
          <w:szCs w:val="17"/>
          <w:color w:val="auto"/>
        </w:rPr>
        <w:t>If, within the Change in Control Period, the named executive officer’s employment is terminated either (1) by the Company (or any of its subsidiaries) without cause (excluding by reason of death or disability) or (2) by the named executive officer for good reason, the named executive officer will receive the following benefits if the named executive officer timely signs and does not revoke a release of claims in our favor:</w:t>
      </w:r>
    </w:p>
    <w:p>
      <w:pPr>
        <w:spacing w:after="0" w:line="60" w:lineRule="exact"/>
        <w:rPr>
          <w:sz w:val="20"/>
          <w:szCs w:val="20"/>
          <w:color w:val="auto"/>
        </w:rPr>
      </w:pPr>
    </w:p>
    <w:p>
      <w:pPr>
        <w:ind w:left="1100" w:right="140" w:hanging="350"/>
        <w:spacing w:after="0" w:line="259" w:lineRule="auto"/>
        <w:tabs>
          <w:tab w:leader="none" w:pos="1100" w:val="left"/>
        </w:tabs>
        <w:numPr>
          <w:ilvl w:val="0"/>
          <w:numId w:val="94"/>
        </w:numPr>
        <w:rPr>
          <w:rFonts w:ascii="Arial" w:cs="Arial" w:eastAsia="Arial" w:hAnsi="Arial"/>
          <w:sz w:val="19"/>
          <w:szCs w:val="19"/>
          <w:color w:val="auto"/>
        </w:rPr>
      </w:pPr>
      <w:r>
        <w:rPr>
          <w:rFonts w:ascii="Arial" w:cs="Arial" w:eastAsia="Arial" w:hAnsi="Arial"/>
          <w:sz w:val="19"/>
          <w:szCs w:val="19"/>
          <w:color w:val="auto"/>
        </w:rPr>
        <w:t>a lump-sum payment equal to 12 months (or 18 months in the case of Dr. Rosenthal) of the named executive officer’s annual base salary as in effect immediately prior to such termination (or if such termination is due to a resignation for good reason based on a material reduction in base salary, then as in effect immediately prior to the reduction) or if greater, at the level in effect immediately prior to the change in control);</w:t>
      </w:r>
    </w:p>
    <w:p>
      <w:pPr>
        <w:spacing w:after="0" w:line="97" w:lineRule="exact"/>
        <w:rPr>
          <w:rFonts w:ascii="Arial" w:cs="Arial" w:eastAsia="Arial" w:hAnsi="Arial"/>
          <w:sz w:val="19"/>
          <w:szCs w:val="19"/>
          <w:color w:val="auto"/>
        </w:rPr>
      </w:pPr>
    </w:p>
    <w:p>
      <w:pPr>
        <w:ind w:left="1100" w:right="80" w:hanging="350"/>
        <w:spacing w:after="0" w:line="275" w:lineRule="auto"/>
        <w:tabs>
          <w:tab w:leader="none" w:pos="1100" w:val="left"/>
        </w:tabs>
        <w:numPr>
          <w:ilvl w:val="0"/>
          <w:numId w:val="94"/>
        </w:numPr>
        <w:rPr>
          <w:rFonts w:ascii="Arial" w:cs="Arial" w:eastAsia="Arial" w:hAnsi="Arial"/>
          <w:sz w:val="19"/>
          <w:szCs w:val="19"/>
          <w:color w:val="auto"/>
        </w:rPr>
      </w:pPr>
      <w:r>
        <w:rPr>
          <w:rFonts w:ascii="Arial" w:cs="Arial" w:eastAsia="Arial" w:hAnsi="Arial"/>
          <w:sz w:val="19"/>
          <w:szCs w:val="19"/>
          <w:color w:val="auto"/>
        </w:rPr>
        <w:t>a lump-sum payment equal to 100% (or 150% in the case of Dr. Rosenthal) of the named executive officer’s target annual bonus as in effect for the fiscal year in which such termination occurs;</w:t>
      </w:r>
    </w:p>
    <w:p>
      <w:pPr>
        <w:spacing w:after="0" w:line="84" w:lineRule="exact"/>
        <w:rPr>
          <w:rFonts w:ascii="Arial" w:cs="Arial" w:eastAsia="Arial" w:hAnsi="Arial"/>
          <w:sz w:val="19"/>
          <w:szCs w:val="19"/>
          <w:color w:val="auto"/>
        </w:rPr>
      </w:pPr>
    </w:p>
    <w:p>
      <w:pPr>
        <w:ind w:left="1100" w:right="80" w:hanging="350"/>
        <w:spacing w:after="0" w:line="284" w:lineRule="auto"/>
        <w:tabs>
          <w:tab w:leader="none" w:pos="11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payment of premiums for coverage under COBRA for the named executive officer and the named executive officer’s eligible dependents, if any, for up to 12 months (or 18 months in the case of Dr. Rosenthal), or taxable monthly payments for the equivalent period in the event payment of the COBRA premiums would violate or be subject to an excise tax under applicable law; and</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145</w:t>
      </w:r>
    </w:p>
    <w:p>
      <w:pPr>
        <w:sectPr>
          <w:pgSz w:w="12240" w:h="15840" w:orient="portrait"/>
          <w:cols w:equalWidth="0" w:num="1">
            <w:col w:w="11800"/>
          </w:cols>
          <w:pgMar w:left="120" w:top="336" w:right="320" w:bottom="1440" w:gutter="0" w:footer="0" w:header="0"/>
        </w:sectPr>
      </w:pPr>
    </w:p>
    <w:bookmarkStart w:id="153" w:name="page154"/>
    <w:bookmarkEnd w:id="15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340" w:hanging="350"/>
        <w:spacing w:after="0" w:line="263" w:lineRule="auto"/>
        <w:tabs>
          <w:tab w:leader="none" w:pos="1100" w:val="left"/>
        </w:tabs>
        <w:numPr>
          <w:ilvl w:val="0"/>
          <w:numId w:val="95"/>
        </w:numPr>
        <w:rPr>
          <w:rFonts w:ascii="Arial" w:cs="Arial" w:eastAsia="Arial" w:hAnsi="Arial"/>
          <w:sz w:val="19"/>
          <w:szCs w:val="19"/>
          <w:color w:val="auto"/>
        </w:rPr>
      </w:pPr>
      <w:r>
        <w:rPr>
          <w:rFonts w:ascii="Arial" w:cs="Arial" w:eastAsia="Arial" w:hAnsi="Arial"/>
          <w:sz w:val="19"/>
          <w:szCs w:val="19"/>
          <w:color w:val="auto"/>
        </w:rPr>
        <w:t>100% accelerated vesting and exercisability of all outstanding equity awards and, in the case of an equity award with performance-based vesting, unless otherwise specified all performance goals and other vesting criteria generally will be deemed achieved at 100% of target levels.</w:t>
      </w:r>
    </w:p>
    <w:p>
      <w:pPr>
        <w:spacing w:after="0" w:line="194" w:lineRule="exact"/>
        <w:rPr>
          <w:sz w:val="20"/>
          <w:szCs w:val="20"/>
          <w:color w:val="auto"/>
        </w:rPr>
      </w:pPr>
    </w:p>
    <w:p>
      <w:pPr>
        <w:ind w:left="180" w:right="60" w:firstLine="465"/>
        <w:spacing w:after="0" w:line="294" w:lineRule="auto"/>
        <w:rPr>
          <w:sz w:val="20"/>
          <w:szCs w:val="20"/>
          <w:color w:val="auto"/>
        </w:rPr>
      </w:pPr>
      <w:r>
        <w:rPr>
          <w:rFonts w:ascii="Arial" w:cs="Arial" w:eastAsia="Arial" w:hAnsi="Arial"/>
          <w:sz w:val="17"/>
          <w:szCs w:val="17"/>
          <w:color w:val="auto"/>
        </w:rPr>
        <w:t>If any of the amounts provided for under these change in control and severance agreements or otherwise payable to our named executive officers would constitute “parachute payments” within the meaning of Section 280G of the Internal Revenue Code and could be subject to the related excise tax, the named executive officer would be entitled to receive either full payment of benefits under his or her change in control or severance agreement or such lesser amount which would result in no portion of the benefits being subject to the excise tax, whichever results in the greater amount of after-tax benefits to the named executive officer. The change in control and severance agreements do not require us to provide any tax gross-up payments.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Under each named executive officer’s change in control and severance agreement, the following definitions are used:</w:t>
      </w:r>
    </w:p>
    <w:p>
      <w:pPr>
        <w:spacing w:after="0" w:line="138" w:lineRule="exact"/>
        <w:rPr>
          <w:sz w:val="20"/>
          <w:szCs w:val="20"/>
          <w:color w:val="auto"/>
        </w:rPr>
      </w:pPr>
    </w:p>
    <w:p>
      <w:pPr>
        <w:ind w:left="1100" w:hanging="350"/>
        <w:spacing w:after="0"/>
        <w:tabs>
          <w:tab w:leader="none" w:pos="1100" w:val="left"/>
        </w:tabs>
        <w:numPr>
          <w:ilvl w:val="0"/>
          <w:numId w:val="96"/>
        </w:numPr>
        <w:rPr>
          <w:rFonts w:ascii="Arial" w:cs="Arial" w:eastAsia="Arial" w:hAnsi="Arial"/>
          <w:sz w:val="19"/>
          <w:szCs w:val="19"/>
          <w:color w:val="auto"/>
        </w:rPr>
      </w:pPr>
      <w:r>
        <w:rPr>
          <w:rFonts w:ascii="Arial" w:cs="Arial" w:eastAsia="Arial" w:hAnsi="Arial"/>
          <w:sz w:val="19"/>
          <w:szCs w:val="19"/>
          <w:color w:val="auto"/>
        </w:rPr>
        <w:t>“Cause” means:</w:t>
      </w:r>
    </w:p>
    <w:p>
      <w:pPr>
        <w:spacing w:after="0" w:line="138" w:lineRule="exact"/>
        <w:rPr>
          <w:rFonts w:ascii="Arial" w:cs="Arial" w:eastAsia="Arial" w:hAnsi="Arial"/>
          <w:sz w:val="19"/>
          <w:szCs w:val="19"/>
          <w:color w:val="auto"/>
        </w:rPr>
      </w:pPr>
    </w:p>
    <w:p>
      <w:pPr>
        <w:ind w:left="1680" w:right="900" w:hanging="459"/>
        <w:spacing w:after="0" w:line="304" w:lineRule="auto"/>
        <w:tabs>
          <w:tab w:leader="none" w:pos="16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named executive officer’s dishonest statements or acts with respect to any Company Group member, or any current or prospective customers, suppliers vendors or other third parties with which such entity does business;</w:t>
      </w:r>
    </w:p>
    <w:p>
      <w:pPr>
        <w:spacing w:after="0" w:line="60" w:lineRule="exact"/>
        <w:rPr>
          <w:rFonts w:ascii="Arial" w:cs="Arial" w:eastAsia="Arial" w:hAnsi="Arial"/>
          <w:sz w:val="18"/>
          <w:szCs w:val="18"/>
          <w:color w:val="auto"/>
        </w:rPr>
      </w:pPr>
    </w:p>
    <w:p>
      <w:pPr>
        <w:ind w:left="1680" w:right="260" w:hanging="459"/>
        <w:spacing w:after="0" w:line="275" w:lineRule="auto"/>
        <w:tabs>
          <w:tab w:leader="none" w:pos="1680"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the named executive officer’s commission of (1) a felony or (2) any misdemeanor involving moral turpitude, deceit, dishonesty or fraud;</w:t>
      </w:r>
    </w:p>
    <w:p>
      <w:pPr>
        <w:spacing w:after="0" w:line="84" w:lineRule="exact"/>
        <w:rPr>
          <w:rFonts w:ascii="Arial" w:cs="Arial" w:eastAsia="Arial" w:hAnsi="Arial"/>
          <w:sz w:val="19"/>
          <w:szCs w:val="19"/>
          <w:color w:val="auto"/>
        </w:rPr>
      </w:pPr>
    </w:p>
    <w:p>
      <w:pPr>
        <w:ind w:left="1680" w:right="440" w:hanging="459"/>
        <w:spacing w:after="0" w:line="263" w:lineRule="auto"/>
        <w:tabs>
          <w:tab w:leader="none" w:pos="1680"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the named executive officer’s failure to perform his assigned duties and responsibilities to the reasonable satisfaction of the applicable Company Group member, which failure continues, in the reasonable judgment of the Company Group member, after written notice given to him by the Company Group member;</w:t>
      </w:r>
    </w:p>
    <w:p>
      <w:pPr>
        <w:spacing w:after="0" w:line="94" w:lineRule="exact"/>
        <w:rPr>
          <w:rFonts w:ascii="Arial" w:cs="Arial" w:eastAsia="Arial" w:hAnsi="Arial"/>
          <w:sz w:val="19"/>
          <w:szCs w:val="19"/>
          <w:color w:val="auto"/>
        </w:rPr>
      </w:pPr>
    </w:p>
    <w:p>
      <w:pPr>
        <w:ind w:left="1680" w:right="80" w:hanging="459"/>
        <w:spacing w:after="0" w:line="275" w:lineRule="auto"/>
        <w:tabs>
          <w:tab w:leader="none" w:pos="1680"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the named executive officer’s gross negligence, willful misconduct or insubordination with respect to any Company Group member; or</w:t>
      </w:r>
    </w:p>
    <w:p>
      <w:pPr>
        <w:spacing w:after="0" w:line="84" w:lineRule="exact"/>
        <w:rPr>
          <w:rFonts w:ascii="Arial" w:cs="Arial" w:eastAsia="Arial" w:hAnsi="Arial"/>
          <w:sz w:val="19"/>
          <w:szCs w:val="19"/>
          <w:color w:val="auto"/>
        </w:rPr>
      </w:pPr>
    </w:p>
    <w:p>
      <w:pPr>
        <w:ind w:left="1680" w:right="400" w:hanging="459"/>
        <w:spacing w:after="0" w:line="277" w:lineRule="auto"/>
        <w:tabs>
          <w:tab w:leader="none" w:pos="16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named executive officer’s material violation of any provision of any agreement(s) between him and any Company Group member relating to non-competition, non-solicitation, non-disclosure and/or assignment of inventions (such as the at-will employment, confidential information, invention assignment, and arbitration agreement with the named executive officer or any written Company Group policy or procedure to which the named executive officer is subject).</w:t>
      </w:r>
    </w:p>
    <w:p>
      <w:pPr>
        <w:spacing w:after="0" w:line="85" w:lineRule="exact"/>
        <w:rPr>
          <w:rFonts w:ascii="Arial" w:cs="Arial" w:eastAsia="Arial" w:hAnsi="Arial"/>
          <w:sz w:val="18"/>
          <w:szCs w:val="18"/>
          <w:color w:val="auto"/>
        </w:rPr>
      </w:pPr>
    </w:p>
    <w:p>
      <w:pPr>
        <w:ind w:left="1100" w:right="540" w:hanging="350"/>
        <w:spacing w:after="0" w:line="275" w:lineRule="auto"/>
        <w:tabs>
          <w:tab w:leader="none" w:pos="1100" w:val="left"/>
        </w:tabs>
        <w:numPr>
          <w:ilvl w:val="0"/>
          <w:numId w:val="96"/>
        </w:numPr>
        <w:rPr>
          <w:rFonts w:ascii="Arial" w:cs="Arial" w:eastAsia="Arial" w:hAnsi="Arial"/>
          <w:sz w:val="19"/>
          <w:szCs w:val="19"/>
          <w:color w:val="auto"/>
        </w:rPr>
      </w:pPr>
      <w:r>
        <w:rPr>
          <w:rFonts w:ascii="Arial" w:cs="Arial" w:eastAsia="Arial" w:hAnsi="Arial"/>
          <w:sz w:val="19"/>
          <w:szCs w:val="19"/>
          <w:color w:val="auto"/>
        </w:rPr>
        <w:t>“Good Reason” means that the named executive officer resigns from a Company Group member if one of the following events occurs without his consent:</w:t>
      </w:r>
    </w:p>
    <w:p>
      <w:pPr>
        <w:spacing w:after="0" w:line="84" w:lineRule="exact"/>
        <w:rPr>
          <w:rFonts w:ascii="Arial" w:cs="Arial" w:eastAsia="Arial" w:hAnsi="Arial"/>
          <w:sz w:val="19"/>
          <w:szCs w:val="19"/>
          <w:color w:val="auto"/>
        </w:rPr>
      </w:pPr>
    </w:p>
    <w:p>
      <w:pPr>
        <w:ind w:left="1680" w:hanging="459"/>
        <w:spacing w:after="0" w:line="254" w:lineRule="auto"/>
        <w:tabs>
          <w:tab w:leader="none" w:pos="1680" w:val="left"/>
        </w:tabs>
        <w:numPr>
          <w:ilvl w:val="1"/>
          <w:numId w:val="96"/>
        </w:numPr>
        <w:rPr>
          <w:rFonts w:ascii="Arial" w:cs="Arial" w:eastAsia="Arial" w:hAnsi="Arial"/>
          <w:sz w:val="19"/>
          <w:szCs w:val="19"/>
          <w:color w:val="auto"/>
        </w:rPr>
      </w:pPr>
      <w:r>
        <w:rPr>
          <w:rFonts w:ascii="Arial" w:cs="Arial" w:eastAsia="Arial" w:hAnsi="Arial"/>
          <w:sz w:val="19"/>
          <w:szCs w:val="19"/>
          <w:color w:val="auto"/>
        </w:rPr>
        <w:t>a material reduction of his duties, authorities, or responsibilities relative to his duties, authorities, or responsibilities in effect immediately prior to the reduction, provided that (1) any change that results in Dr. Rosenthal not serving as the chief executive officer of, or reporting directly to the board of directors of, the parent corporation in a group of controlled corporations including the Company or its assets (Parent) following a change in control (other than as the result of his voluntary resignation not at the request of the successor or the Parent) will be deemed to constitute a material reduction in his duties, authorities, and responsibilities constituting “Good Reason” and (2) that continued employment of a named executive officer (other than Dr. Rosenthal) following a change in control with substantially the same duties, authorities, or responsibilities with respect to the Company Group’s business and operations will not constitute “Good Reason”;</w:t>
      </w:r>
    </w:p>
    <w:p>
      <w:pPr>
        <w:spacing w:after="0" w:line="103" w:lineRule="exact"/>
        <w:rPr>
          <w:rFonts w:ascii="Arial" w:cs="Arial" w:eastAsia="Arial" w:hAnsi="Arial"/>
          <w:sz w:val="19"/>
          <w:szCs w:val="19"/>
          <w:color w:val="auto"/>
        </w:rPr>
      </w:pPr>
    </w:p>
    <w:p>
      <w:pPr>
        <w:ind w:left="1680" w:right="560" w:hanging="459"/>
        <w:spacing w:after="0" w:line="275" w:lineRule="auto"/>
        <w:tabs>
          <w:tab w:leader="none" w:pos="1680" w:val="left"/>
        </w:tabs>
        <w:numPr>
          <w:ilvl w:val="1"/>
          <w:numId w:val="96"/>
        </w:numPr>
        <w:rPr>
          <w:rFonts w:ascii="Arial" w:cs="Arial" w:eastAsia="Arial" w:hAnsi="Arial"/>
          <w:sz w:val="19"/>
          <w:szCs w:val="19"/>
          <w:color w:val="auto"/>
        </w:rPr>
      </w:pPr>
      <w:r>
        <w:rPr>
          <w:rFonts w:ascii="Arial" w:cs="Arial" w:eastAsia="Arial" w:hAnsi="Arial"/>
          <w:sz w:val="19"/>
          <w:szCs w:val="19"/>
          <w:color w:val="auto"/>
        </w:rPr>
        <w:t>a material diminution in his base salary except for across-the-board salary reductions similarly affecting all or substantially all similarly situated employees of the applicable Company Group member, or</w:t>
      </w:r>
    </w:p>
    <w:p>
      <w:pPr>
        <w:spacing w:after="0" w:line="84" w:lineRule="exact"/>
        <w:rPr>
          <w:rFonts w:ascii="Arial" w:cs="Arial" w:eastAsia="Arial" w:hAnsi="Arial"/>
          <w:sz w:val="19"/>
          <w:szCs w:val="19"/>
          <w:color w:val="auto"/>
        </w:rPr>
      </w:pPr>
    </w:p>
    <w:p>
      <w:pPr>
        <w:ind w:left="1680" w:hanging="459"/>
        <w:spacing w:after="0"/>
        <w:tabs>
          <w:tab w:leader="none" w:pos="1680" w:val="left"/>
        </w:tabs>
        <w:numPr>
          <w:ilvl w:val="1"/>
          <w:numId w:val="96"/>
        </w:numPr>
        <w:rPr>
          <w:rFonts w:ascii="Arial" w:cs="Arial" w:eastAsia="Arial" w:hAnsi="Arial"/>
          <w:sz w:val="17"/>
          <w:szCs w:val="17"/>
          <w:color w:val="auto"/>
        </w:rPr>
      </w:pPr>
      <w:r>
        <w:rPr>
          <w:rFonts w:ascii="Arial" w:cs="Arial" w:eastAsia="Arial" w:hAnsi="Arial"/>
          <w:sz w:val="17"/>
          <w:szCs w:val="17"/>
          <w:color w:val="auto"/>
        </w:rPr>
        <w:t>a change of more than 50 miles in the geographic location at which he provides services to the applicable Company Group member.</w:t>
      </w:r>
    </w:p>
    <w:p>
      <w:pPr>
        <w:spacing w:after="0" w:line="261" w:lineRule="exact"/>
        <w:rPr>
          <w:sz w:val="20"/>
          <w:szCs w:val="20"/>
          <w:color w:val="auto"/>
        </w:rPr>
      </w:pPr>
    </w:p>
    <w:p>
      <w:pPr>
        <w:ind w:left="1120" w:right="120"/>
        <w:spacing w:after="0" w:line="275" w:lineRule="auto"/>
        <w:rPr>
          <w:sz w:val="20"/>
          <w:szCs w:val="20"/>
          <w:color w:val="auto"/>
        </w:rPr>
      </w:pPr>
      <w:r>
        <w:rPr>
          <w:rFonts w:ascii="Arial" w:cs="Arial" w:eastAsia="Arial" w:hAnsi="Arial"/>
          <w:sz w:val="19"/>
          <w:szCs w:val="19"/>
          <w:color w:val="auto"/>
        </w:rPr>
        <w:t>For “Good Reason” to be established, the named executive officer must provide written notice to our Chief Executive Officer (or our board of directors in the case of Dr. Rosenthal) and the applicable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146</w:t>
      </w:r>
    </w:p>
    <w:p>
      <w:pPr>
        <w:sectPr>
          <w:pgSz w:w="12240" w:h="15840" w:orient="portrait"/>
          <w:cols w:equalWidth="0" w:num="1">
            <w:col w:w="11820"/>
          </w:cols>
          <w:pgMar w:left="120" w:top="336" w:right="300" w:bottom="1440" w:gutter="0" w:footer="0" w:header="0"/>
        </w:sectPr>
      </w:pPr>
    </w:p>
    <w:bookmarkStart w:id="154" w:name="page155"/>
    <w:bookmarkEnd w:id="15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20" w:right="20"/>
        <w:spacing w:after="0" w:line="259" w:lineRule="auto"/>
        <w:rPr>
          <w:sz w:val="20"/>
          <w:szCs w:val="20"/>
          <w:color w:val="auto"/>
        </w:rPr>
      </w:pPr>
      <w:r>
        <w:rPr>
          <w:rFonts w:ascii="Arial" w:cs="Arial" w:eastAsia="Arial" w:hAnsi="Arial"/>
          <w:sz w:val="19"/>
          <w:szCs w:val="19"/>
          <w:color w:val="auto"/>
        </w:rPr>
        <w:t>Company Group member within 90 days immediately following such alleged events, the applicable Company Group member must fail to materially remedy such event within 30 days after receipt of such notice, and the named executive officer’s resignation must be effective not later than 90 days from the occurrence of the alleged triggering event, and must not be effective until after the expiration of the notice and cure periods described above.</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Executive Incentive Compensation Plan</w:t>
      </w:r>
    </w:p>
    <w:p>
      <w:pPr>
        <w:spacing w:after="0" w:line="124" w:lineRule="exact"/>
        <w:rPr>
          <w:sz w:val="20"/>
          <w:szCs w:val="20"/>
          <w:color w:val="auto"/>
        </w:rPr>
      </w:pPr>
    </w:p>
    <w:p>
      <w:pPr>
        <w:ind w:left="180" w:right="120" w:firstLine="465"/>
        <w:spacing w:after="0" w:line="270" w:lineRule="auto"/>
        <w:rPr>
          <w:sz w:val="20"/>
          <w:szCs w:val="20"/>
          <w:color w:val="auto"/>
        </w:rPr>
      </w:pPr>
      <w:r>
        <w:rPr>
          <w:rFonts w:ascii="Arial" w:cs="Arial" w:eastAsia="Arial" w:hAnsi="Arial"/>
          <w:sz w:val="18"/>
          <w:szCs w:val="18"/>
          <w:color w:val="auto"/>
        </w:rPr>
        <w:t>Prior to the completion of this offering, our board of directors intends to adopt our Executive Incentive Compensation Plan (the Incentive Compensation Plan). The Incentive Compensation Plan will be administered by a committee appointed by our board of directors. Unless and until our board of directors determines otherwise, our compensation committee will be the administrator of the Incentive Compensation Plan. The Incentive Compensation Plan allows our compensation committee to provide cash incentive awards to selected employees, including our named executive officers, determined by our compensation committee, based upon performance goals established by our compensation committee. Our compensation committee, in its sole discretion, will establish a target award for each participant under the Incentive Compensation Plan, which may be expressed as a percentage of the participant’s average annual base salary for the applicable performance period, a fixed dollar amount, or such other amount or based on such other formula as our compensation committee determines to be appropriate.</w:t>
      </w:r>
    </w:p>
    <w:p>
      <w:pPr>
        <w:spacing w:after="0" w:line="191" w:lineRule="exact"/>
        <w:rPr>
          <w:sz w:val="20"/>
          <w:szCs w:val="20"/>
          <w:color w:val="auto"/>
        </w:rPr>
      </w:pPr>
    </w:p>
    <w:p>
      <w:pPr>
        <w:ind w:left="180" w:firstLine="465"/>
        <w:spacing w:after="0" w:line="283" w:lineRule="auto"/>
        <w:rPr>
          <w:sz w:val="20"/>
          <w:szCs w:val="20"/>
          <w:color w:val="auto"/>
        </w:rPr>
      </w:pPr>
      <w:r>
        <w:rPr>
          <w:rFonts w:ascii="Arial" w:cs="Arial" w:eastAsia="Arial" w:hAnsi="Arial"/>
          <w:sz w:val="17"/>
          <w:szCs w:val="17"/>
          <w:color w:val="auto"/>
        </w:rPr>
        <w:t>Under the Incentive Compensation Plan, our compensation committee will determine the performance goals applicable to awards, which goals may include, without limitation: attainment of research and development milestones, bookings, business divestitures and acquisitions, cash flow, cash position, contract awards or backlog, customer renewals, customer retention rates from an acquired company, subsidiary, business unit or division, earnings (which may include earnings before interest and taxes, earnings before taxes, and net taxes), earnings per share, expenses, gross margin, growth in stockholder value relative to the moving average of the S&amp;P 500 Index or another index, internal rate of return, market share, net income, net profit, net sales, new product development, new product invention or innovation, number of customers, operating cash flow, operating expenses, operating income, operating margin, overhead or other expense reduction, product defect measures, product release timelines, productivity, profit, retained earnings, return on assets, return on capital, return on equity, return on investment, return on sales, revenue, revenue growth, sales results, sales growth, stock price, time to market, total stockholder return, working capital, and individual objectives such as peer reviews or other subjective or objective criteria. As determined by our compensation committee, the performance goals may be based on GAAP or non-GAAP results and any actual results may be adjusted by our compensation committee for one-time items or unbudgeted or unexpected items and/or payments of actual awards under the Incentive Compensation Plan when determining whether the performance goals have been met. The goals may be on the basis of any factors our compensation committee determines relevant, and may be on an individual, divisional, business unit, segment or company-wide basis. Any criteria used may be measured on such basis as our compensation committee determines. The performance goals may differ from participant to participant and from award to award. Our compensation committee also may determine that a target award or a portion thereof will not have a performance goal associated with it but instead will be granted (if at all) in the compensation committee’s sole discretion.</w:t>
      </w:r>
    </w:p>
    <w:p>
      <w:pPr>
        <w:spacing w:after="0" w:line="191" w:lineRule="exact"/>
        <w:rPr>
          <w:sz w:val="20"/>
          <w:szCs w:val="20"/>
          <w:color w:val="auto"/>
        </w:rPr>
      </w:pPr>
    </w:p>
    <w:p>
      <w:pPr>
        <w:ind w:left="180" w:right="20" w:firstLine="465"/>
        <w:spacing w:after="0" w:line="298" w:lineRule="auto"/>
        <w:rPr>
          <w:sz w:val="20"/>
          <w:szCs w:val="20"/>
          <w:color w:val="auto"/>
        </w:rPr>
      </w:pPr>
      <w:r>
        <w:rPr>
          <w:rFonts w:ascii="Arial" w:cs="Arial" w:eastAsia="Arial" w:hAnsi="Arial"/>
          <w:sz w:val="17"/>
          <w:szCs w:val="17"/>
          <w:color w:val="auto"/>
        </w:rPr>
        <w:t>Our compensation committee may, in its sole discretion and at any time, increase, reduce or eliminate a participant’s actual award, and/or increase, reduce or eliminate the amount allocated to the bonus pool. The actual award may be below, at or above a participant’s target award, in our compensation committee’s discretion. Our compensation committee may determine the amount of any increase, reduction or elimination on the basis of such factors as it deems relevant, and it will not be required to establish any allocation or weighting with respect to the factors it considers.</w:t>
      </w:r>
    </w:p>
    <w:p>
      <w:pPr>
        <w:spacing w:after="0" w:line="170" w:lineRule="exact"/>
        <w:rPr>
          <w:sz w:val="20"/>
          <w:szCs w:val="20"/>
          <w:color w:val="auto"/>
        </w:rPr>
      </w:pPr>
    </w:p>
    <w:p>
      <w:pPr>
        <w:ind w:left="180" w:right="60" w:firstLine="465"/>
        <w:spacing w:after="0" w:line="263" w:lineRule="auto"/>
        <w:rPr>
          <w:sz w:val="20"/>
          <w:szCs w:val="20"/>
          <w:color w:val="auto"/>
        </w:rPr>
      </w:pPr>
      <w:r>
        <w:rPr>
          <w:rFonts w:ascii="Arial" w:cs="Arial" w:eastAsia="Arial" w:hAnsi="Arial"/>
          <w:sz w:val="19"/>
          <w:szCs w:val="19"/>
          <w:color w:val="auto"/>
        </w:rPr>
        <w:t>Actual awards will generally be paid in cash (or its equivalent) in a single lump sum only after they are earned and approved by our compensation committee. Our compensation committee has the right, in its sole discretion, to settle an actual award with a grant of an equity award under our then-current equity compensation</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147</w:t>
      </w:r>
    </w:p>
    <w:p>
      <w:pPr>
        <w:sectPr>
          <w:pgSz w:w="12240" w:h="15840" w:orient="portrait"/>
          <w:cols w:equalWidth="0" w:num="1">
            <w:col w:w="11820"/>
          </w:cols>
          <w:pgMar w:left="120" w:top="336" w:right="300" w:bottom="1440" w:gutter="0" w:footer="0" w:header="0"/>
        </w:sectPr>
      </w:pPr>
    </w:p>
    <w:bookmarkStart w:id="155" w:name="page156"/>
    <w:bookmarkEnd w:id="15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60"/>
        <w:spacing w:after="0" w:line="259" w:lineRule="auto"/>
        <w:rPr>
          <w:sz w:val="20"/>
          <w:szCs w:val="20"/>
          <w:color w:val="auto"/>
        </w:rPr>
      </w:pPr>
      <w:r>
        <w:rPr>
          <w:rFonts w:ascii="Arial" w:cs="Arial" w:eastAsia="Arial" w:hAnsi="Arial"/>
          <w:sz w:val="19"/>
          <w:szCs w:val="19"/>
          <w:color w:val="auto"/>
        </w:rPr>
        <w:t>plan, which equity award may have such terms and conditions, including vesting, as our compensation committee determines in its sole discretion. Unless otherwise determined by our compensation committee, to earn an actual award, a participant must be employed by us (or an affiliate of us, as applicable) through the date the actual award is paid. Payment of bonuses occurs as soon as administratively practicable after the end of the applicable performance period, but no later than the dates set forth in the Incentive Compensation Plan.</w:t>
      </w:r>
    </w:p>
    <w:p>
      <w:pPr>
        <w:spacing w:after="0" w:line="198" w:lineRule="exact"/>
        <w:rPr>
          <w:sz w:val="20"/>
          <w:szCs w:val="20"/>
          <w:color w:val="auto"/>
        </w:rPr>
      </w:pPr>
    </w:p>
    <w:p>
      <w:pPr>
        <w:ind w:left="180" w:right="60" w:firstLine="465"/>
        <w:spacing w:after="0" w:line="263" w:lineRule="auto"/>
        <w:rPr>
          <w:sz w:val="20"/>
          <w:szCs w:val="20"/>
          <w:color w:val="auto"/>
        </w:rPr>
      </w:pPr>
      <w:r>
        <w:rPr>
          <w:rFonts w:ascii="Arial" w:cs="Arial" w:eastAsia="Arial" w:hAnsi="Arial"/>
          <w:sz w:val="19"/>
          <w:szCs w:val="19"/>
          <w:color w:val="auto"/>
        </w:rPr>
        <w:t>Our board of directors will have the authority to amend or terminate the Incentive Compensation Plan provided such action does not alter or impair the existing rights of any participant with respect to any earned actual award without the participant’s consent. The Incentive Compensation Plan will remain in effect until terminated in accordance with the terms of the Incentive Compensation Plan.</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Employee Benefit and Stock Plans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2019 Equity Incentive Plan</w:t>
      </w:r>
    </w:p>
    <w:p>
      <w:pPr>
        <w:spacing w:after="0" w:line="124" w:lineRule="exact"/>
        <w:rPr>
          <w:sz w:val="20"/>
          <w:szCs w:val="20"/>
          <w:color w:val="auto"/>
        </w:rPr>
      </w:pPr>
    </w:p>
    <w:p>
      <w:pPr>
        <w:ind w:left="180" w:firstLine="465"/>
        <w:spacing w:after="0" w:line="294" w:lineRule="auto"/>
        <w:rPr>
          <w:sz w:val="20"/>
          <w:szCs w:val="20"/>
          <w:color w:val="auto"/>
        </w:rPr>
      </w:pPr>
      <w:r>
        <w:rPr>
          <w:rFonts w:ascii="Arial" w:cs="Arial" w:eastAsia="Arial" w:hAnsi="Arial"/>
          <w:sz w:val="17"/>
          <w:szCs w:val="17"/>
          <w:color w:val="auto"/>
        </w:rPr>
        <w:t>Our board of directors has adopted, and our stockholders have approved, our 2019 Plan. The 2019 Plan will be effective on the business day immediately prior to the effective date of the registration statement of which this prospectus forms a part. Our 2019 Plan will provide for the grant of incentive stock options, within the meaning of Section 422 of the Code, to our employees and any of our parent and subsidiary corporations’ employees, and for the grant of nonstatutory stock options, restricted stock, restricted stock units, stock appreciation rights, performance units, and performance shares to our employees, directors, and consultants and our subsidiary corporations’ employees and consultants.</w:t>
      </w:r>
    </w:p>
    <w:p>
      <w:pPr>
        <w:spacing w:after="0" w:line="172" w:lineRule="exact"/>
        <w:rPr>
          <w:sz w:val="20"/>
          <w:szCs w:val="20"/>
          <w:color w:val="auto"/>
        </w:rPr>
      </w:pPr>
    </w:p>
    <w:p>
      <w:pPr>
        <w:ind w:left="180" w:right="60" w:firstLine="465"/>
        <w:spacing w:after="0" w:line="271"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A total of 7,688,156 shares of our common stock are reserved for issuance pursuant to our 2019 Plan. In addition,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reserved for issuance under our 2019 Plan will also include (1) those shares reserved but unissued under our 2017 Plan (as defined below) as of the date of stockholder approval of the 2019 Plan and (2) shares of our common stock subject to or issued pursuant to awards granted under our 2017 Plan that, after the date of stockholder approval of the 2019 Plan, expire or otherwise terminate without having been exercised in full or are forfeited to or repurchased by us (provided that the maximum number of shares that may be added to the 2019 Plan pursuant to (1) and (2) is 5,184,750 shares). The number of shares available for issuance under our 2019 Plan will also include an annual increase on the first day of each fiscal year beginning with our 2019 fiscal year, equal to the least of:</w:t>
      </w:r>
    </w:p>
    <w:p>
      <w:pPr>
        <w:spacing w:after="0" w:line="90" w:lineRule="exact"/>
        <w:rPr>
          <w:sz w:val="20"/>
          <w:szCs w:val="20"/>
          <w:color w:val="auto"/>
        </w:rPr>
      </w:pPr>
    </w:p>
    <w:p>
      <w:pPr>
        <w:ind w:left="1100" w:hanging="350"/>
        <w:spacing w:after="0"/>
        <w:tabs>
          <w:tab w:leader="none" w:pos="1100" w:val="left"/>
        </w:tabs>
        <w:numPr>
          <w:ilvl w:val="0"/>
          <w:numId w:val="97"/>
        </w:numPr>
        <w:rPr>
          <w:rFonts w:ascii="Arial" w:cs="Arial" w:eastAsia="Arial" w:hAnsi="Arial"/>
          <w:sz w:val="19"/>
          <w:szCs w:val="19"/>
          <w:color w:val="auto"/>
        </w:rPr>
      </w:pPr>
      <w:r>
        <w:rPr>
          <w:rFonts w:ascii="Arial" w:cs="Arial" w:eastAsia="Arial" w:hAnsi="Arial"/>
          <w:sz w:val="19"/>
          <w:szCs w:val="19"/>
          <w:color w:val="auto"/>
        </w:rPr>
        <w:t>7,096,760 shares;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97"/>
        </w:numPr>
        <w:rPr>
          <w:rFonts w:ascii="Arial" w:cs="Arial" w:eastAsia="Arial" w:hAnsi="Arial"/>
          <w:sz w:val="19"/>
          <w:szCs w:val="19"/>
          <w:color w:val="auto"/>
        </w:rPr>
      </w:pPr>
      <w:r>
        <w:rPr>
          <w:rFonts w:ascii="Arial" w:cs="Arial" w:eastAsia="Arial" w:hAnsi="Arial"/>
          <w:sz w:val="19"/>
          <w:szCs w:val="19"/>
          <w:color w:val="auto"/>
        </w:rPr>
        <w:t>5% of the outstanding shares of our common stock as of the last day of the immediately preceding fiscal year; or</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97"/>
        </w:numPr>
        <w:rPr>
          <w:rFonts w:ascii="Arial" w:cs="Arial" w:eastAsia="Arial" w:hAnsi="Arial"/>
          <w:sz w:val="19"/>
          <w:szCs w:val="19"/>
          <w:color w:val="auto"/>
        </w:rPr>
      </w:pPr>
      <w:r>
        <w:rPr>
          <w:rFonts w:ascii="Arial" w:cs="Arial" w:eastAsia="Arial" w:hAnsi="Arial"/>
          <w:sz w:val="19"/>
          <w:szCs w:val="19"/>
          <w:color w:val="auto"/>
        </w:rPr>
        <w:t>such other amount as our board of directors may determine.</w:t>
      </w:r>
    </w:p>
    <w:p>
      <w:pPr>
        <w:spacing w:after="0" w:line="238" w:lineRule="exact"/>
        <w:rPr>
          <w:sz w:val="20"/>
          <w:szCs w:val="20"/>
          <w:color w:val="auto"/>
        </w:rPr>
      </w:pPr>
    </w:p>
    <w:p>
      <w:pPr>
        <w:ind w:left="180" w:right="20" w:firstLine="465"/>
        <w:spacing w:after="0" w:line="286" w:lineRule="auto"/>
        <w:rPr>
          <w:sz w:val="20"/>
          <w:szCs w:val="20"/>
          <w:color w:val="auto"/>
        </w:rPr>
      </w:pPr>
      <w:r>
        <w:rPr>
          <w:rFonts w:ascii="Arial" w:cs="Arial" w:eastAsia="Arial" w:hAnsi="Arial"/>
          <w:sz w:val="17"/>
          <w:szCs w:val="17"/>
          <w:color w:val="auto"/>
        </w:rPr>
        <w:t>If an award expires or becomes unexercisable without having been exercised in full, is surrendered pursuant to an exchange program, or, with respect to restricted stock, restricted stock units, performance units or performance shares, is forfeited to or repurchased by us due to failure to vest, the unpurchased shares (or for awards other than stock options or stock appreciation rights, the forfeited or repurchased shares) will become available for future grant or sale under the 2019 Plan (unless the 2019 Plan has terminated). With respect to stock appreciation rights, only the net shares actually issued will cease to be available under the 2019 Plan and all remaining shares under stock appreciation rights will remain available for future grant or sale under the 2019 Plan (unless the 2019 Plan has terminated). Shares that have actually been issued under the 2019 Plan will not be returned to the 2019 Plan except if shares issued pursuant to awards of restricted stock, restricted stock units, performance shares, or performance units are repurchased by or forfeited to us, such shares will become available for future grant under the 2019 Plan. Shares used to pay the exercise price of an award or satisfy the tax withholding obligations related to an award will become available for future grant or sale under the 2019 Plan. To the extent an award is paid out in cash rather than shares, such cash payment will not result in a reduction in the number of shares available for issuance under the 2019 Plan.</w:t>
      </w:r>
    </w:p>
    <w:p>
      <w:pPr>
        <w:spacing w:after="0" w:line="181" w:lineRule="exact"/>
        <w:rPr>
          <w:sz w:val="20"/>
          <w:szCs w:val="20"/>
          <w:color w:val="auto"/>
        </w:rPr>
      </w:pPr>
    </w:p>
    <w:p>
      <w:pPr>
        <w:ind w:left="180" w:right="320" w:firstLine="465"/>
        <w:spacing w:after="0" w:line="275" w:lineRule="auto"/>
        <w:rPr>
          <w:sz w:val="20"/>
          <w:szCs w:val="20"/>
          <w:color w:val="auto"/>
        </w:rPr>
      </w:pPr>
      <w:r>
        <w:rPr>
          <w:rFonts w:ascii="Arial" w:cs="Arial" w:eastAsia="Arial" w:hAnsi="Arial"/>
          <w:sz w:val="19"/>
          <w:szCs w:val="19"/>
          <w:i w:val="1"/>
          <w:iCs w:val="1"/>
          <w:color w:val="auto"/>
        </w:rPr>
        <w:t>Plan Administration</w:t>
      </w:r>
      <w:r>
        <w:rPr>
          <w:rFonts w:ascii="Arial" w:cs="Arial" w:eastAsia="Arial" w:hAnsi="Arial"/>
          <w:sz w:val="19"/>
          <w:szCs w:val="19"/>
          <w:color w:val="auto"/>
        </w:rPr>
        <w:t>. Our board of directors or one or more committees appointed by our board of directors will administer our 2019 Plan. We</w:t>
      </w:r>
      <w:r>
        <w:rPr>
          <w:rFonts w:ascii="Arial" w:cs="Arial" w:eastAsia="Arial" w:hAnsi="Arial"/>
          <w:sz w:val="19"/>
          <w:szCs w:val="19"/>
          <w:i w:val="1"/>
          <w:iCs w:val="1"/>
          <w:color w:val="auto"/>
        </w:rPr>
        <w:t xml:space="preserve"> </w:t>
      </w:r>
      <w:r>
        <w:rPr>
          <w:rFonts w:ascii="Arial" w:cs="Arial" w:eastAsia="Arial" w:hAnsi="Arial"/>
          <w:sz w:val="19"/>
          <w:szCs w:val="19"/>
          <w:color w:val="auto"/>
        </w:rPr>
        <w:t>expect that the compensation committee of our board of directors will initially</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148</w:t>
      </w:r>
    </w:p>
    <w:p>
      <w:pPr>
        <w:sectPr>
          <w:pgSz w:w="12240" w:h="15840" w:orient="portrait"/>
          <w:cols w:equalWidth="0" w:num="1">
            <w:col w:w="11780"/>
          </w:cols>
          <w:pgMar w:left="120" w:top="336" w:right="340" w:bottom="1440" w:gutter="0" w:footer="0" w:header="0"/>
        </w:sectPr>
      </w:pPr>
    </w:p>
    <w:bookmarkStart w:id="156" w:name="page157"/>
    <w:bookmarkEnd w:id="15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0"/>
        <w:spacing w:after="0" w:line="284" w:lineRule="auto"/>
        <w:rPr>
          <w:sz w:val="20"/>
          <w:szCs w:val="20"/>
          <w:color w:val="auto"/>
        </w:rPr>
      </w:pPr>
      <w:r>
        <w:rPr>
          <w:rFonts w:ascii="Arial" w:cs="Arial" w:eastAsia="Arial" w:hAnsi="Arial"/>
          <w:sz w:val="17"/>
          <w:szCs w:val="17"/>
          <w:color w:val="auto"/>
        </w:rPr>
        <w:t>administer our 2019 Plan. In addition, if we determine it is desirable to qualify transactions under our 2019 Plan as exempt under Rule 16b-3 of the Exchange Act, such transactions will be structured to satisfy the requirements for exemption under Rule 16b-3. Subject to the provisions of our 2019 Plan, the administrator has the power to administer our 2019 Plan and make all determinations deemed necessary or advisable for administering the 2019 Plan, including but not limited to, the power to determine the fair market value of our common stock, select the service providers to whom awards may be granted, determine the number of shares covered by each award, approve forms of award agreements for use under the 2019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2019 Plan and awards granted under it, prescribe, amend and rescind rules relating to our 2019 Plan, including creating sub-plans, modify, or amend each award, including but not limited to the discretionary authority to extend the post-termination exercisability period of awards (except no option or stock appreciation right will be extended past its original maximum term), and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are final and binding on all participants.</w:t>
      </w:r>
    </w:p>
    <w:p>
      <w:pPr>
        <w:spacing w:after="0" w:line="181" w:lineRule="exact"/>
        <w:rPr>
          <w:sz w:val="20"/>
          <w:szCs w:val="20"/>
          <w:color w:val="auto"/>
        </w:rPr>
      </w:pPr>
    </w:p>
    <w:p>
      <w:pPr>
        <w:ind w:left="180" w:firstLine="465"/>
        <w:spacing w:after="0" w:line="268"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may be granted under our 2019 Plan. The exercise price of options granted under our 2019 Plan must at least be</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fair market value of our common stock on the date of grant. The term of an option may not exceed ten years. With respect to any participant who owns more than 10% of the voting power of all classes of our (or any parent or subsidiary of ours)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12 months following the termination of service. In all other cases, in the absence of a specified time in an award agreement, the option will remain exercisable for three months following the termination of service. An option, however, may not be exercised later than the expiration of its term. Subject to the provisions of our 2019 Plan, the administrator determines the other terms of options.</w:t>
      </w:r>
    </w:p>
    <w:p>
      <w:pPr>
        <w:spacing w:after="0" w:line="196" w:lineRule="exact"/>
        <w:rPr>
          <w:sz w:val="20"/>
          <w:szCs w:val="20"/>
          <w:color w:val="auto"/>
        </w:rPr>
      </w:pPr>
    </w:p>
    <w:p>
      <w:pPr>
        <w:ind w:left="180" w:right="100" w:firstLine="465"/>
        <w:spacing w:after="0" w:line="268"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Stock appreciation rights may be granted under our 2019 Plan. Stock appreciation rights allow the recipient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the 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12 months following the termination of service.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2019 Plan, the 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96" w:lineRule="exact"/>
        <w:rPr>
          <w:sz w:val="20"/>
          <w:szCs w:val="20"/>
          <w:color w:val="auto"/>
        </w:rPr>
      </w:pPr>
    </w:p>
    <w:p>
      <w:pPr>
        <w:ind w:left="180" w:right="20" w:firstLine="465"/>
        <w:spacing w:after="0" w:line="275" w:lineRule="auto"/>
        <w:rPr>
          <w:sz w:val="20"/>
          <w:szCs w:val="20"/>
          <w:color w:val="auto"/>
        </w:rPr>
      </w:pPr>
      <w:r>
        <w:rPr>
          <w:rFonts w:ascii="Arial" w:cs="Arial" w:eastAsia="Arial" w:hAnsi="Arial"/>
          <w:sz w:val="19"/>
          <w:szCs w:val="19"/>
          <w:i w:val="1"/>
          <w:iCs w:val="1"/>
          <w:color w:val="auto"/>
        </w:rPr>
        <w:t>Restricted Stock</w:t>
      </w:r>
      <w:r>
        <w:rPr>
          <w:rFonts w:ascii="Arial" w:cs="Arial" w:eastAsia="Arial" w:hAnsi="Arial"/>
          <w:sz w:val="19"/>
          <w:szCs w:val="19"/>
          <w:color w:val="auto"/>
        </w:rPr>
        <w:t>. Restricted stock may be granted under our 2019 Plan. Restricted stock awards are grants of shares of our common stock that vest</w:t>
      </w:r>
      <w:r>
        <w:rPr>
          <w:rFonts w:ascii="Arial" w:cs="Arial" w:eastAsia="Arial" w:hAnsi="Arial"/>
          <w:sz w:val="19"/>
          <w:szCs w:val="19"/>
          <w:i w:val="1"/>
          <w:iCs w:val="1"/>
          <w:color w:val="auto"/>
        </w:rPr>
        <w:t xml:space="preserve"> </w:t>
      </w:r>
      <w:r>
        <w:rPr>
          <w:rFonts w:ascii="Arial" w:cs="Arial" w:eastAsia="Arial" w:hAnsi="Arial"/>
          <w:sz w:val="19"/>
          <w:szCs w:val="19"/>
          <w:color w:val="auto"/>
        </w:rPr>
        <w:t>in accordance with terms and conditions established by the administrator.</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149</w:t>
      </w:r>
    </w:p>
    <w:p>
      <w:pPr>
        <w:sectPr>
          <w:pgSz w:w="12240" w:h="15840" w:orient="portrait"/>
          <w:cols w:equalWidth="0" w:num="1">
            <w:col w:w="11800"/>
          </w:cols>
          <w:pgMar w:left="120" w:top="336" w:right="320" w:bottom="1440" w:gutter="0" w:footer="0" w:header="0"/>
        </w:sectPr>
      </w:pPr>
    </w:p>
    <w:bookmarkStart w:id="157" w:name="page158"/>
    <w:bookmarkEnd w:id="15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spacing w:after="0" w:line="272" w:lineRule="auto"/>
        <w:rPr>
          <w:sz w:val="20"/>
          <w:szCs w:val="20"/>
          <w:color w:val="auto"/>
        </w:rPr>
      </w:pPr>
      <w:r>
        <w:rPr>
          <w:rFonts w:ascii="Arial" w:cs="Arial" w:eastAsia="Arial" w:hAnsi="Arial"/>
          <w:sz w:val="18"/>
          <w:szCs w:val="18"/>
          <w:color w:val="auto"/>
        </w:rPr>
        <w:t>The administrator will determine the number of shares of restricted stock granted to any employee, director, or consultant and, subject to the provisions of our 2019 Plan, will determine the terms and conditions of such awards. The administrator may impose whatever vesting conditions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190" w:lineRule="exact"/>
        <w:rPr>
          <w:sz w:val="20"/>
          <w:szCs w:val="20"/>
          <w:color w:val="auto"/>
        </w:rPr>
      </w:pPr>
    </w:p>
    <w:p>
      <w:pPr>
        <w:ind w:left="180" w:right="120" w:firstLine="465"/>
        <w:spacing w:after="0" w:line="271"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Restricted stock units may be granted under our 2019 Plan. Restricted stock units are bookkeeping entries representing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the fair market value of one share of our common stock. Subject to the provisions of our 2019 Plan, the administrator determines the terms and conditions of RSUs, including the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In addition, the administrator, in its sole discretion, may accelerate the time at which any restrictions will lapse or be removed.</w:t>
      </w:r>
    </w:p>
    <w:p>
      <w:pPr>
        <w:spacing w:after="0" w:line="189" w:lineRule="exact"/>
        <w:rPr>
          <w:sz w:val="20"/>
          <w:szCs w:val="20"/>
          <w:color w:val="auto"/>
        </w:rPr>
      </w:pPr>
    </w:p>
    <w:p>
      <w:pPr>
        <w:ind w:left="180" w:firstLine="465"/>
        <w:spacing w:after="0" w:line="268" w:lineRule="auto"/>
        <w:rPr>
          <w:sz w:val="20"/>
          <w:szCs w:val="20"/>
          <w:color w:val="auto"/>
        </w:rPr>
      </w:pPr>
      <w:r>
        <w:rPr>
          <w:rFonts w:ascii="Arial" w:cs="Arial" w:eastAsia="Arial" w:hAnsi="Arial"/>
          <w:sz w:val="18"/>
          <w:szCs w:val="18"/>
          <w:i w:val="1"/>
          <w:iCs w:val="1"/>
          <w:color w:val="auto"/>
        </w:rPr>
        <w:t>Performance Units and Performance Shares</w:t>
      </w:r>
      <w:r>
        <w:rPr>
          <w:rFonts w:ascii="Arial" w:cs="Arial" w:eastAsia="Arial" w:hAnsi="Arial"/>
          <w:sz w:val="18"/>
          <w:szCs w:val="18"/>
          <w:color w:val="auto"/>
        </w:rPr>
        <w:t>. Performance units and performance shares may be granted under our 2019 Plan. Performance units</w:t>
      </w:r>
      <w:r>
        <w:rPr>
          <w:rFonts w:ascii="Arial" w:cs="Arial" w:eastAsia="Arial" w:hAnsi="Arial"/>
          <w:sz w:val="18"/>
          <w:szCs w:val="18"/>
          <w:i w:val="1"/>
          <w:iCs w:val="1"/>
          <w:color w:val="auto"/>
        </w:rPr>
        <w:t xml:space="preserve"> </w:t>
      </w:r>
      <w:r>
        <w:rPr>
          <w:rFonts w:ascii="Arial" w:cs="Arial" w:eastAsia="Arial" w:hAnsi="Arial"/>
          <w:sz w:val="18"/>
          <w:szCs w:val="18"/>
          <w:color w:val="auto"/>
        </w:rPr>
        <w:t>and performance shares are awards that will result in a payment to a participant only if performance objectives established by the administrator are achieved or the awards otherwise vest. The administrator will establish performance objectives or other vesting criteria in its discretion, which, depending on the extent to which they are met, will determine the number 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objectives or other vesting provisions for such performance units or performance shares. Performance units will have an initial value established by the administrator on or prior to the grant date. Performance shares will have an initial value equal to the fair market value of our common stock on the grant date. The administrator, in its sole discretion, may pay out earned performance units or performance shares in cash, shares, or in some combination thereof.</w:t>
      </w:r>
    </w:p>
    <w:p>
      <w:pPr>
        <w:spacing w:after="0" w:line="196" w:lineRule="exact"/>
        <w:rPr>
          <w:sz w:val="20"/>
          <w:szCs w:val="20"/>
          <w:color w:val="auto"/>
        </w:rPr>
      </w:pPr>
    </w:p>
    <w:p>
      <w:pPr>
        <w:ind w:left="180" w:right="40" w:firstLine="465"/>
        <w:spacing w:after="0" w:line="291" w:lineRule="auto"/>
        <w:rPr>
          <w:sz w:val="20"/>
          <w:szCs w:val="20"/>
          <w:color w:val="auto"/>
        </w:rPr>
      </w:pPr>
      <w:r>
        <w:rPr>
          <w:rFonts w:ascii="Arial" w:cs="Arial" w:eastAsia="Arial" w:hAnsi="Arial"/>
          <w:sz w:val="17"/>
          <w:szCs w:val="17"/>
          <w:i w:val="1"/>
          <w:iCs w:val="1"/>
          <w:color w:val="auto"/>
        </w:rPr>
        <w:t>Outside Directors</w:t>
      </w:r>
      <w:r>
        <w:rPr>
          <w:rFonts w:ascii="Arial" w:cs="Arial" w:eastAsia="Arial" w:hAnsi="Arial"/>
          <w:sz w:val="17"/>
          <w:szCs w:val="17"/>
          <w:color w:val="auto"/>
        </w:rPr>
        <w:t>. All outside (non-employee) directors will be eligible to receive all types of awards (except for incentive stock options) under</w:t>
      </w:r>
      <w:r>
        <w:rPr>
          <w:rFonts w:ascii="Arial" w:cs="Arial" w:eastAsia="Arial" w:hAnsi="Arial"/>
          <w:sz w:val="17"/>
          <w:szCs w:val="17"/>
          <w:i w:val="1"/>
          <w:iCs w:val="1"/>
          <w:color w:val="auto"/>
        </w:rPr>
        <w:t xml:space="preserve"> </w:t>
      </w:r>
      <w:r>
        <w:rPr>
          <w:rFonts w:ascii="Arial" w:cs="Arial" w:eastAsia="Arial" w:hAnsi="Arial"/>
          <w:sz w:val="17"/>
          <w:szCs w:val="17"/>
          <w:color w:val="auto"/>
        </w:rPr>
        <w:t>our 2019 Plan. To provide a maximum limit on the cash compensation and equity awards that can be made to our outside directors, our 2019 Plan provides that in any given fiscal year, an outside director will not be granted cash compensation and equity awards with an aggregate value greater than $750,000 (increased to $1,000,000 in the fiscal year of his or her initial service as an outside director), with the value of each equity award based on its grant date fair value as determined according to GAAP for purposes of this limit. Any cash compensation paid or awards granted to an individual for his or her services as an employee or consultant (other than as an outside director) will not count toward this limit.</w:t>
      </w:r>
    </w:p>
    <w:p>
      <w:pPr>
        <w:spacing w:after="0" w:line="175" w:lineRule="exact"/>
        <w:rPr>
          <w:sz w:val="20"/>
          <w:szCs w:val="20"/>
          <w:color w:val="auto"/>
        </w:rPr>
      </w:pPr>
    </w:p>
    <w:p>
      <w:pPr>
        <w:ind w:left="180" w:right="60" w:firstLine="465"/>
        <w:spacing w:after="0" w:line="263" w:lineRule="auto"/>
        <w:rPr>
          <w:sz w:val="20"/>
          <w:szCs w:val="20"/>
          <w:color w:val="auto"/>
        </w:rPr>
      </w:pPr>
      <w:r>
        <w:rPr>
          <w:rFonts w:ascii="Arial" w:cs="Arial" w:eastAsia="Arial" w:hAnsi="Arial"/>
          <w:sz w:val="19"/>
          <w:szCs w:val="19"/>
          <w:i w:val="1"/>
          <w:iCs w:val="1"/>
          <w:color w:val="auto"/>
        </w:rPr>
        <w:t>Non-Transferability of Awards</w:t>
      </w:r>
      <w:r>
        <w:rPr>
          <w:rFonts w:ascii="Arial" w:cs="Arial" w:eastAsia="Arial" w:hAnsi="Arial"/>
          <w:sz w:val="19"/>
          <w:szCs w:val="19"/>
          <w:color w:val="auto"/>
        </w:rPr>
        <w:t>. Unless the administrator provides otherwise, our 2019 Plan generally does not allow for the transfer of awards and</w:t>
      </w:r>
      <w:r>
        <w:rPr>
          <w:rFonts w:ascii="Arial" w:cs="Arial" w:eastAsia="Arial" w:hAnsi="Arial"/>
          <w:sz w:val="19"/>
          <w:szCs w:val="19"/>
          <w:i w:val="1"/>
          <w:iCs w:val="1"/>
          <w:color w:val="auto"/>
        </w:rPr>
        <w:t xml:space="preserve"> </w:t>
      </w:r>
      <w:r>
        <w:rPr>
          <w:rFonts w:ascii="Arial" w:cs="Arial" w:eastAsia="Arial" w:hAnsi="Arial"/>
          <w:sz w:val="19"/>
          <w:szCs w:val="19"/>
          <w:color w:val="auto"/>
        </w:rPr>
        <w:t>only the recipient of an award may exercise an award during his or her lifetime. If the administrator makes an award transferrable, such award will contain such additional terms and conditions as the administrator deems appropriate.</w:t>
      </w:r>
    </w:p>
    <w:p>
      <w:pPr>
        <w:spacing w:after="0" w:line="194" w:lineRule="exact"/>
        <w:rPr>
          <w:sz w:val="20"/>
          <w:szCs w:val="20"/>
          <w:color w:val="auto"/>
        </w:rPr>
      </w:pPr>
    </w:p>
    <w:p>
      <w:pPr>
        <w:ind w:left="180" w:firstLine="465"/>
        <w:spacing w:after="0" w:line="284" w:lineRule="auto"/>
        <w:rPr>
          <w:sz w:val="20"/>
          <w:szCs w:val="20"/>
          <w:color w:val="auto"/>
        </w:rPr>
      </w:pPr>
      <w:r>
        <w:rPr>
          <w:rFonts w:ascii="Arial" w:cs="Arial" w:eastAsia="Arial" w:hAnsi="Arial"/>
          <w:sz w:val="18"/>
          <w:szCs w:val="18"/>
          <w:i w:val="1"/>
          <w:iCs w:val="1"/>
          <w:color w:val="auto"/>
        </w:rPr>
        <w:t>Certain Adjustments</w:t>
      </w:r>
      <w:r>
        <w:rPr>
          <w:rFonts w:ascii="Arial" w:cs="Arial" w:eastAsia="Arial" w:hAnsi="Arial"/>
          <w:sz w:val="18"/>
          <w:szCs w:val="18"/>
          <w:color w:val="auto"/>
        </w:rPr>
        <w:t>. In the event of certain changes in our capitalization, to prevent diminution or enlargement of the benefits or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available under our 2019 Plan, the administrator will adjust the number and class of shares that may be delivered under our 2019 Plan and/or the number, class, and price of shares covered by each outstanding award and the numerical share limits set forth in our 2019 Plan.</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150</w:t>
      </w:r>
    </w:p>
    <w:p>
      <w:pPr>
        <w:sectPr>
          <w:pgSz w:w="12240" w:h="15840" w:orient="portrait"/>
          <w:cols w:equalWidth="0" w:num="1">
            <w:col w:w="11820"/>
          </w:cols>
          <w:pgMar w:left="120" w:top="336" w:right="300" w:bottom="1440" w:gutter="0" w:footer="0" w:header="0"/>
        </w:sectPr>
      </w:pPr>
    </w:p>
    <w:bookmarkStart w:id="158" w:name="page159"/>
    <w:bookmarkEnd w:id="15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0" w:firstLine="465"/>
        <w:spacing w:after="0" w:line="304"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liquidation or dissolution, the administrator will notify participants as soon as practicable</w:t>
      </w:r>
      <w:r>
        <w:rPr>
          <w:rFonts w:ascii="Arial" w:cs="Arial" w:eastAsia="Arial" w:hAnsi="Arial"/>
          <w:sz w:val="18"/>
          <w:szCs w:val="18"/>
          <w:i w:val="1"/>
          <w:iCs w:val="1"/>
          <w:color w:val="auto"/>
        </w:rPr>
        <w:t xml:space="preserve"> </w:t>
      </w:r>
      <w:r>
        <w:rPr>
          <w:rFonts w:ascii="Arial" w:cs="Arial" w:eastAsia="Arial" w:hAnsi="Arial"/>
          <w:sz w:val="18"/>
          <w:szCs w:val="18"/>
          <w:color w:val="auto"/>
        </w:rPr>
        <w:t>and, to the extent not exercised, all awards will terminate immediately prior to the consummation of such proposed transaction.</w:t>
      </w:r>
    </w:p>
    <w:p>
      <w:pPr>
        <w:spacing w:after="0" w:line="160" w:lineRule="exact"/>
        <w:rPr>
          <w:sz w:val="20"/>
          <w:szCs w:val="20"/>
          <w:color w:val="auto"/>
        </w:rPr>
      </w:pPr>
    </w:p>
    <w:p>
      <w:pPr>
        <w:ind w:left="180" w:right="180" w:firstLine="465"/>
        <w:spacing w:after="0" w:line="263" w:lineRule="auto"/>
        <w:rPr>
          <w:sz w:val="20"/>
          <w:szCs w:val="20"/>
          <w:color w:val="auto"/>
        </w:rPr>
      </w:pPr>
      <w:r>
        <w:rPr>
          <w:rFonts w:ascii="Arial" w:cs="Arial" w:eastAsia="Arial" w:hAnsi="Arial"/>
          <w:sz w:val="19"/>
          <w:szCs w:val="19"/>
          <w:i w:val="1"/>
          <w:iCs w:val="1"/>
          <w:color w:val="auto"/>
        </w:rPr>
        <w:t>Merger or Change in Control</w:t>
      </w:r>
      <w:r>
        <w:rPr>
          <w:rFonts w:ascii="Arial" w:cs="Arial" w:eastAsia="Arial" w:hAnsi="Arial"/>
          <w:sz w:val="19"/>
          <w:szCs w:val="19"/>
          <w:color w:val="auto"/>
        </w:rPr>
        <w:t>. Our 2019 Plan provides that in the event of a merger or change in control, as defined under our 2019 Plan, each</w:t>
      </w:r>
      <w:r>
        <w:rPr>
          <w:rFonts w:ascii="Arial" w:cs="Arial" w:eastAsia="Arial" w:hAnsi="Arial"/>
          <w:sz w:val="19"/>
          <w:szCs w:val="19"/>
          <w:i w:val="1"/>
          <w:iCs w:val="1"/>
          <w:color w:val="auto"/>
        </w:rPr>
        <w:t xml:space="preserve"> </w:t>
      </w:r>
      <w:r>
        <w:rPr>
          <w:rFonts w:ascii="Arial" w:cs="Arial" w:eastAsia="Arial" w:hAnsi="Arial"/>
          <w:sz w:val="19"/>
          <w:szCs w:val="19"/>
          <w:color w:val="auto"/>
        </w:rPr>
        <w:t>outstanding award will be treated as the administrator determines, without a participant’s consent. The administrator is not required to treat all awards, all awards held by a participant or all awards of the same type similarly.</w:t>
      </w:r>
    </w:p>
    <w:p>
      <w:pPr>
        <w:spacing w:after="0" w:line="194" w:lineRule="exact"/>
        <w:rPr>
          <w:sz w:val="20"/>
          <w:szCs w:val="20"/>
          <w:color w:val="auto"/>
        </w:rPr>
      </w:pPr>
    </w:p>
    <w:p>
      <w:pPr>
        <w:ind w:left="180" w:right="20" w:firstLine="465"/>
        <w:spacing w:after="0" w:line="289" w:lineRule="auto"/>
        <w:rPr>
          <w:sz w:val="20"/>
          <w:szCs w:val="20"/>
          <w:color w:val="auto"/>
        </w:rPr>
      </w:pPr>
      <w:r>
        <w:rPr>
          <w:rFonts w:ascii="Arial" w:cs="Arial" w:eastAsia="Arial" w:hAnsi="Arial"/>
          <w:sz w:val="17"/>
          <w:szCs w:val="17"/>
          <w:color w:val="auto"/>
        </w:rPr>
        <w:t>If a successor corporation does not assume or substitute for any outstanding award, then the participant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 If an option or stock appreciation right is not assumed or substituted in the event of a change in control,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78" w:lineRule="exact"/>
        <w:rPr>
          <w:sz w:val="20"/>
          <w:szCs w:val="20"/>
          <w:color w:val="auto"/>
        </w:rPr>
      </w:pPr>
    </w:p>
    <w:p>
      <w:pPr>
        <w:ind w:left="180" w:right="120" w:firstLine="465"/>
        <w:spacing w:after="0" w:line="285" w:lineRule="auto"/>
        <w:rPr>
          <w:sz w:val="20"/>
          <w:szCs w:val="20"/>
          <w:color w:val="auto"/>
        </w:rPr>
      </w:pPr>
      <w:r>
        <w:rPr>
          <w:rFonts w:ascii="Arial" w:cs="Arial" w:eastAsia="Arial" w:hAnsi="Arial"/>
          <w:sz w:val="17"/>
          <w:szCs w:val="17"/>
          <w:color w:val="auto"/>
        </w:rPr>
        <w:t>For awards granted to an outside director, in the event of a change in control, the outside director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w:t>
      </w:r>
    </w:p>
    <w:p>
      <w:pPr>
        <w:spacing w:after="0" w:line="1" w:lineRule="exact"/>
        <w:rPr>
          <w:sz w:val="20"/>
          <w:szCs w:val="20"/>
          <w:color w:val="auto"/>
        </w:rPr>
      </w:pPr>
    </w:p>
    <w:p>
      <w:pPr>
        <w:ind w:left="180" w:right="160"/>
        <w:spacing w:after="0" w:line="261" w:lineRule="auto"/>
        <w:rPr>
          <w:sz w:val="20"/>
          <w:szCs w:val="20"/>
          <w:color w:val="auto"/>
        </w:rPr>
      </w:pPr>
      <w:r>
        <w:rPr>
          <w:rFonts w:ascii="Arial" w:cs="Arial" w:eastAsia="Arial" w:hAnsi="Arial"/>
          <w:sz w:val="19"/>
          <w:szCs w:val="19"/>
          <w:color w:val="auto"/>
        </w:rPr>
        <w:t>policy applicable to the participant, all performance goals or other vesting criteria will be deemed achieved at 100% of target levels and all other terms and conditions met.</w:t>
      </w:r>
    </w:p>
    <w:p>
      <w:pPr>
        <w:spacing w:after="0" w:line="196" w:lineRule="exact"/>
        <w:rPr>
          <w:sz w:val="20"/>
          <w:szCs w:val="20"/>
          <w:color w:val="auto"/>
        </w:rPr>
      </w:pPr>
    </w:p>
    <w:p>
      <w:pPr>
        <w:ind w:left="180" w:right="60" w:firstLine="465"/>
        <w:spacing w:after="0" w:line="274" w:lineRule="auto"/>
        <w:rPr>
          <w:sz w:val="20"/>
          <w:szCs w:val="20"/>
          <w:color w:val="auto"/>
        </w:rPr>
      </w:pPr>
      <w:r>
        <w:rPr>
          <w:rFonts w:ascii="Arial" w:cs="Arial" w:eastAsia="Arial" w:hAnsi="Arial"/>
          <w:sz w:val="18"/>
          <w:szCs w:val="18"/>
          <w:i w:val="1"/>
          <w:iCs w:val="1"/>
          <w:color w:val="auto"/>
        </w:rPr>
        <w:t>Clawback</w:t>
      </w:r>
      <w:r>
        <w:rPr>
          <w:rFonts w:ascii="Arial" w:cs="Arial" w:eastAsia="Arial" w:hAnsi="Arial"/>
          <w:sz w:val="18"/>
          <w:szCs w:val="18"/>
          <w:color w:val="auto"/>
        </w:rPr>
        <w:t>. Awards will be subject to any clawback policy of ours, and the administrator also may specify in an award agreement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rights, payments, and/or benefits with respect to an award will be subject to reduction, cancellation, forfeiture, and/or recoupment upon the occurrence of certain specified events. Our board of directors may require a participant to forfeit, return, or reimburse us all or a portion of the award and/or shares issued under the award, any amounts paid under the award, and any payments or proceeds paid or provided upon disposition of the shares issued under the award in order to comply with such clawback policy or applicable laws.</w:t>
      </w:r>
    </w:p>
    <w:p>
      <w:pPr>
        <w:spacing w:after="0" w:line="188" w:lineRule="exact"/>
        <w:rPr>
          <w:sz w:val="20"/>
          <w:szCs w:val="20"/>
          <w:color w:val="auto"/>
        </w:rPr>
      </w:pPr>
    </w:p>
    <w:p>
      <w:pPr>
        <w:ind w:left="180" w:right="80" w:firstLine="465"/>
        <w:spacing w:after="0" w:line="304"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The administrator has the authority to amend, alter, suspend, or terminate our 2019 Plan, provided such action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impair the rights of any participant. Our 2019 Plan automatically will terminate in 2029, unless we terminate it sooner.</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2017 Stock Option and Grant Plan</w:t>
      </w:r>
    </w:p>
    <w:p>
      <w:pPr>
        <w:spacing w:after="0" w:line="124" w:lineRule="exact"/>
        <w:rPr>
          <w:sz w:val="20"/>
          <w:szCs w:val="20"/>
          <w:color w:val="auto"/>
        </w:rPr>
      </w:pPr>
    </w:p>
    <w:p>
      <w:pPr>
        <w:ind w:left="180" w:right="120" w:firstLine="465"/>
        <w:spacing w:after="0" w:line="255" w:lineRule="auto"/>
        <w:rPr>
          <w:sz w:val="20"/>
          <w:szCs w:val="20"/>
          <w:color w:val="auto"/>
        </w:rPr>
      </w:pPr>
      <w:r>
        <w:rPr>
          <w:rFonts w:ascii="Arial" w:cs="Arial" w:eastAsia="Arial" w:hAnsi="Arial"/>
          <w:sz w:val="19"/>
          <w:szCs w:val="19"/>
          <w:color w:val="auto"/>
        </w:rPr>
        <w:t>In 2017, our board of directors adopted, and our stockholders approved, our 2017 Plan. The 2017 Plan has been amended from time to time to increase the aggregate number of shares of our common stock reserved for issuance under the 2017 Plan, and was most recently amended in November 2018, which amendment was approved by our stockholders in January 2019. Our 2017 Plan permits the grant of incentive stock options, within the meaning of Section 422 of the Code, to our employees and our subsidiary corporations’ employees, and the grant of nonstatutory stock options, restricted stock awards, unrestricted stock awards, and restricted stock units to officers, employees, directors, consultants, and key employees of ours and any of our subsidiary corporations.</w:t>
      </w:r>
    </w:p>
    <w:p>
      <w:pPr>
        <w:spacing w:after="0" w:line="204"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i w:val="1"/>
          <w:iCs w:val="1"/>
          <w:color w:val="auto"/>
        </w:rPr>
        <w:t>Authorized Shares</w:t>
      </w:r>
      <w:r>
        <w:rPr>
          <w:rFonts w:ascii="Arial" w:cs="Arial" w:eastAsia="Arial" w:hAnsi="Arial"/>
          <w:sz w:val="19"/>
          <w:szCs w:val="19"/>
          <w:color w:val="auto"/>
        </w:rPr>
        <w:t>. Our 2017 Plan will be terminated in connection with this offering, and accordingly, no shares will be available for issuance</w:t>
      </w:r>
      <w:r>
        <w:rPr>
          <w:rFonts w:ascii="Arial" w:cs="Arial" w:eastAsia="Arial" w:hAnsi="Arial"/>
          <w:sz w:val="19"/>
          <w:szCs w:val="19"/>
          <w:i w:val="1"/>
          <w:iCs w:val="1"/>
          <w:color w:val="auto"/>
        </w:rPr>
        <w:t xml:space="preserve"> </w:t>
      </w:r>
      <w:r>
        <w:rPr>
          <w:rFonts w:ascii="Arial" w:cs="Arial" w:eastAsia="Arial" w:hAnsi="Arial"/>
          <w:sz w:val="19"/>
          <w:szCs w:val="19"/>
          <w:color w:val="auto"/>
        </w:rPr>
        <w:t>under the 2017 Plan following the completion of this offering. Our 2017 Plan will continue to govern outstanding awards granted thereunder. As of September 30, 2018, options to purchase 3,048,500 shares of our common stock and 3,715,108 shares of restricted stock remained outstanding under our 2017 Plan.</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151</w:t>
      </w:r>
    </w:p>
    <w:p>
      <w:pPr>
        <w:sectPr>
          <w:pgSz w:w="12240" w:h="15840" w:orient="portrait"/>
          <w:cols w:equalWidth="0" w:num="1">
            <w:col w:w="11800"/>
          </w:cols>
          <w:pgMar w:left="120" w:top="336" w:right="320" w:bottom="1440" w:gutter="0" w:footer="0" w:header="0"/>
        </w:sectPr>
      </w:pPr>
    </w:p>
    <w:bookmarkStart w:id="159" w:name="page160"/>
    <w:bookmarkEnd w:id="15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0" w:firstLine="465"/>
        <w:spacing w:after="0" w:line="284"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a committee appointed by our board of directors administers our 2017 Plan.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of our 2017 Plan, the administrator has the powers and discretion necessary or appropriate to administer the 2017 Plan and to control its operation. The administrator’s powers include the power to select the officers, employees, directors, consultants, and other key persons to whom awards may be granted; to approve any form of award agreement for use under the 2017 Plan; and to determine the time or times upon which the awards are granted. The administrator may determine and modify the terms and conditions of any award, not inconsistent with the terms of the 2017 Plan including the number of shares to be covered, price, exercise price, conversion ratio or other price relating thereto, any vesting acceleration or waiver of forfeiture restrictions, and any restriction or limitation regarding any award. The administrator may at any time adopt, alter and repeal such rules, guidelines and practices for administration of the 2017 Plan and for its own acts and proceedings as it deems advisable; interpret the terms and provisions of the 2017 Plan and any award (including award agreements); make all determinations it deems advisable for the administration of the 2017 Plan; and decide all disputes arising in connection with the 2017 Plan. In addition, the administrator may modify the terms and procedures relating to the 2017 Plan and establish sub-plans for the purpose of satisfying applicable foreign laws.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and/or different terms, awards of a different type and/or cash, or by which the exercise price of an outstanding award is increased or reduced. The administrator’s decisions and interpretations are final and binding on all persons, including us, all participants, and any other persons holding awards.</w:t>
      </w:r>
    </w:p>
    <w:p>
      <w:pPr>
        <w:spacing w:after="0" w:line="181" w:lineRule="exact"/>
        <w:rPr>
          <w:sz w:val="20"/>
          <w:szCs w:val="20"/>
          <w:color w:val="auto"/>
        </w:rPr>
      </w:pPr>
    </w:p>
    <w:p>
      <w:pPr>
        <w:ind w:left="180" w:right="100" w:firstLine="465"/>
        <w:spacing w:after="0" w:line="286" w:lineRule="auto"/>
        <w:rPr>
          <w:sz w:val="20"/>
          <w:szCs w:val="20"/>
          <w:color w:val="auto"/>
        </w:rPr>
      </w:pPr>
      <w:r>
        <w:rPr>
          <w:rFonts w:ascii="Arial" w:cs="Arial" w:eastAsia="Arial" w:hAnsi="Arial"/>
          <w:sz w:val="17"/>
          <w:szCs w:val="17"/>
          <w:i w:val="1"/>
          <w:iCs w:val="1"/>
          <w:color w:val="auto"/>
        </w:rPr>
        <w:t>Options</w:t>
      </w:r>
      <w:r>
        <w:rPr>
          <w:rFonts w:ascii="Arial" w:cs="Arial" w:eastAsia="Arial" w:hAnsi="Arial"/>
          <w:sz w:val="17"/>
          <w:szCs w:val="17"/>
          <w:color w:val="auto"/>
        </w:rPr>
        <w:t>. Stock options may be granted under our 2017 Plan. The exercise price of options granted under our 2017 Plan must at least be equal to</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market value of our common stock on the date of grant. The term of an incentive stock option may not exceed 10 years, except that with respect to any employee who owns more than 10% of the voting power of all classes of our (or any subsidiary of ours) outstanding stock, the term must not exceed five years, and the exercise price must equal at least 110% of the fair market value on the grant date. Subject to the provisions of our 2017 Plan, the administrator will determine the methods of payment of the exercise price of an option. After termination of the participant’s service, a participant may exercise any portion of his or her vested or exercisable option for the period of time as determined by the administrator and specified in the applicable option agreement. If termination is due to death or disability, the option generally will remain exercisable for at least twelve months. In all other cases, the option will generally remain exercisable for at least three months. However, an option agreement may provide that the option will terminate immediately upon the termination of the participant’s service for cause (as defined in the 2017 Plan), and in no event may an option be exercised later than the expiration of its term. Subject to the provisions of our 2017 Plan, the administrator determines the other terms of options.</w:t>
      </w:r>
    </w:p>
    <w:p>
      <w:pPr>
        <w:spacing w:after="0" w:line="181" w:lineRule="exact"/>
        <w:rPr>
          <w:sz w:val="20"/>
          <w:szCs w:val="20"/>
          <w:color w:val="auto"/>
        </w:rPr>
      </w:pPr>
    </w:p>
    <w:p>
      <w:pPr>
        <w:ind w:left="180" w:right="200" w:firstLine="465"/>
        <w:spacing w:after="0" w:line="275" w:lineRule="auto"/>
        <w:rPr>
          <w:sz w:val="20"/>
          <w:szCs w:val="20"/>
          <w:color w:val="auto"/>
        </w:rPr>
      </w:pPr>
      <w:r>
        <w:rPr>
          <w:rFonts w:ascii="Arial" w:cs="Arial" w:eastAsia="Arial" w:hAnsi="Arial"/>
          <w:sz w:val="19"/>
          <w:szCs w:val="19"/>
          <w:i w:val="1"/>
          <w:iCs w:val="1"/>
          <w:color w:val="auto"/>
        </w:rPr>
        <w:t>Unrestricted Stock Awards</w:t>
      </w:r>
      <w:r>
        <w:rPr>
          <w:rFonts w:ascii="Arial" w:cs="Arial" w:eastAsia="Arial" w:hAnsi="Arial"/>
          <w:sz w:val="19"/>
          <w:szCs w:val="19"/>
          <w:color w:val="auto"/>
        </w:rPr>
        <w:t>. Unrestricted stock awards may be granted under our 2017 Plan. Unrestricted stock awards may be granted in respect</w:t>
      </w:r>
      <w:r>
        <w:rPr>
          <w:rFonts w:ascii="Arial" w:cs="Arial" w:eastAsia="Arial" w:hAnsi="Arial"/>
          <w:sz w:val="19"/>
          <w:szCs w:val="19"/>
          <w:i w:val="1"/>
          <w:iCs w:val="1"/>
          <w:color w:val="auto"/>
        </w:rPr>
        <w:t xml:space="preserve"> </w:t>
      </w:r>
      <w:r>
        <w:rPr>
          <w:rFonts w:ascii="Arial" w:cs="Arial" w:eastAsia="Arial" w:hAnsi="Arial"/>
          <w:sz w:val="19"/>
          <w:szCs w:val="19"/>
          <w:color w:val="auto"/>
        </w:rPr>
        <w:t>of past services or other valid consideration, or in lieu of cash compensation due to such grantee.</w:t>
      </w:r>
    </w:p>
    <w:p>
      <w:pPr>
        <w:spacing w:after="0" w:line="184" w:lineRule="exact"/>
        <w:rPr>
          <w:sz w:val="20"/>
          <w:szCs w:val="20"/>
          <w:color w:val="auto"/>
        </w:rPr>
      </w:pPr>
    </w:p>
    <w:p>
      <w:pPr>
        <w:ind w:left="180" w:firstLine="465"/>
        <w:spacing w:after="0" w:line="288" w:lineRule="auto"/>
        <w:rPr>
          <w:sz w:val="20"/>
          <w:szCs w:val="20"/>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Restricted stock may be granted under our 2017 Plan. Restricted stock awards are grants of shares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that vest in accordance with terms and conditions established by the administrator. The administrator will determine the number of shares of restricted stock granted to any employee, director, or consultant and, subject to the provisions of our 2017 Plan, will determine the terms and conditions of such awards. The administrator may impose whatever conditions for lapse of the restriction on the shares it determines to be appropriate (for example, the administrator may set restrictions based on the achievement of pre-established performance goals or continued service to us), except the administrator, in its sole discretion, may accelerate the time at which any restrictions will lapse or be removed. Recipients of restricted stock awards generally will have voting and dividend rights with respect to such shares upon grant without regard to the restriction, unless the administrator provides otherwise. Shares of restricted stock as to which the restrictions have not lapsed are subject to our right of repurchase or forfeiture.</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152</w:t>
      </w:r>
    </w:p>
    <w:p>
      <w:pPr>
        <w:sectPr>
          <w:pgSz w:w="12240" w:h="15840" w:orient="portrait"/>
          <w:cols w:equalWidth="0" w:num="1">
            <w:col w:w="11820"/>
          </w:cols>
          <w:pgMar w:left="120" w:top="337" w:right="300" w:bottom="1440" w:gutter="0" w:footer="0" w:header="0"/>
        </w:sectPr>
      </w:pPr>
    </w:p>
    <w:bookmarkStart w:id="160" w:name="page161"/>
    <w:bookmarkEnd w:id="16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i w:val="1"/>
          <w:iCs w:val="1"/>
          <w:color w:val="auto"/>
        </w:rPr>
        <w:t>Restricted Stock Units</w:t>
      </w:r>
      <w:r>
        <w:rPr>
          <w:rFonts w:ascii="Arial" w:cs="Arial" w:eastAsia="Arial" w:hAnsi="Arial"/>
          <w:sz w:val="19"/>
          <w:szCs w:val="19"/>
          <w:color w:val="auto"/>
        </w:rPr>
        <w:t>. Restricted stock units may be granted under our 2017 Plan. Restricted stock units are bookkeeping entries representing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equal to the fair market value of one share of our common stock. Subject to the provisions of our 2017 Plan, the administrator will determine the terms and conditions of restricted stock units, including the vesting criteria (which may include vesting criteria based on continuing employment or other service relationship, achievement of pre-established performance goals or continued service to us, and objectives and/or such other criteria as the administrator may determine) and the form and timing of payment. Notwithstanding the foregoing, the administrator, in its sole discretion, may accelerate the time at which any restricted stock units will vest.</w:t>
      </w:r>
    </w:p>
    <w:p>
      <w:pPr>
        <w:spacing w:after="0" w:line="204" w:lineRule="exact"/>
        <w:rPr>
          <w:sz w:val="20"/>
          <w:szCs w:val="20"/>
          <w:color w:val="auto"/>
        </w:rPr>
      </w:pPr>
    </w:p>
    <w:p>
      <w:pPr>
        <w:ind w:left="180" w:right="360" w:firstLine="465"/>
        <w:spacing w:after="0" w:line="336" w:lineRule="auto"/>
        <w:rPr>
          <w:sz w:val="20"/>
          <w:szCs w:val="20"/>
          <w:color w:val="auto"/>
        </w:rPr>
      </w:pPr>
      <w:r>
        <w:rPr>
          <w:rFonts w:ascii="Arial" w:cs="Arial" w:eastAsia="Arial" w:hAnsi="Arial"/>
          <w:sz w:val="17"/>
          <w:szCs w:val="17"/>
          <w:i w:val="1"/>
          <w:iCs w:val="1"/>
          <w:color w:val="auto"/>
        </w:rPr>
        <w:t>Non-Transferability of Awards</w:t>
      </w:r>
      <w:r>
        <w:rPr>
          <w:rFonts w:ascii="Arial" w:cs="Arial" w:eastAsia="Arial" w:hAnsi="Arial"/>
          <w:sz w:val="17"/>
          <w:szCs w:val="17"/>
          <w:color w:val="auto"/>
        </w:rPr>
        <w:t>. Unless the administrator provides otherwise, our 2017 Plan generally does not allow for the transfer of awards</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by will or the laws of descent and distribution, and only the recipient of an award may exercise an award during his or her lifetime.</w:t>
      </w:r>
    </w:p>
    <w:p>
      <w:pPr>
        <w:spacing w:after="0" w:line="137" w:lineRule="exact"/>
        <w:rPr>
          <w:sz w:val="20"/>
          <w:szCs w:val="20"/>
          <w:color w:val="auto"/>
        </w:rPr>
      </w:pPr>
    </w:p>
    <w:p>
      <w:pPr>
        <w:ind w:left="180" w:right="80" w:firstLine="465"/>
        <w:spacing w:after="0" w:line="336"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In the event of certain changes in our capitalization, the administrator will make an appropriate and proportional adjustment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number of shares that may be delivered under our 2017 Plan and the number, kind, and price of shares covered by each outstanding award.</w:t>
      </w:r>
    </w:p>
    <w:p>
      <w:pPr>
        <w:spacing w:after="0" w:line="137" w:lineRule="exact"/>
        <w:rPr>
          <w:sz w:val="20"/>
          <w:szCs w:val="20"/>
          <w:color w:val="auto"/>
        </w:rPr>
      </w:pPr>
    </w:p>
    <w:p>
      <w:pPr>
        <w:ind w:left="180" w:firstLine="465"/>
        <w:spacing w:after="0" w:line="268" w:lineRule="auto"/>
        <w:rPr>
          <w:sz w:val="20"/>
          <w:szCs w:val="20"/>
          <w:color w:val="auto"/>
        </w:rPr>
      </w:pPr>
      <w:r>
        <w:rPr>
          <w:rFonts w:ascii="Arial" w:cs="Arial" w:eastAsia="Arial" w:hAnsi="Arial"/>
          <w:sz w:val="18"/>
          <w:szCs w:val="18"/>
          <w:i w:val="1"/>
          <w:iCs w:val="1"/>
          <w:color w:val="auto"/>
        </w:rPr>
        <w:t>Sale Events</w:t>
      </w:r>
      <w:r>
        <w:rPr>
          <w:rFonts w:ascii="Arial" w:cs="Arial" w:eastAsia="Arial" w:hAnsi="Arial"/>
          <w:sz w:val="18"/>
          <w:szCs w:val="18"/>
          <w:color w:val="auto"/>
        </w:rPr>
        <w:t>. Our 2017 Plan provides that in the event of a sale event, as defined under the 2017 Plan, (1) the 2017 Plan and all outstanding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will terminate upon the effective time of the sale event, and (2) all unvested restricted stock and restricted stock unit awards will be forfeited prior to the effective time of the sale event, in each case unless such awards are assumed or continued by the successor entity, or new stock awards of the successor entity or parent thereof are substituted therefore. In the event of termination of the 2017 Plan and all outstanding options pursuant to a sale event, each optionholder will be permitted, within a period of time prior to the sale event as specified by the administrator, to exercise all such options which are then exercisable or will become exercisable as of the effective time provided that the exercise of options not exercisable prior to the sale event shall be subject to the consummation of the sale event. In the event of forfeiture of restricted stock pursuant to a sale event, such restricted stock will be purchased from the holder at a price per share equal to the original per share purchase price paid by the holder. In the event of a sale event, the company will have the right, but not the obligation, to make a cash payment to a holder of an award, without the consent of the holder, in exchange for the cancellation of such award, in an amount equal to (1) the number of shares subject to the award multiplied by the value as determined by the administrator of the consideration payable per share of our common stock underthe sale event, minus (2) the aggregate exercise price for such shares (if any).</w:t>
      </w:r>
    </w:p>
    <w:p>
      <w:pPr>
        <w:spacing w:after="0" w:line="193" w:lineRule="exact"/>
        <w:rPr>
          <w:sz w:val="20"/>
          <w:szCs w:val="20"/>
          <w:color w:val="auto"/>
        </w:rPr>
      </w:pPr>
    </w:p>
    <w:p>
      <w:pPr>
        <w:jc w:val="both"/>
        <w:ind w:left="180" w:right="160" w:firstLine="465"/>
        <w:spacing w:after="0" w:line="308" w:lineRule="auto"/>
        <w:rPr>
          <w:sz w:val="20"/>
          <w:szCs w:val="20"/>
          <w:color w:val="auto"/>
        </w:rPr>
      </w:pPr>
      <w:r>
        <w:rPr>
          <w:rFonts w:ascii="Arial" w:cs="Arial" w:eastAsia="Arial" w:hAnsi="Arial"/>
          <w:sz w:val="17"/>
          <w:szCs w:val="17"/>
          <w:i w:val="1"/>
          <w:iCs w:val="1"/>
          <w:color w:val="auto"/>
        </w:rPr>
        <w:t>Amendment; Termination</w:t>
      </w:r>
      <w:r>
        <w:rPr>
          <w:rFonts w:ascii="Arial" w:cs="Arial" w:eastAsia="Arial" w:hAnsi="Arial"/>
          <w:sz w:val="17"/>
          <w:szCs w:val="17"/>
          <w:color w:val="auto"/>
        </w:rPr>
        <w:t>. Our board of directors has the authority to amend, alter, suspend or terminate the 2017 Plan, provided such action will</w:t>
      </w:r>
      <w:r>
        <w:rPr>
          <w:rFonts w:ascii="Arial" w:cs="Arial" w:eastAsia="Arial" w:hAnsi="Arial"/>
          <w:sz w:val="17"/>
          <w:szCs w:val="17"/>
          <w:i w:val="1"/>
          <w:iCs w:val="1"/>
          <w:color w:val="auto"/>
        </w:rPr>
        <w:t xml:space="preserve"> </w:t>
      </w:r>
      <w:r>
        <w:rPr>
          <w:rFonts w:ascii="Arial" w:cs="Arial" w:eastAsia="Arial" w:hAnsi="Arial"/>
          <w:sz w:val="17"/>
          <w:szCs w:val="17"/>
          <w:color w:val="auto"/>
        </w:rPr>
        <w:t>not impair the existing rights of any participant without the consent of the participant. As noted above, upon completion of this offering, our 2017 Plan will be terminated and no further awards will be granted thereunder. All outstanding awards will continue to be governed by their existing terms.</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2019 Employee Stock Purchase Plan</w:t>
      </w:r>
    </w:p>
    <w:p>
      <w:pPr>
        <w:spacing w:after="0" w:line="124" w:lineRule="exact"/>
        <w:rPr>
          <w:sz w:val="20"/>
          <w:szCs w:val="20"/>
          <w:color w:val="auto"/>
        </w:rPr>
      </w:pPr>
    </w:p>
    <w:p>
      <w:pPr>
        <w:jc w:val="both"/>
        <w:ind w:left="180" w:right="320" w:firstLine="465"/>
        <w:spacing w:after="0" w:line="308" w:lineRule="auto"/>
        <w:rPr>
          <w:sz w:val="20"/>
          <w:szCs w:val="20"/>
          <w:color w:val="auto"/>
        </w:rPr>
      </w:pPr>
      <w:r>
        <w:rPr>
          <w:rFonts w:ascii="Arial" w:cs="Arial" w:eastAsia="Arial" w:hAnsi="Arial"/>
          <w:sz w:val="17"/>
          <w:szCs w:val="17"/>
          <w:color w:val="auto"/>
        </w:rPr>
        <w:t>Our board of directors has adopted, and our stockholders have approved, our 2019 ESPP. Our 2019 ESPP will be effective on the business day immediately prior to the effective date of the registration statement of which this prospectus forms a part. We believe that allowing our employees to participate in our 2019 ESPP will provide them with a further incentive towards promoting our success and accomplishing our corporate goals.</w:t>
      </w:r>
    </w:p>
    <w:p>
      <w:pPr>
        <w:spacing w:after="0" w:line="160" w:lineRule="exact"/>
        <w:rPr>
          <w:sz w:val="20"/>
          <w:szCs w:val="20"/>
          <w:color w:val="auto"/>
        </w:rPr>
      </w:pPr>
    </w:p>
    <w:p>
      <w:pPr>
        <w:ind w:left="180" w:right="100" w:firstLine="465"/>
        <w:spacing w:after="0" w:line="263" w:lineRule="auto"/>
        <w:rPr>
          <w:sz w:val="20"/>
          <w:szCs w:val="20"/>
          <w:color w:val="auto"/>
        </w:rPr>
      </w:pPr>
      <w:r>
        <w:rPr>
          <w:rFonts w:ascii="Arial" w:cs="Arial" w:eastAsia="Arial" w:hAnsi="Arial"/>
          <w:sz w:val="19"/>
          <w:szCs w:val="19"/>
          <w:i w:val="1"/>
          <w:iCs w:val="1"/>
          <w:color w:val="auto"/>
        </w:rPr>
        <w:t>Authorized Shares</w:t>
      </w:r>
      <w:r>
        <w:rPr>
          <w:rFonts w:ascii="Arial" w:cs="Arial" w:eastAsia="Arial" w:hAnsi="Arial"/>
          <w:sz w:val="19"/>
          <w:szCs w:val="19"/>
          <w:color w:val="auto"/>
        </w:rPr>
        <w:t>. A total of 1,478,492 shares of our common stock will be available for sale under our 2019 ESPP. The number of shares of our</w:t>
      </w:r>
      <w:r>
        <w:rPr>
          <w:rFonts w:ascii="Arial" w:cs="Arial" w:eastAsia="Arial" w:hAnsi="Arial"/>
          <w:sz w:val="19"/>
          <w:szCs w:val="19"/>
          <w:i w:val="1"/>
          <w:iCs w:val="1"/>
          <w:color w:val="auto"/>
        </w:rPr>
        <w:t xml:space="preserve"> </w:t>
      </w:r>
      <w:r>
        <w:rPr>
          <w:rFonts w:ascii="Arial" w:cs="Arial" w:eastAsia="Arial" w:hAnsi="Arial"/>
          <w:sz w:val="19"/>
          <w:szCs w:val="19"/>
          <w:color w:val="auto"/>
        </w:rPr>
        <w:t>common stock that will be available for sale under our 2019 ESPP also includes an annual increase on the first day of each fiscal year beginning with our 2020 fiscal year, equal to the least of:</w:t>
      </w:r>
    </w:p>
    <w:p>
      <w:pPr>
        <w:spacing w:after="0" w:line="95" w:lineRule="exact"/>
        <w:rPr>
          <w:sz w:val="20"/>
          <w:szCs w:val="20"/>
          <w:color w:val="auto"/>
        </w:rPr>
      </w:pPr>
    </w:p>
    <w:p>
      <w:pPr>
        <w:ind w:left="1100" w:hanging="350"/>
        <w:spacing w:after="0"/>
        <w:tabs>
          <w:tab w:leader="none" w:pos="1100" w:val="left"/>
        </w:tabs>
        <w:numPr>
          <w:ilvl w:val="0"/>
          <w:numId w:val="98"/>
        </w:numPr>
        <w:rPr>
          <w:rFonts w:ascii="Arial" w:cs="Arial" w:eastAsia="Arial" w:hAnsi="Arial"/>
          <w:sz w:val="19"/>
          <w:szCs w:val="19"/>
          <w:color w:val="auto"/>
        </w:rPr>
      </w:pPr>
      <w:r>
        <w:rPr>
          <w:rFonts w:ascii="Arial" w:cs="Arial" w:eastAsia="Arial" w:hAnsi="Arial"/>
          <w:sz w:val="19"/>
          <w:szCs w:val="19"/>
          <w:color w:val="auto"/>
        </w:rPr>
        <w:t>591,397 shares;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98"/>
        </w:numPr>
        <w:rPr>
          <w:rFonts w:ascii="Arial" w:cs="Arial" w:eastAsia="Arial" w:hAnsi="Arial"/>
          <w:sz w:val="19"/>
          <w:szCs w:val="19"/>
          <w:color w:val="auto"/>
        </w:rPr>
      </w:pPr>
      <w:r>
        <w:rPr>
          <w:rFonts w:ascii="Arial" w:cs="Arial" w:eastAsia="Arial" w:hAnsi="Arial"/>
          <w:sz w:val="19"/>
          <w:szCs w:val="19"/>
          <w:color w:val="auto"/>
        </w:rPr>
        <w:t>1% of the outstanding shares of our common stock as of the last day of the immediately preceding fiscal year; or</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98"/>
        </w:numPr>
        <w:rPr>
          <w:rFonts w:ascii="Arial" w:cs="Arial" w:eastAsia="Arial" w:hAnsi="Arial"/>
          <w:sz w:val="19"/>
          <w:szCs w:val="19"/>
          <w:color w:val="auto"/>
        </w:rPr>
      </w:pPr>
      <w:r>
        <w:rPr>
          <w:rFonts w:ascii="Arial" w:cs="Arial" w:eastAsia="Arial" w:hAnsi="Arial"/>
          <w:sz w:val="19"/>
          <w:szCs w:val="19"/>
          <w:color w:val="auto"/>
        </w:rPr>
        <w:t>such other amount as the administrator may determine.</w:t>
      </w:r>
    </w:p>
    <w:p>
      <w:pPr>
        <w:spacing w:after="0" w:line="167"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153</w:t>
      </w:r>
    </w:p>
    <w:p>
      <w:pPr>
        <w:sectPr>
          <w:pgSz w:w="12240" w:h="15840" w:orient="portrait"/>
          <w:cols w:equalWidth="0" w:num="1">
            <w:col w:w="11800"/>
          </w:cols>
          <w:pgMar w:left="120" w:top="336" w:right="320" w:bottom="1440" w:gutter="0" w:footer="0" w:header="0"/>
        </w:sectPr>
      </w:pPr>
    </w:p>
    <w:bookmarkStart w:id="161" w:name="page162"/>
    <w:bookmarkEnd w:id="16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00" w:firstLine="465"/>
        <w:spacing w:after="0" w:line="271" w:lineRule="auto"/>
        <w:rPr>
          <w:sz w:val="20"/>
          <w:szCs w:val="20"/>
          <w:color w:val="auto"/>
        </w:rPr>
      </w:pPr>
      <w:r>
        <w:rPr>
          <w:rFonts w:ascii="Arial" w:cs="Arial" w:eastAsia="Arial" w:hAnsi="Arial"/>
          <w:sz w:val="18"/>
          <w:szCs w:val="18"/>
          <w:i w:val="1"/>
          <w:iCs w:val="1"/>
          <w:color w:val="auto"/>
        </w:rPr>
        <w:t>2019 ESPP Administration</w:t>
      </w:r>
      <w:r>
        <w:rPr>
          <w:rFonts w:ascii="Arial" w:cs="Arial" w:eastAsia="Arial" w:hAnsi="Arial"/>
          <w:sz w:val="18"/>
          <w:szCs w:val="18"/>
          <w:color w:val="auto"/>
        </w:rPr>
        <w:t>. We expect that the compensation committee of our board of directors will administer our 2019 ESPP and will have</w:t>
      </w:r>
      <w:r>
        <w:rPr>
          <w:rFonts w:ascii="Arial" w:cs="Arial" w:eastAsia="Arial" w:hAnsi="Arial"/>
          <w:sz w:val="18"/>
          <w:szCs w:val="18"/>
          <w:i w:val="1"/>
          <w:iCs w:val="1"/>
          <w:color w:val="auto"/>
        </w:rPr>
        <w:t xml:space="preserve"> </w:t>
      </w:r>
      <w:r>
        <w:rPr>
          <w:rFonts w:ascii="Arial" w:cs="Arial" w:eastAsia="Arial" w:hAnsi="Arial"/>
          <w:sz w:val="18"/>
          <w:szCs w:val="18"/>
          <w:color w:val="auto"/>
        </w:rPr>
        <w:t>full and exclusive discretionary authority to construe, interpret, and apply the terms of the 2019 ESPP, delegate ministerial duties to any of our employees, designate separate offerings under the 2019 ESPP, designate our subsidiaries and affiliates as participating in the 2019 ESPP, determine eligibility, adjudicate all disputed claims filed under the 2019 ESPP, and establish procedures that it deems necessary for the administration of the 2019 ESPP, including, but not limited to, adopting such procedures and sub-plans as are necessary or appropriate to permit participation in the 2019 ESPP by employees who are foreign nationals or employed outside the United States. The administrator’s findings, decisions and determinations are final and binding on all participants to the full extent permitted by law.</w:t>
      </w:r>
    </w:p>
    <w:p>
      <w:pPr>
        <w:spacing w:after="0" w:line="189" w:lineRule="exact"/>
        <w:rPr>
          <w:sz w:val="20"/>
          <w:szCs w:val="20"/>
          <w:color w:val="auto"/>
        </w:rPr>
      </w:pPr>
    </w:p>
    <w:p>
      <w:pPr>
        <w:ind w:left="180" w:firstLine="465"/>
        <w:spacing w:after="0" w:line="288"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Generally, all of our employees will be eligible to participate if they are customarily employed by us, or any participating subsidiary or</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 for at least 20 hours per week and more than five months in any calendar year. The administrator, in its discretion, may, prior to an enrollment date, for all options to be granted on such enrollment date in an offering, determine that an employee who (i) has not completed at least two years of service (or a lesser period of time determined by the administrator) since his or her last hire date, (ii) customarily works not more than 20 hours per week (or a lesser period of time determined by the administrator), (iii) customarily works not more than five months per calendar year (or a lesser period of time determined by the administrator), (iv) is a highly compensated employee within the meaning of Section 414(q) of the Code, or (v) is a highly compensated employee within the meaning of Section 414(q) of the Code with compensation above a certain level or is an officer or subject to disclosure requirements under Section 16(a) of the Exchange Act, is or is not eligible to participate in such offering period.</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However, an employee may not be granted rights to purchase shares of our common stock under our 2019 ESPP if such employee:</w:t>
      </w:r>
    </w:p>
    <w:p>
      <w:pPr>
        <w:spacing w:after="0" w:line="138" w:lineRule="exact"/>
        <w:rPr>
          <w:sz w:val="20"/>
          <w:szCs w:val="20"/>
          <w:color w:val="auto"/>
        </w:rPr>
      </w:pPr>
    </w:p>
    <w:p>
      <w:pPr>
        <w:ind w:left="1100" w:right="220" w:hanging="350"/>
        <w:spacing w:after="0" w:line="304" w:lineRule="auto"/>
        <w:tabs>
          <w:tab w:leader="none" w:pos="11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immediately after the grant would own capital stock and/or hold outstanding options to purchase such stock possessing 5% or more of the total combined voting power or value of all classes of capital stock of ours or of any parent or subsidiary of ours; or</w:t>
      </w:r>
    </w:p>
    <w:p>
      <w:pPr>
        <w:spacing w:after="0" w:line="60" w:lineRule="exact"/>
        <w:rPr>
          <w:rFonts w:ascii="Arial" w:cs="Arial" w:eastAsia="Arial" w:hAnsi="Arial"/>
          <w:sz w:val="18"/>
          <w:szCs w:val="18"/>
          <w:color w:val="auto"/>
        </w:rPr>
      </w:pPr>
    </w:p>
    <w:p>
      <w:pPr>
        <w:jc w:val="both"/>
        <w:ind w:left="1100" w:hanging="350"/>
        <w:spacing w:after="0" w:line="263" w:lineRule="auto"/>
        <w:tabs>
          <w:tab w:leader="none" w:pos="1100" w:val="left"/>
        </w:tabs>
        <w:numPr>
          <w:ilvl w:val="0"/>
          <w:numId w:val="99"/>
        </w:numPr>
        <w:rPr>
          <w:rFonts w:ascii="Arial" w:cs="Arial" w:eastAsia="Arial" w:hAnsi="Arial"/>
          <w:sz w:val="19"/>
          <w:szCs w:val="19"/>
          <w:color w:val="auto"/>
        </w:rPr>
      </w:pPr>
      <w:r>
        <w:rPr>
          <w:rFonts w:ascii="Arial" w:cs="Arial" w:eastAsia="Arial" w:hAnsi="Arial"/>
          <w:sz w:val="19"/>
          <w:szCs w:val="19"/>
          <w:color w:val="auto"/>
        </w:rPr>
        <w:t>holds rights to purchase shares of our common stock under all employee stock purchase plans of ours or any parent or subsidiary of ours that accrue at a rate that exceeds $25,000 worth of shares of our common stock for each calendar year in which such rights are outstanding at any time.</w:t>
      </w:r>
    </w:p>
    <w:p>
      <w:pPr>
        <w:spacing w:after="0" w:line="194" w:lineRule="exact"/>
        <w:rPr>
          <w:sz w:val="20"/>
          <w:szCs w:val="20"/>
          <w:color w:val="auto"/>
        </w:rPr>
      </w:pPr>
    </w:p>
    <w:p>
      <w:pPr>
        <w:ind w:left="180" w:firstLine="465"/>
        <w:spacing w:after="0" w:line="272" w:lineRule="auto"/>
        <w:rPr>
          <w:sz w:val="20"/>
          <w:szCs w:val="20"/>
          <w:color w:val="auto"/>
        </w:rPr>
      </w:pPr>
      <w:r>
        <w:rPr>
          <w:rFonts w:ascii="Arial" w:cs="Arial" w:eastAsia="Arial" w:hAnsi="Arial"/>
          <w:sz w:val="18"/>
          <w:szCs w:val="18"/>
          <w:i w:val="1"/>
          <w:iCs w:val="1"/>
          <w:color w:val="auto"/>
        </w:rPr>
        <w:t>Offering Periods</w:t>
      </w:r>
      <w:r>
        <w:rPr>
          <w:rFonts w:ascii="Arial" w:cs="Arial" w:eastAsia="Arial" w:hAnsi="Arial"/>
          <w:sz w:val="18"/>
          <w:szCs w:val="18"/>
          <w:color w:val="auto"/>
        </w:rPr>
        <w:t>. Our 2019 ESPP will include a component that allows us to make offerings intended to qualify under Section 423 of the Code</w:t>
      </w:r>
      <w:r>
        <w:rPr>
          <w:rFonts w:ascii="Arial" w:cs="Arial" w:eastAsia="Arial" w:hAnsi="Arial"/>
          <w:sz w:val="18"/>
          <w:szCs w:val="18"/>
          <w:i w:val="1"/>
          <w:iCs w:val="1"/>
          <w:color w:val="auto"/>
        </w:rPr>
        <w:t xml:space="preserve"> </w:t>
      </w:r>
      <w:r>
        <w:rPr>
          <w:rFonts w:ascii="Arial" w:cs="Arial" w:eastAsia="Arial" w:hAnsi="Arial"/>
          <w:sz w:val="18"/>
          <w:szCs w:val="18"/>
          <w:color w:val="auto"/>
        </w:rPr>
        <w:t>and a component that allows us to make offerings not intended to qualify under Section 423 of the Code to designated companies, as described in our 2019 ESPP. Our 2019 ESPP will provide for consecutive, overlapping 6-month offering periods. The offering periods will be scheduled to start on the first trading day on or after June 1 and December 1 of each year, except the first offering period will commence on the first trading day on or after the effective date of the registration statement of which this prospectus forms a part and will end on the first trading day on or before December 1, 2019, and the second offering period will commence on the last trading day on or after December 1, 2019.</w:t>
      </w:r>
    </w:p>
    <w:p>
      <w:pPr>
        <w:spacing w:after="0" w:line="190"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i w:val="1"/>
          <w:iCs w:val="1"/>
          <w:color w:val="auto"/>
        </w:rPr>
        <w:t>Contributions</w:t>
      </w:r>
      <w:r>
        <w:rPr>
          <w:rFonts w:ascii="Arial" w:cs="Arial" w:eastAsia="Arial" w:hAnsi="Arial"/>
          <w:sz w:val="19"/>
          <w:szCs w:val="19"/>
          <w:color w:val="auto"/>
        </w:rPr>
        <w:t>. Our 2019 ESPP will permit participants to purchase shares of our common stock through contributions (in the form of payroll</w:t>
      </w:r>
      <w:r>
        <w:rPr>
          <w:rFonts w:ascii="Arial" w:cs="Arial" w:eastAsia="Arial" w:hAnsi="Arial"/>
          <w:sz w:val="19"/>
          <w:szCs w:val="19"/>
          <w:i w:val="1"/>
          <w:iCs w:val="1"/>
          <w:color w:val="auto"/>
        </w:rPr>
        <w:t xml:space="preserve"> </w:t>
      </w:r>
      <w:r>
        <w:rPr>
          <w:rFonts w:ascii="Arial" w:cs="Arial" w:eastAsia="Arial" w:hAnsi="Arial"/>
          <w:sz w:val="19"/>
          <w:szCs w:val="19"/>
          <w:color w:val="auto"/>
        </w:rPr>
        <w:t>deductions or otherwise to the extent permitted by the administrator) of up to 15% of their eligible compensation, which includes a participant’s base straight time gross earnings but excludes payments for incentive compensation, bonuses, payments for overtime and shift premium, equity compensation income and other similar compensation. Unless otherwise determined by the administrator, a participant may make a one-time decrease (but not increase) to the rate of his or her contributions to 0% during an offering period.</w:t>
      </w:r>
    </w:p>
    <w:p>
      <w:pPr>
        <w:spacing w:after="0" w:line="204" w:lineRule="exact"/>
        <w:rPr>
          <w:sz w:val="20"/>
          <w:szCs w:val="20"/>
          <w:color w:val="auto"/>
        </w:rPr>
      </w:pPr>
    </w:p>
    <w:p>
      <w:pPr>
        <w:jc w:val="both"/>
        <w:ind w:left="180" w:right="80" w:firstLine="465"/>
        <w:spacing w:after="0" w:line="277" w:lineRule="auto"/>
        <w:rPr>
          <w:sz w:val="20"/>
          <w:szCs w:val="20"/>
          <w:color w:val="auto"/>
        </w:rPr>
      </w:pPr>
      <w:r>
        <w:rPr>
          <w:rFonts w:ascii="Arial" w:cs="Arial" w:eastAsia="Arial" w:hAnsi="Arial"/>
          <w:sz w:val="18"/>
          <w:szCs w:val="18"/>
          <w:i w:val="1"/>
          <w:iCs w:val="1"/>
          <w:color w:val="auto"/>
        </w:rPr>
        <w:t>Exercise of Purchase Right</w:t>
      </w:r>
      <w:r>
        <w:rPr>
          <w:rFonts w:ascii="Arial" w:cs="Arial" w:eastAsia="Arial" w:hAnsi="Arial"/>
          <w:sz w:val="18"/>
          <w:szCs w:val="18"/>
          <w:color w:val="auto"/>
        </w:rPr>
        <w:t>. Amounts contributed and accumulated by the participant will be used to purchase shares of our common stock at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each offering. A participant may purchase a maximum of 2,000 shares of our common stock during an offering period. The purchase price of the shares will be 85% of the lower of the fair market value of our common stock on the first trading day of the offering period or on the exercise date. Participants may end their participation at any time during an offering period and will be paid their</w:t>
      </w:r>
    </w:p>
    <w:p>
      <w:pPr>
        <w:spacing w:after="0" w:line="114"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154</w:t>
      </w:r>
    </w:p>
    <w:p>
      <w:pPr>
        <w:sectPr>
          <w:pgSz w:w="12240" w:h="15840" w:orient="portrait"/>
          <w:cols w:equalWidth="0" w:num="1">
            <w:col w:w="11800"/>
          </w:cols>
          <w:pgMar w:left="120" w:top="337" w:right="320" w:bottom="1440" w:gutter="0" w:footer="0" w:header="0"/>
        </w:sectPr>
      </w:pPr>
    </w:p>
    <w:bookmarkStart w:id="162" w:name="page163"/>
    <w:bookmarkEnd w:id="16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393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68260" cy="39370"/>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60"/>
        <w:spacing w:after="0" w:line="275" w:lineRule="auto"/>
        <w:rPr>
          <w:sz w:val="20"/>
          <w:szCs w:val="20"/>
          <w:color w:val="auto"/>
        </w:rPr>
      </w:pPr>
      <w:r>
        <w:rPr>
          <w:rFonts w:ascii="Arial" w:cs="Arial" w:eastAsia="Arial" w:hAnsi="Arial"/>
          <w:sz w:val="19"/>
          <w:szCs w:val="19"/>
          <w:color w:val="auto"/>
        </w:rPr>
        <w:t>accrued contributions that have not yet been used to purchase shares of our common stock. Participation ends automatically upon termination of employment with us.</w:t>
      </w:r>
    </w:p>
    <w:p>
      <w:pPr>
        <w:spacing w:after="0" w:line="184" w:lineRule="exact"/>
        <w:rPr>
          <w:sz w:val="20"/>
          <w:szCs w:val="20"/>
          <w:color w:val="auto"/>
        </w:rPr>
      </w:pPr>
    </w:p>
    <w:p>
      <w:pPr>
        <w:ind w:left="180" w:right="100" w:firstLine="465"/>
        <w:spacing w:after="0" w:line="275" w:lineRule="auto"/>
        <w:rPr>
          <w:sz w:val="20"/>
          <w:szCs w:val="20"/>
          <w:color w:val="auto"/>
        </w:rPr>
      </w:pPr>
      <w:r>
        <w:rPr>
          <w:rFonts w:ascii="Arial" w:cs="Arial" w:eastAsia="Arial" w:hAnsi="Arial"/>
          <w:sz w:val="19"/>
          <w:szCs w:val="19"/>
          <w:i w:val="1"/>
          <w:iCs w:val="1"/>
          <w:color w:val="auto"/>
        </w:rPr>
        <w:t>Non-Transferability</w:t>
      </w:r>
      <w:r>
        <w:rPr>
          <w:rFonts w:ascii="Arial" w:cs="Arial" w:eastAsia="Arial" w:hAnsi="Arial"/>
          <w:sz w:val="19"/>
          <w:szCs w:val="19"/>
          <w:color w:val="auto"/>
        </w:rPr>
        <w:t>. A participant may not transfer contributions credited to his or her account nor any rights granted under our 2019 ESPP other</w:t>
      </w:r>
      <w:r>
        <w:rPr>
          <w:rFonts w:ascii="Arial" w:cs="Arial" w:eastAsia="Arial" w:hAnsi="Arial"/>
          <w:sz w:val="19"/>
          <w:szCs w:val="19"/>
          <w:i w:val="1"/>
          <w:iCs w:val="1"/>
          <w:color w:val="auto"/>
        </w:rPr>
        <w:t xml:space="preserve"> </w:t>
      </w:r>
      <w:r>
        <w:rPr>
          <w:rFonts w:ascii="Arial" w:cs="Arial" w:eastAsia="Arial" w:hAnsi="Arial"/>
          <w:sz w:val="19"/>
          <w:szCs w:val="19"/>
          <w:color w:val="auto"/>
        </w:rPr>
        <w:t>than by will, the laws of descent and distribution or as otherwise provided under our 2019 ESPP.</w:t>
      </w:r>
    </w:p>
    <w:p>
      <w:pPr>
        <w:spacing w:after="0" w:line="184" w:lineRule="exact"/>
        <w:rPr>
          <w:sz w:val="20"/>
          <w:szCs w:val="20"/>
          <w:color w:val="auto"/>
        </w:rPr>
      </w:pPr>
    </w:p>
    <w:p>
      <w:pPr>
        <w:ind w:left="180" w:firstLine="465"/>
        <w:spacing w:after="0" w:line="272" w:lineRule="auto"/>
        <w:rPr>
          <w:sz w:val="20"/>
          <w:szCs w:val="20"/>
          <w:color w:val="auto"/>
        </w:rPr>
      </w:pPr>
      <w:r>
        <w:rPr>
          <w:rFonts w:ascii="Arial" w:cs="Arial" w:eastAsia="Arial" w:hAnsi="Arial"/>
          <w:sz w:val="18"/>
          <w:szCs w:val="18"/>
          <w:i w:val="1"/>
          <w:iCs w:val="1"/>
          <w:color w:val="auto"/>
        </w:rPr>
        <w:t>Merger or Change in Control</w:t>
      </w:r>
      <w:r>
        <w:rPr>
          <w:rFonts w:ascii="Arial" w:cs="Arial" w:eastAsia="Arial" w:hAnsi="Arial"/>
          <w:sz w:val="18"/>
          <w:szCs w:val="18"/>
          <w:color w:val="auto"/>
        </w:rPr>
        <w:t>. Our 2019 ESPP provides that in the event of a merger or change in control, as defined under our 2019 ESPP, a</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corporation (or a parent or subsidiary of the successor corporation) will assume or substitute each outstanding purchase right. If the successor corporation refuses to assume or substitute for the outstanding purchase right, the offering period with respect to which the purchase right relates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90" w:lineRule="exact"/>
        <w:rPr>
          <w:sz w:val="20"/>
          <w:szCs w:val="20"/>
          <w:color w:val="auto"/>
        </w:rPr>
      </w:pPr>
    </w:p>
    <w:p>
      <w:pPr>
        <w:ind w:left="180" w:right="20" w:firstLine="465"/>
        <w:spacing w:after="0" w:line="275" w:lineRule="auto"/>
        <w:rPr>
          <w:sz w:val="20"/>
          <w:szCs w:val="20"/>
          <w:color w:val="auto"/>
        </w:rPr>
      </w:pPr>
      <w:r>
        <w:rPr>
          <w:rFonts w:ascii="Arial" w:cs="Arial" w:eastAsia="Arial" w:hAnsi="Arial"/>
          <w:sz w:val="19"/>
          <w:szCs w:val="19"/>
          <w:i w:val="1"/>
          <w:iCs w:val="1"/>
          <w:color w:val="auto"/>
        </w:rPr>
        <w:t>Amendment; Termination</w:t>
      </w:r>
      <w:r>
        <w:rPr>
          <w:rFonts w:ascii="Arial" w:cs="Arial" w:eastAsia="Arial" w:hAnsi="Arial"/>
          <w:sz w:val="19"/>
          <w:szCs w:val="19"/>
          <w:color w:val="auto"/>
        </w:rPr>
        <w:t>. The administrator will have the authority to amend, suspend or terminate our 2019 ESPP. Our 2019 ESPP automatically</w:t>
      </w:r>
      <w:r>
        <w:rPr>
          <w:rFonts w:ascii="Arial" w:cs="Arial" w:eastAsia="Arial" w:hAnsi="Arial"/>
          <w:sz w:val="19"/>
          <w:szCs w:val="19"/>
          <w:i w:val="1"/>
          <w:iCs w:val="1"/>
          <w:color w:val="auto"/>
        </w:rPr>
        <w:t xml:space="preserve"> </w:t>
      </w:r>
      <w:r>
        <w:rPr>
          <w:rFonts w:ascii="Arial" w:cs="Arial" w:eastAsia="Arial" w:hAnsi="Arial"/>
          <w:sz w:val="19"/>
          <w:szCs w:val="19"/>
          <w:color w:val="auto"/>
        </w:rPr>
        <w:t>will terminate in 2039, unless we terminate it sooner.</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401(k) Plan</w:t>
      </w:r>
    </w:p>
    <w:p>
      <w:pPr>
        <w:spacing w:after="0" w:line="130"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color w:val="auto"/>
        </w:rPr>
        <w:t>We maintain a 401(k) retirement savings plan for the benefit of our employees, including our named executive officers, who satisfy certain eligibility requirements. Under the 401(k) plan, eligible employees may elect to defer a portion of their compensation, within the limits prescribed by the Code, on a pre-tax or after-tax (Roth) basis, through contributions to the 401(k) plan. The 401(k) plan authorizes employer safe harbor contributions.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Rule 10b5-1 Sales Plans</w:t>
      </w:r>
    </w:p>
    <w:p>
      <w:pPr>
        <w:spacing w:after="0" w:line="130" w:lineRule="exact"/>
        <w:rPr>
          <w:sz w:val="20"/>
          <w:szCs w:val="20"/>
          <w:color w:val="auto"/>
        </w:rPr>
      </w:pPr>
    </w:p>
    <w:p>
      <w:pPr>
        <w:ind w:left="180" w:right="20" w:firstLine="465"/>
        <w:spacing w:after="0" w:line="270"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Without the prior written consent of Morgan Stanley &amp; Co. LLC, Merrill Lynch, Pierce, Fenner &amp; Smith Incorporated, and Cowen and Company, LLC, prior to the day following the 180th day after the date of this offering, the sale of any shares under such plan would be subject to the lock-up agreement that the director or executive officer has entered into with the underwriters.</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Limitation of Liability and Indemnification</w:t>
      </w:r>
    </w:p>
    <w:p>
      <w:pPr>
        <w:spacing w:after="0" w:line="130" w:lineRule="exact"/>
        <w:rPr>
          <w:sz w:val="20"/>
          <w:szCs w:val="20"/>
          <w:color w:val="auto"/>
        </w:rPr>
      </w:pPr>
    </w:p>
    <w:p>
      <w:pPr>
        <w:ind w:left="180" w:right="40" w:firstLine="465"/>
        <w:spacing w:after="0" w:line="308" w:lineRule="auto"/>
        <w:rPr>
          <w:sz w:val="20"/>
          <w:szCs w:val="20"/>
          <w:color w:val="auto"/>
        </w:rPr>
      </w:pPr>
      <w:r>
        <w:rPr>
          <w:rFonts w:ascii="Arial" w:cs="Arial" w:eastAsia="Arial" w:hAnsi="Arial"/>
          <w:sz w:val="17"/>
          <w:szCs w:val="17"/>
          <w:color w:val="auto"/>
        </w:rPr>
        <w:t>Our amended and restated certificate of incorporation and amended and restated bylaws, each to be effective upon the completion of this offering, will provide that we will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60" w:lineRule="exact"/>
        <w:rPr>
          <w:sz w:val="20"/>
          <w:szCs w:val="20"/>
          <w:color w:val="auto"/>
        </w:rPr>
      </w:pPr>
    </w:p>
    <w:p>
      <w:pPr>
        <w:ind w:left="1100" w:hanging="350"/>
        <w:spacing w:after="0"/>
        <w:tabs>
          <w:tab w:leader="none" w:pos="110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any breach of the director’s duty of loyalty to us or to our stockholders;</w:t>
      </w:r>
    </w:p>
    <w:p>
      <w:pPr>
        <w:spacing w:after="0" w:line="138" w:lineRule="exact"/>
        <w:rPr>
          <w:rFonts w:ascii="Arial" w:cs="Arial" w:eastAsia="Arial" w:hAnsi="Arial"/>
          <w:sz w:val="19"/>
          <w:szCs w:val="19"/>
          <w:color w:val="auto"/>
        </w:rPr>
      </w:pPr>
    </w:p>
    <w:p>
      <w:pPr>
        <w:ind w:left="5860" w:right="2800" w:hanging="5110"/>
        <w:spacing w:after="0" w:line="448" w:lineRule="auto"/>
        <w:tabs>
          <w:tab w:leader="none" w:pos="1097"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acts or omissions not in good faith or that involve intentional misconduct or a knowing violation of law; 155</w:t>
      </w:r>
    </w:p>
    <w:p>
      <w:pPr>
        <w:sectPr>
          <w:pgSz w:w="12240" w:h="15840" w:orient="portrait"/>
          <w:cols w:equalWidth="0" w:num="1">
            <w:col w:w="11800"/>
          </w:cols>
          <w:pgMar w:left="120" w:top="336" w:right="320" w:bottom="1440" w:gutter="0" w:footer="0" w:header="0"/>
        </w:sectPr>
      </w:pPr>
    </w:p>
    <w:bookmarkStart w:id="163" w:name="page164"/>
    <w:bookmarkEnd w:id="16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hanging="350"/>
        <w:spacing w:after="0"/>
        <w:tabs>
          <w:tab w:leader="none" w:pos="110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unlawful payment of dividends or unlawful stock repurchases or redemptions; and</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any transaction from which the director derived an improper personal benefit.</w:t>
      </w:r>
    </w:p>
    <w:p>
      <w:pPr>
        <w:spacing w:after="0" w:line="238" w:lineRule="exact"/>
        <w:rPr>
          <w:sz w:val="20"/>
          <w:szCs w:val="20"/>
          <w:color w:val="auto"/>
        </w:rPr>
      </w:pPr>
    </w:p>
    <w:p>
      <w:pPr>
        <w:ind w:left="180" w:right="60" w:firstLine="465"/>
        <w:spacing w:after="0" w:line="272"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90"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In addition to the indemnification required in our amended and restated certificate of incorporation and amended and restated bylaws, we intend to enter into an indemnification agreement with each member of our board of directors and each of our officers prior to the completion of the offering.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90" w:lineRule="exact"/>
        <w:rPr>
          <w:sz w:val="20"/>
          <w:szCs w:val="20"/>
          <w:color w:val="auto"/>
        </w:rPr>
      </w:pPr>
    </w:p>
    <w:p>
      <w:pPr>
        <w:ind w:left="180" w:right="80" w:firstLine="465"/>
        <w:spacing w:after="0" w:line="269"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156</w:t>
      </w:r>
    </w:p>
    <w:p>
      <w:pPr>
        <w:sectPr>
          <w:pgSz w:w="12240" w:h="15840" w:orient="portrait"/>
          <w:cols w:equalWidth="0" w:num="1">
            <w:col w:w="11820"/>
          </w:cols>
          <w:pgMar w:left="120" w:top="336" w:right="300" w:bottom="1440" w:gutter="0" w:footer="0" w:header="0"/>
        </w:sectPr>
      </w:pPr>
    </w:p>
    <w:bookmarkStart w:id="164" w:name="page165"/>
    <w:bookmarkEnd w:id="16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CERTAIN RELATIONSHIPS AND RELATED PARTY TRANSACTIONS</w:t>
      </w:r>
    </w:p>
    <w:p>
      <w:pPr>
        <w:spacing w:after="0" w:line="244" w:lineRule="exact"/>
        <w:rPr>
          <w:sz w:val="20"/>
          <w:szCs w:val="20"/>
          <w:color w:val="auto"/>
        </w:rPr>
      </w:pPr>
    </w:p>
    <w:p>
      <w:pPr>
        <w:ind w:left="180" w:right="200" w:firstLine="465"/>
        <w:spacing w:after="0" w:line="263" w:lineRule="auto"/>
        <w:rPr>
          <w:sz w:val="20"/>
          <w:szCs w:val="20"/>
          <w:color w:val="auto"/>
        </w:rPr>
      </w:pPr>
      <w:r>
        <w:rPr>
          <w:rFonts w:ascii="Arial" w:cs="Arial" w:eastAsia="Arial" w:hAnsi="Arial"/>
          <w:sz w:val="19"/>
          <w:szCs w:val="19"/>
          <w:color w:val="auto"/>
        </w:rPr>
        <w:t>The following is a description of certain relationships and transactions since January 1, 2015 involving our directors, executive officers, or beneficial holders of more than 5% of our capital stock. Compensation arrangements and indemnification arrangements with our directors and officers are described in “Management— Director Compensation,” “Executive Compensation,” and “Management.”</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Private Placements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Series E Preferred Stock Transaction</w:t>
      </w:r>
    </w:p>
    <w:p>
      <w:pPr>
        <w:spacing w:after="0" w:line="124" w:lineRule="exact"/>
        <w:rPr>
          <w:sz w:val="20"/>
          <w:szCs w:val="20"/>
          <w:color w:val="auto"/>
        </w:rPr>
      </w:pPr>
    </w:p>
    <w:p>
      <w:pPr>
        <w:ind w:left="180" w:right="400" w:firstLine="465"/>
        <w:spacing w:after="0" w:line="275" w:lineRule="auto"/>
        <w:rPr>
          <w:sz w:val="20"/>
          <w:szCs w:val="20"/>
          <w:color w:val="auto"/>
        </w:rPr>
      </w:pPr>
      <w:r>
        <w:rPr>
          <w:rFonts w:ascii="Arial" w:cs="Arial" w:eastAsia="Arial" w:hAnsi="Arial"/>
          <w:sz w:val="19"/>
          <w:szCs w:val="19"/>
          <w:color w:val="auto"/>
        </w:rPr>
        <w:t>In April 2018, July 2018, and October 2018 we issued and sold an aggregate of 9,373,633 shares of our Series E preferred stock at a purchase price of $14.2154 per share for an aggregate purchase price of approximately $133.2 million.</w:t>
      </w:r>
    </w:p>
    <w:p>
      <w:pPr>
        <w:spacing w:after="0" w:line="184" w:lineRule="exact"/>
        <w:rPr>
          <w:sz w:val="20"/>
          <w:szCs w:val="20"/>
          <w:color w:val="auto"/>
        </w:rPr>
      </w:pPr>
    </w:p>
    <w:p>
      <w:pPr>
        <w:ind w:left="180" w:right="40" w:firstLine="465"/>
        <w:spacing w:after="0" w:line="263" w:lineRule="auto"/>
        <w:rPr>
          <w:sz w:val="20"/>
          <w:szCs w:val="20"/>
          <w:color w:val="auto"/>
        </w:rPr>
      </w:pPr>
      <w:r>
        <w:rPr>
          <w:rFonts w:ascii="Arial" w:cs="Arial" w:eastAsia="Arial" w:hAnsi="Arial"/>
          <w:sz w:val="19"/>
          <w:szCs w:val="19"/>
          <w:color w:val="auto"/>
        </w:rPr>
        <w:t>Purchasers of our Series E preferred stock include one of our directors and venture capital funds that beneficially own more than 5% of our outstanding capital stock and/or are represented on our board of directors. The following table presents the number of shares and the total purchase price paid by these entities and individual.</w:t>
      </w:r>
    </w:p>
    <w:p>
      <w:pPr>
        <w:spacing w:after="0" w:line="19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40" w:type="dxa"/>
            <w:vAlign w:val="bottom"/>
            <w:vMerge w:val="restart"/>
          </w:tcPr>
          <w:p>
            <w:pPr>
              <w:spacing w:after="0"/>
              <w:rPr>
                <w:sz w:val="20"/>
                <w:szCs w:val="20"/>
                <w:color w:val="auto"/>
              </w:rPr>
            </w:pPr>
            <w:r>
              <w:rPr>
                <w:rFonts w:ascii="Arial" w:cs="Arial" w:eastAsia="Arial" w:hAnsi="Arial"/>
                <w:sz w:val="15"/>
                <w:szCs w:val="15"/>
                <w:b w:val="1"/>
                <w:bCs w:val="1"/>
                <w:color w:val="auto"/>
                <w:w w:val="89"/>
              </w:rPr>
              <w:t>Investor</w:t>
            </w:r>
          </w:p>
        </w:tc>
        <w:tc>
          <w:tcPr>
            <w:tcW w:w="6620" w:type="dxa"/>
            <w:vAlign w:val="bottom"/>
            <w:vMerge w:val="restart"/>
          </w:tcPr>
          <w:p>
            <w:pPr>
              <w:spacing w:after="0"/>
              <w:rPr>
                <w:sz w:val="14"/>
                <w:szCs w:val="14"/>
                <w:color w:val="auto"/>
              </w:rPr>
            </w:pPr>
          </w:p>
        </w:tc>
        <w:tc>
          <w:tcPr>
            <w:tcW w:w="2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5"/>
                <w:szCs w:val="15"/>
                <w:b w:val="1"/>
                <w:bCs w:val="1"/>
                <w:color w:val="auto"/>
                <w:w w:val="92"/>
              </w:rPr>
              <w:t>Total Purchase</w:t>
            </w:r>
          </w:p>
        </w:tc>
        <w:tc>
          <w:tcPr>
            <w:tcW w:w="0" w:type="dxa"/>
            <w:vAlign w:val="bottom"/>
          </w:tcPr>
          <w:p>
            <w:pPr>
              <w:spacing w:after="0"/>
              <w:rPr>
                <w:sz w:val="1"/>
                <w:szCs w:val="1"/>
                <w:color w:val="auto"/>
              </w:rPr>
            </w:pPr>
          </w:p>
        </w:tc>
      </w:tr>
      <w:tr>
        <w:trPr>
          <w:trHeight w:val="186"/>
        </w:trPr>
        <w:tc>
          <w:tcPr>
            <w:tcW w:w="540" w:type="dxa"/>
            <w:vAlign w:val="bottom"/>
            <w:tcBorders>
              <w:bottom w:val="single" w:sz="8" w:color="auto"/>
            </w:tcBorders>
            <w:vMerge w:val="continue"/>
          </w:tcPr>
          <w:p>
            <w:pPr>
              <w:spacing w:after="0"/>
              <w:rPr>
                <w:sz w:val="16"/>
                <w:szCs w:val="16"/>
                <w:color w:val="auto"/>
              </w:rPr>
            </w:pPr>
          </w:p>
        </w:tc>
        <w:tc>
          <w:tcPr>
            <w:tcW w:w="6620" w:type="dxa"/>
            <w:vAlign w:val="bottom"/>
            <w:vMerge w:val="continue"/>
          </w:tcPr>
          <w:p>
            <w:pPr>
              <w:spacing w:after="0"/>
              <w:rPr>
                <w:sz w:val="16"/>
                <w:szCs w:val="16"/>
                <w:color w:val="auto"/>
              </w:rPr>
            </w:pPr>
          </w:p>
        </w:tc>
        <w:tc>
          <w:tcPr>
            <w:tcW w:w="3440" w:type="dxa"/>
            <w:vAlign w:val="bottom"/>
            <w:gridSpan w:val="2"/>
          </w:tcPr>
          <w:p>
            <w:pPr>
              <w:spacing w:after="0" w:line="166" w:lineRule="exact"/>
              <w:rPr>
                <w:sz w:val="20"/>
                <w:szCs w:val="20"/>
                <w:color w:val="auto"/>
              </w:rPr>
            </w:pPr>
            <w:r>
              <w:rPr>
                <w:rFonts w:ascii="Arial" w:cs="Arial" w:eastAsia="Arial" w:hAnsi="Arial"/>
                <w:sz w:val="15"/>
                <w:szCs w:val="15"/>
                <w:b w:val="1"/>
                <w:bCs w:val="1"/>
                <w:color w:val="auto"/>
              </w:rPr>
              <w:t>Shares of Series E Preferred Stock</w:t>
            </w:r>
          </w:p>
        </w:tc>
        <w:tc>
          <w:tcPr>
            <w:tcW w:w="160" w:type="dxa"/>
            <w:vAlign w:val="bottom"/>
          </w:tcPr>
          <w:p>
            <w:pPr>
              <w:spacing w:after="0"/>
              <w:rPr>
                <w:sz w:val="16"/>
                <w:szCs w:val="16"/>
                <w:color w:val="auto"/>
              </w:rPr>
            </w:pPr>
          </w:p>
        </w:tc>
        <w:tc>
          <w:tcPr>
            <w:tcW w:w="880" w:type="dxa"/>
            <w:vAlign w:val="bottom"/>
            <w:gridSpan w:val="2"/>
          </w:tcPr>
          <w:p>
            <w:pPr>
              <w:ind w:left="160"/>
              <w:spacing w:after="0" w:line="166" w:lineRule="exact"/>
              <w:rPr>
                <w:sz w:val="20"/>
                <w:szCs w:val="20"/>
                <w:color w:val="auto"/>
              </w:rPr>
            </w:pPr>
            <w:r>
              <w:rPr>
                <w:rFonts w:ascii="Arial" w:cs="Arial" w:eastAsia="Arial" w:hAnsi="Arial"/>
                <w:sz w:val="15"/>
                <w:szCs w:val="15"/>
                <w:b w:val="1"/>
                <w:bCs w:val="1"/>
                <w:color w:val="auto"/>
              </w:rPr>
              <w:t>Price</w:t>
            </w:r>
          </w:p>
        </w:tc>
        <w:tc>
          <w:tcPr>
            <w:tcW w:w="0" w:type="dxa"/>
            <w:vAlign w:val="bottom"/>
          </w:tcPr>
          <w:p>
            <w:pPr>
              <w:spacing w:after="0"/>
              <w:rPr>
                <w:sz w:val="1"/>
                <w:szCs w:val="1"/>
                <w:color w:val="auto"/>
              </w:rPr>
            </w:pPr>
          </w:p>
        </w:tc>
      </w:tr>
      <w:tr>
        <w:trPr>
          <w:trHeight w:val="217"/>
        </w:trPr>
        <w:tc>
          <w:tcPr>
            <w:tcW w:w="7160" w:type="dxa"/>
            <w:vAlign w:val="bottom"/>
            <w:tcBorders>
              <w:top w:val="single" w:sz="8" w:color="CCEEFF"/>
            </w:tcBorders>
            <w:gridSpan w:val="2"/>
            <w:shd w:val="clear" w:color="auto" w:fill="CCEEFF"/>
          </w:tcPr>
          <w:p>
            <w:pPr>
              <w:spacing w:after="0" w:line="217" w:lineRule="exact"/>
              <w:rPr>
                <w:sz w:val="20"/>
                <w:szCs w:val="20"/>
                <w:color w:val="auto"/>
              </w:rPr>
            </w:pPr>
            <w:r>
              <w:rPr>
                <w:rFonts w:ascii="Arial" w:cs="Arial" w:eastAsia="Arial" w:hAnsi="Arial"/>
                <w:sz w:val="19"/>
                <w:szCs w:val="19"/>
                <w:color w:val="auto"/>
              </w:rPr>
              <w:t>Entities affiliated with Polaris Venture Partners</w:t>
            </w:r>
            <w:r>
              <w:rPr>
                <w:rFonts w:ascii="Arial" w:cs="Arial" w:eastAsia="Arial" w:hAnsi="Arial"/>
                <w:sz w:val="16"/>
                <w:szCs w:val="16"/>
                <w:color w:val="auto"/>
              </w:rPr>
              <w:t>(1)</w:t>
            </w:r>
          </w:p>
        </w:tc>
        <w:tc>
          <w:tcPr>
            <w:tcW w:w="2240" w:type="dxa"/>
            <w:vAlign w:val="bottom"/>
            <w:tcBorders>
              <w:top w:val="single" w:sz="8" w:color="auto"/>
            </w:tcBorders>
            <w:shd w:val="clear" w:color="auto" w:fill="CCEEFF"/>
          </w:tcPr>
          <w:p>
            <w:pPr>
              <w:jc w:val="right"/>
              <w:spacing w:after="0" w:line="217" w:lineRule="exact"/>
              <w:rPr>
                <w:sz w:val="20"/>
                <w:szCs w:val="20"/>
                <w:color w:val="auto"/>
              </w:rPr>
            </w:pPr>
            <w:r>
              <w:rPr>
                <w:rFonts w:ascii="Arial" w:cs="Arial" w:eastAsia="Arial" w:hAnsi="Arial"/>
                <w:sz w:val="19"/>
                <w:szCs w:val="19"/>
                <w:color w:val="auto"/>
              </w:rPr>
              <w:t>527,597</w:t>
            </w:r>
          </w:p>
        </w:tc>
        <w:tc>
          <w:tcPr>
            <w:tcW w:w="1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line="217" w:lineRule="exact"/>
              <w:rPr>
                <w:sz w:val="20"/>
                <w:szCs w:val="20"/>
                <w:color w:val="auto"/>
              </w:rPr>
            </w:pPr>
            <w:r>
              <w:rPr>
                <w:rFonts w:ascii="Arial" w:cs="Arial" w:eastAsia="Arial" w:hAnsi="Arial"/>
                <w:sz w:val="19"/>
                <w:szCs w:val="19"/>
                <w:color w:val="auto"/>
              </w:rPr>
              <w:t>$</w:t>
            </w:r>
          </w:p>
        </w:tc>
        <w:tc>
          <w:tcPr>
            <w:tcW w:w="820" w:type="dxa"/>
            <w:vAlign w:val="bottom"/>
            <w:tcBorders>
              <w:top w:val="single" w:sz="8" w:color="auto"/>
            </w:tcBorders>
            <w:shd w:val="clear" w:color="auto" w:fill="CCEEFF"/>
          </w:tcPr>
          <w:p>
            <w:pPr>
              <w:jc w:val="right"/>
              <w:spacing w:after="0" w:line="217" w:lineRule="exact"/>
              <w:rPr>
                <w:sz w:val="20"/>
                <w:szCs w:val="20"/>
                <w:color w:val="auto"/>
              </w:rPr>
            </w:pPr>
            <w:r>
              <w:rPr>
                <w:rFonts w:ascii="Arial" w:cs="Arial" w:eastAsia="Arial" w:hAnsi="Arial"/>
                <w:sz w:val="19"/>
                <w:szCs w:val="19"/>
                <w:color w:val="auto"/>
                <w:w w:val="94"/>
              </w:rPr>
              <w:t>7,500,002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160" w:type="dxa"/>
            <w:vAlign w:val="bottom"/>
            <w:gridSpan w:val="2"/>
          </w:tcPr>
          <w:p>
            <w:pPr>
              <w:spacing w:after="0"/>
              <w:rPr>
                <w:sz w:val="20"/>
                <w:szCs w:val="20"/>
                <w:color w:val="auto"/>
              </w:rPr>
            </w:pPr>
            <w:r>
              <w:rPr>
                <w:rFonts w:ascii="Arial" w:cs="Arial" w:eastAsia="Arial" w:hAnsi="Arial"/>
                <w:sz w:val="19"/>
                <w:szCs w:val="19"/>
                <w:color w:val="auto"/>
              </w:rPr>
              <w:t>Entities affiliated with OrbiMed Private Investments</w:t>
            </w:r>
            <w:r>
              <w:rPr>
                <w:rFonts w:ascii="Arial" w:cs="Arial" w:eastAsia="Arial" w:hAnsi="Arial"/>
                <w:sz w:val="16"/>
                <w:szCs w:val="16"/>
                <w:color w:val="auto"/>
              </w:rPr>
              <w:t>(2)</w:t>
            </w:r>
          </w:p>
        </w:tc>
        <w:tc>
          <w:tcPr>
            <w:tcW w:w="3440" w:type="dxa"/>
            <w:vAlign w:val="bottom"/>
            <w:gridSpan w:val="2"/>
          </w:tcPr>
          <w:p>
            <w:pPr>
              <w:jc w:val="right"/>
              <w:ind w:right="1200"/>
              <w:spacing w:after="0"/>
              <w:rPr>
                <w:sz w:val="20"/>
                <w:szCs w:val="20"/>
                <w:color w:val="auto"/>
              </w:rPr>
            </w:pPr>
            <w:r>
              <w:rPr>
                <w:rFonts w:ascii="Arial" w:cs="Arial" w:eastAsia="Arial" w:hAnsi="Arial"/>
                <w:sz w:val="19"/>
                <w:szCs w:val="19"/>
                <w:color w:val="auto"/>
              </w:rPr>
              <w:t>351,732</w:t>
            </w:r>
          </w:p>
        </w:tc>
        <w:tc>
          <w:tcPr>
            <w:tcW w:w="160" w:type="dxa"/>
            <w:vAlign w:val="bottom"/>
          </w:tcPr>
          <w:p>
            <w:pPr>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9"/>
                <w:szCs w:val="19"/>
                <w:color w:val="auto"/>
                <w:w w:val="94"/>
              </w:rPr>
              <w:t>5,000,011</w:t>
            </w:r>
          </w:p>
        </w:tc>
        <w:tc>
          <w:tcPr>
            <w:tcW w:w="0" w:type="dxa"/>
            <w:vAlign w:val="bottom"/>
          </w:tcPr>
          <w:p>
            <w:pPr>
              <w:spacing w:after="0"/>
              <w:rPr>
                <w:sz w:val="1"/>
                <w:szCs w:val="1"/>
                <w:color w:val="auto"/>
              </w:rPr>
            </w:pPr>
          </w:p>
        </w:tc>
      </w:tr>
      <w:tr>
        <w:trPr>
          <w:trHeight w:val="228"/>
        </w:trPr>
        <w:tc>
          <w:tcPr>
            <w:tcW w:w="71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Tillman Gerngross, Ph.D.</w:t>
            </w:r>
            <w:r>
              <w:rPr>
                <w:rFonts w:ascii="Arial" w:cs="Arial" w:eastAsia="Arial" w:hAnsi="Arial"/>
                <w:sz w:val="16"/>
                <w:szCs w:val="16"/>
                <w:color w:val="auto"/>
              </w:rPr>
              <w:t>(3)</w:t>
            </w:r>
          </w:p>
        </w:tc>
        <w:tc>
          <w:tcPr>
            <w:tcW w:w="3440" w:type="dxa"/>
            <w:vAlign w:val="bottom"/>
            <w:gridSpan w:val="2"/>
            <w:shd w:val="clear" w:color="auto" w:fill="CCEEFF"/>
          </w:tcPr>
          <w:p>
            <w:pPr>
              <w:jc w:val="right"/>
              <w:ind w:right="1200"/>
              <w:spacing w:after="0"/>
              <w:rPr>
                <w:sz w:val="20"/>
                <w:szCs w:val="20"/>
                <w:color w:val="auto"/>
              </w:rPr>
            </w:pPr>
            <w:r>
              <w:rPr>
                <w:rFonts w:ascii="Arial" w:cs="Arial" w:eastAsia="Arial" w:hAnsi="Arial"/>
                <w:sz w:val="19"/>
                <w:szCs w:val="19"/>
                <w:color w:val="auto"/>
              </w:rPr>
              <w:t>52,760</w:t>
            </w:r>
          </w:p>
        </w:tc>
        <w:tc>
          <w:tcPr>
            <w:tcW w:w="16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750,005</w:t>
            </w:r>
          </w:p>
        </w:tc>
        <w:tc>
          <w:tcPr>
            <w:tcW w:w="0" w:type="dxa"/>
            <w:vAlign w:val="bottom"/>
          </w:tcPr>
          <w:p>
            <w:pPr>
              <w:spacing w:after="0"/>
              <w:rPr>
                <w:sz w:val="1"/>
                <w:szCs w:val="1"/>
                <w:color w:val="auto"/>
              </w:rPr>
            </w:pPr>
          </w:p>
        </w:tc>
      </w:tr>
      <w:tr>
        <w:trPr>
          <w:trHeight w:val="228"/>
        </w:trPr>
        <w:tc>
          <w:tcPr>
            <w:tcW w:w="7160" w:type="dxa"/>
            <w:vAlign w:val="bottom"/>
            <w:gridSpan w:val="2"/>
          </w:tcPr>
          <w:p>
            <w:pPr>
              <w:spacing w:after="0"/>
              <w:rPr>
                <w:sz w:val="20"/>
                <w:szCs w:val="20"/>
                <w:color w:val="auto"/>
              </w:rPr>
            </w:pPr>
            <w:r>
              <w:rPr>
                <w:rFonts w:ascii="Arial" w:cs="Arial" w:eastAsia="Arial" w:hAnsi="Arial"/>
                <w:sz w:val="19"/>
                <w:szCs w:val="19"/>
                <w:color w:val="auto"/>
              </w:rPr>
              <w:t>Lavrite, LLC</w:t>
            </w:r>
            <w:r>
              <w:rPr>
                <w:rFonts w:ascii="Arial" w:cs="Arial" w:eastAsia="Arial" w:hAnsi="Arial"/>
                <w:sz w:val="16"/>
                <w:szCs w:val="16"/>
                <w:color w:val="auto"/>
              </w:rPr>
              <w:t>(4)</w:t>
            </w:r>
          </w:p>
        </w:tc>
        <w:tc>
          <w:tcPr>
            <w:tcW w:w="3440" w:type="dxa"/>
            <w:vAlign w:val="bottom"/>
            <w:gridSpan w:val="2"/>
          </w:tcPr>
          <w:p>
            <w:pPr>
              <w:jc w:val="right"/>
              <w:ind w:right="1200"/>
              <w:spacing w:after="0"/>
              <w:rPr>
                <w:sz w:val="20"/>
                <w:szCs w:val="20"/>
                <w:color w:val="auto"/>
              </w:rPr>
            </w:pPr>
            <w:r>
              <w:rPr>
                <w:rFonts w:ascii="Arial" w:cs="Arial" w:eastAsia="Arial" w:hAnsi="Arial"/>
                <w:sz w:val="19"/>
                <w:szCs w:val="19"/>
                <w:color w:val="auto"/>
              </w:rPr>
              <w:t>10,552</w:t>
            </w:r>
          </w:p>
        </w:tc>
        <w:tc>
          <w:tcPr>
            <w:tcW w:w="160" w:type="dxa"/>
            <w:vAlign w:val="bottom"/>
          </w:tcPr>
          <w:p>
            <w:pPr>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9"/>
                <w:szCs w:val="19"/>
                <w:color w:val="auto"/>
              </w:rPr>
              <w:t>150,001</w:t>
            </w:r>
          </w:p>
        </w:tc>
        <w:tc>
          <w:tcPr>
            <w:tcW w:w="0" w:type="dxa"/>
            <w:vAlign w:val="bottom"/>
          </w:tcPr>
          <w:p>
            <w:pPr>
              <w:spacing w:after="0"/>
              <w:rPr>
                <w:sz w:val="1"/>
                <w:szCs w:val="1"/>
                <w:color w:val="auto"/>
              </w:rPr>
            </w:pPr>
          </w:p>
        </w:tc>
      </w:tr>
      <w:tr>
        <w:trPr>
          <w:trHeight w:val="228"/>
        </w:trPr>
        <w:tc>
          <w:tcPr>
            <w:tcW w:w="71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MRL Ventures Fund, LLC</w:t>
            </w:r>
            <w:r>
              <w:rPr>
                <w:rFonts w:ascii="Arial" w:cs="Arial" w:eastAsia="Arial" w:hAnsi="Arial"/>
                <w:sz w:val="16"/>
                <w:szCs w:val="16"/>
                <w:color w:val="auto"/>
              </w:rPr>
              <w:t>(5)</w:t>
            </w:r>
          </w:p>
        </w:tc>
        <w:tc>
          <w:tcPr>
            <w:tcW w:w="3440" w:type="dxa"/>
            <w:vAlign w:val="bottom"/>
            <w:gridSpan w:val="2"/>
            <w:shd w:val="clear" w:color="auto" w:fill="CCEEFF"/>
          </w:tcPr>
          <w:p>
            <w:pPr>
              <w:jc w:val="right"/>
              <w:ind w:right="1200"/>
              <w:spacing w:after="0"/>
              <w:rPr>
                <w:sz w:val="20"/>
                <w:szCs w:val="20"/>
                <w:color w:val="auto"/>
              </w:rPr>
            </w:pPr>
            <w:r>
              <w:rPr>
                <w:rFonts w:ascii="Arial" w:cs="Arial" w:eastAsia="Arial" w:hAnsi="Arial"/>
                <w:sz w:val="19"/>
                <w:szCs w:val="19"/>
                <w:color w:val="auto"/>
              </w:rPr>
              <w:t>175,866</w:t>
            </w:r>
          </w:p>
        </w:tc>
        <w:tc>
          <w:tcPr>
            <w:tcW w:w="16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2,500,006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160" w:type="dxa"/>
            <w:vAlign w:val="bottom"/>
            <w:gridSpan w:val="2"/>
          </w:tcPr>
          <w:p>
            <w:pPr>
              <w:spacing w:after="0"/>
              <w:rPr>
                <w:sz w:val="20"/>
                <w:szCs w:val="20"/>
                <w:color w:val="auto"/>
              </w:rPr>
            </w:pPr>
            <w:r>
              <w:rPr>
                <w:rFonts w:ascii="Arial" w:cs="Arial" w:eastAsia="Arial" w:hAnsi="Arial"/>
                <w:sz w:val="19"/>
                <w:szCs w:val="19"/>
                <w:color w:val="auto"/>
              </w:rPr>
              <w:t>David Wehner</w:t>
            </w:r>
            <w:r>
              <w:rPr>
                <w:rFonts w:ascii="Arial" w:cs="Arial" w:eastAsia="Arial" w:hAnsi="Arial"/>
                <w:sz w:val="16"/>
                <w:szCs w:val="16"/>
                <w:color w:val="auto"/>
              </w:rPr>
              <w:t>(6)</w:t>
            </w:r>
          </w:p>
        </w:tc>
        <w:tc>
          <w:tcPr>
            <w:tcW w:w="3440" w:type="dxa"/>
            <w:vAlign w:val="bottom"/>
            <w:gridSpan w:val="2"/>
          </w:tcPr>
          <w:p>
            <w:pPr>
              <w:jc w:val="right"/>
              <w:ind w:right="1200"/>
              <w:spacing w:after="0"/>
              <w:rPr>
                <w:sz w:val="20"/>
                <w:szCs w:val="20"/>
                <w:color w:val="auto"/>
              </w:rPr>
            </w:pPr>
            <w:r>
              <w:rPr>
                <w:rFonts w:ascii="Arial" w:cs="Arial" w:eastAsia="Arial" w:hAnsi="Arial"/>
                <w:sz w:val="19"/>
                <w:szCs w:val="19"/>
                <w:color w:val="auto"/>
              </w:rPr>
              <w:t>24,621</w:t>
            </w:r>
          </w:p>
        </w:tc>
        <w:tc>
          <w:tcPr>
            <w:tcW w:w="160" w:type="dxa"/>
            <w:vAlign w:val="bottom"/>
          </w:tcPr>
          <w:p>
            <w:pPr>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9"/>
                <w:szCs w:val="19"/>
                <w:color w:val="auto"/>
              </w:rPr>
              <w:t>349,997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81915</wp:posOffset>
            </wp:positionV>
            <wp:extent cx="74231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52" w:lineRule="exact"/>
        <w:rPr>
          <w:sz w:val="20"/>
          <w:szCs w:val="20"/>
          <w:color w:val="auto"/>
        </w:rPr>
      </w:pPr>
    </w:p>
    <w:p>
      <w:pPr>
        <w:ind w:left="640" w:right="20" w:hanging="461"/>
        <w:spacing w:after="0" w:line="255" w:lineRule="auto"/>
        <w:tabs>
          <w:tab w:leader="none" w:pos="64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Entities affiliated with Polaris Venture Partners holding our securities whose shares are aggregated for purposes of reporting share ownership information include Polaris Venture Partners Founders’ Fund VI, L.P. and Polaris Venture Partners VI, L.P. Terry McGuire, a member of our board of directors, is a partner at Polaris Venture Funds.</w:t>
      </w:r>
    </w:p>
    <w:p>
      <w:pPr>
        <w:spacing w:after="0" w:line="1" w:lineRule="exact"/>
        <w:rPr>
          <w:rFonts w:ascii="Arial" w:cs="Arial" w:eastAsia="Arial" w:hAnsi="Arial"/>
          <w:sz w:val="19"/>
          <w:szCs w:val="19"/>
          <w:color w:val="auto"/>
        </w:rPr>
      </w:pPr>
    </w:p>
    <w:p>
      <w:pPr>
        <w:ind w:left="640" w:right="60" w:hanging="461"/>
        <w:spacing w:after="0" w:line="250" w:lineRule="auto"/>
        <w:tabs>
          <w:tab w:leader="none" w:pos="64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Entities affiliated with OrbiMed Private Investments holding our securities whose shares are aggregated for purposes of reporting share ownership information include OrbiMed Private Investments IV AL, LP and OrbiMed Private Investments IV-AL (Feeder), LP. Carl Gordon, a member of our board of directors, is a partner at OrbiMed Private Investments.</w:t>
      </w:r>
    </w:p>
    <w:p>
      <w:pPr>
        <w:spacing w:after="0" w:line="1" w:lineRule="exact"/>
        <w:rPr>
          <w:rFonts w:ascii="Arial" w:cs="Arial" w:eastAsia="Arial" w:hAnsi="Arial"/>
          <w:sz w:val="19"/>
          <w:szCs w:val="19"/>
          <w:color w:val="auto"/>
        </w:rPr>
      </w:pPr>
    </w:p>
    <w:p>
      <w:pPr>
        <w:ind w:left="640" w:hanging="461"/>
        <w:spacing w:after="0"/>
        <w:tabs>
          <w:tab w:leader="none" w:pos="64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Dr. Tillman Gerngross is one of our Founders and the chairperson of our board of directors.</w:t>
      </w:r>
    </w:p>
    <w:p>
      <w:pPr>
        <w:spacing w:after="0" w:line="9" w:lineRule="exact"/>
        <w:rPr>
          <w:rFonts w:ascii="Arial" w:cs="Arial" w:eastAsia="Arial" w:hAnsi="Arial"/>
          <w:sz w:val="19"/>
          <w:szCs w:val="19"/>
          <w:color w:val="auto"/>
        </w:rPr>
      </w:pPr>
    </w:p>
    <w:p>
      <w:pPr>
        <w:ind w:left="640" w:hanging="461"/>
        <w:spacing w:after="0"/>
        <w:tabs>
          <w:tab w:leader="none" w:pos="64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Louis J. Lavigne, Jr., a member of our board of directors, is a managing director of Lavrite, LLC.</w:t>
      </w:r>
    </w:p>
    <w:p>
      <w:pPr>
        <w:spacing w:after="0" w:line="9" w:lineRule="exact"/>
        <w:rPr>
          <w:rFonts w:ascii="Arial" w:cs="Arial" w:eastAsia="Arial" w:hAnsi="Arial"/>
          <w:sz w:val="19"/>
          <w:szCs w:val="19"/>
          <w:color w:val="auto"/>
        </w:rPr>
      </w:pPr>
    </w:p>
    <w:p>
      <w:pPr>
        <w:ind w:left="640" w:hanging="461"/>
        <w:spacing w:after="0"/>
        <w:tabs>
          <w:tab w:leader="none" w:pos="64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Dr. Christine Brennan, a member of our board of directors, is a partner at MRL Ventures Fund, LLC.</w:t>
      </w:r>
    </w:p>
    <w:p>
      <w:pPr>
        <w:spacing w:after="0" w:line="9" w:lineRule="exact"/>
        <w:rPr>
          <w:rFonts w:ascii="Arial" w:cs="Arial" w:eastAsia="Arial" w:hAnsi="Arial"/>
          <w:sz w:val="19"/>
          <w:szCs w:val="19"/>
          <w:color w:val="auto"/>
        </w:rPr>
      </w:pPr>
    </w:p>
    <w:p>
      <w:pPr>
        <w:ind w:left="640" w:hanging="461"/>
        <w:spacing w:after="0"/>
        <w:tabs>
          <w:tab w:leader="none" w:pos="64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David Wehner is a member of our board of directors.</w:t>
      </w:r>
    </w:p>
    <w:p>
      <w:pPr>
        <w:spacing w:after="0" w:line="33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Series D Preferred Stock Transaction</w:t>
      </w:r>
    </w:p>
    <w:p>
      <w:pPr>
        <w:spacing w:after="0" w:line="124" w:lineRule="exact"/>
        <w:rPr>
          <w:sz w:val="20"/>
          <w:szCs w:val="20"/>
          <w:color w:val="auto"/>
        </w:rPr>
      </w:pPr>
    </w:p>
    <w:p>
      <w:pPr>
        <w:ind w:left="180" w:right="140" w:firstLine="465"/>
        <w:spacing w:after="0" w:line="275" w:lineRule="auto"/>
        <w:rPr>
          <w:sz w:val="20"/>
          <w:szCs w:val="20"/>
          <w:color w:val="auto"/>
        </w:rPr>
      </w:pPr>
      <w:r>
        <w:rPr>
          <w:rFonts w:ascii="Arial" w:cs="Arial" w:eastAsia="Arial" w:hAnsi="Arial"/>
          <w:sz w:val="19"/>
          <w:szCs w:val="19"/>
          <w:color w:val="auto"/>
        </w:rPr>
        <w:t>In December 2015, we issued and sold an aggregate of 7,363,737 shares of our Series D preferred stock at a purchase price of $4.01 per share for an aggregate purchase price of approximately $29.5 million.</w:t>
      </w:r>
    </w:p>
    <w:p>
      <w:pPr>
        <w:spacing w:after="0" w:line="184" w:lineRule="exact"/>
        <w:rPr>
          <w:sz w:val="20"/>
          <w:szCs w:val="20"/>
          <w:color w:val="auto"/>
        </w:rPr>
      </w:pPr>
    </w:p>
    <w:p>
      <w:pPr>
        <w:ind w:left="180" w:right="280" w:firstLine="465"/>
        <w:spacing w:after="0" w:line="336" w:lineRule="auto"/>
        <w:rPr>
          <w:sz w:val="20"/>
          <w:szCs w:val="20"/>
          <w:color w:val="auto"/>
        </w:rPr>
      </w:pPr>
      <w:r>
        <w:rPr>
          <w:rFonts w:ascii="Arial" w:cs="Arial" w:eastAsia="Arial" w:hAnsi="Arial"/>
          <w:sz w:val="17"/>
          <w:szCs w:val="17"/>
          <w:color w:val="auto"/>
        </w:rPr>
        <w:t>Purchasers of our Series D preferred stock include venture capital funds that beneficially own more than 5% of our outstanding capital stock and/or are represented on our board of directors. The following table presents the number of shares and the total purchase price paid by these entities.</w:t>
      </w:r>
    </w:p>
    <w:p>
      <w:pPr>
        <w:spacing w:after="0" w:line="1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40" w:type="dxa"/>
            <w:vAlign w:val="bottom"/>
            <w:vMerge w:val="restart"/>
          </w:tcPr>
          <w:p>
            <w:pPr>
              <w:spacing w:after="0"/>
              <w:rPr>
                <w:sz w:val="20"/>
                <w:szCs w:val="20"/>
                <w:color w:val="auto"/>
              </w:rPr>
            </w:pPr>
            <w:r>
              <w:rPr>
                <w:rFonts w:ascii="Arial" w:cs="Arial" w:eastAsia="Arial" w:hAnsi="Arial"/>
                <w:sz w:val="15"/>
                <w:szCs w:val="15"/>
                <w:b w:val="1"/>
                <w:bCs w:val="1"/>
                <w:color w:val="auto"/>
                <w:w w:val="89"/>
              </w:rPr>
              <w:t>Investor</w:t>
            </w:r>
          </w:p>
        </w:tc>
        <w:tc>
          <w:tcPr>
            <w:tcW w:w="4380" w:type="dxa"/>
            <w:vAlign w:val="bottom"/>
            <w:vMerge w:val="restart"/>
          </w:tcPr>
          <w:p>
            <w:pPr>
              <w:spacing w:after="0"/>
              <w:rPr>
                <w:sz w:val="14"/>
                <w:szCs w:val="14"/>
                <w:color w:val="auto"/>
              </w:rPr>
            </w:pPr>
          </w:p>
        </w:tc>
        <w:tc>
          <w:tcPr>
            <w:tcW w:w="20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5"/>
                <w:szCs w:val="15"/>
                <w:b w:val="1"/>
                <w:bCs w:val="1"/>
                <w:color w:val="auto"/>
                <w:w w:val="92"/>
              </w:rPr>
              <w:t>Total Purchase</w:t>
            </w:r>
          </w:p>
        </w:tc>
        <w:tc>
          <w:tcPr>
            <w:tcW w:w="0" w:type="dxa"/>
            <w:vAlign w:val="bottom"/>
          </w:tcPr>
          <w:p>
            <w:pPr>
              <w:spacing w:after="0"/>
              <w:rPr>
                <w:sz w:val="1"/>
                <w:szCs w:val="1"/>
                <w:color w:val="auto"/>
              </w:rPr>
            </w:pPr>
          </w:p>
        </w:tc>
      </w:tr>
      <w:tr>
        <w:trPr>
          <w:trHeight w:val="186"/>
        </w:trPr>
        <w:tc>
          <w:tcPr>
            <w:tcW w:w="540" w:type="dxa"/>
            <w:vAlign w:val="bottom"/>
            <w:tcBorders>
              <w:bottom w:val="single" w:sz="8" w:color="auto"/>
            </w:tcBorders>
            <w:vMerge w:val="continue"/>
          </w:tcPr>
          <w:p>
            <w:pPr>
              <w:spacing w:after="0"/>
              <w:rPr>
                <w:sz w:val="16"/>
                <w:szCs w:val="16"/>
                <w:color w:val="auto"/>
              </w:rPr>
            </w:pPr>
          </w:p>
        </w:tc>
        <w:tc>
          <w:tcPr>
            <w:tcW w:w="438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3680" w:type="dxa"/>
            <w:vAlign w:val="bottom"/>
            <w:gridSpan w:val="2"/>
          </w:tcPr>
          <w:p>
            <w:pPr>
              <w:spacing w:after="0" w:line="166" w:lineRule="exact"/>
              <w:rPr>
                <w:sz w:val="20"/>
                <w:szCs w:val="20"/>
                <w:color w:val="auto"/>
              </w:rPr>
            </w:pPr>
            <w:r>
              <w:rPr>
                <w:rFonts w:ascii="Arial" w:cs="Arial" w:eastAsia="Arial" w:hAnsi="Arial"/>
                <w:sz w:val="15"/>
                <w:szCs w:val="15"/>
                <w:b w:val="1"/>
                <w:bCs w:val="1"/>
                <w:color w:val="auto"/>
              </w:rPr>
              <w:t>Shares of Series D Preferred Stock</w:t>
            </w:r>
            <w:r>
              <w:rPr>
                <w:rFonts w:ascii="Arial" w:cs="Arial" w:eastAsia="Arial" w:hAnsi="Arial"/>
                <w:sz w:val="12"/>
                <w:szCs w:val="12"/>
                <w:b w:val="1"/>
                <w:bCs w:val="1"/>
                <w:color w:val="auto"/>
              </w:rPr>
              <w:t>(1)</w:t>
            </w:r>
          </w:p>
        </w:tc>
        <w:tc>
          <w:tcPr>
            <w:tcW w:w="160" w:type="dxa"/>
            <w:vAlign w:val="bottom"/>
          </w:tcPr>
          <w:p>
            <w:pPr>
              <w:spacing w:after="0"/>
              <w:rPr>
                <w:sz w:val="16"/>
                <w:szCs w:val="16"/>
                <w:color w:val="auto"/>
              </w:rPr>
            </w:pPr>
          </w:p>
        </w:tc>
        <w:tc>
          <w:tcPr>
            <w:tcW w:w="880" w:type="dxa"/>
            <w:vAlign w:val="bottom"/>
            <w:gridSpan w:val="2"/>
          </w:tcPr>
          <w:p>
            <w:pPr>
              <w:ind w:left="160"/>
              <w:spacing w:after="0" w:line="166" w:lineRule="exact"/>
              <w:rPr>
                <w:sz w:val="20"/>
                <w:szCs w:val="20"/>
                <w:color w:val="auto"/>
              </w:rPr>
            </w:pPr>
            <w:r>
              <w:rPr>
                <w:rFonts w:ascii="Arial" w:cs="Arial" w:eastAsia="Arial" w:hAnsi="Arial"/>
                <w:sz w:val="15"/>
                <w:szCs w:val="15"/>
                <w:b w:val="1"/>
                <w:bCs w:val="1"/>
                <w:color w:val="auto"/>
              </w:rPr>
              <w:t>Price</w:t>
            </w:r>
          </w:p>
        </w:tc>
        <w:tc>
          <w:tcPr>
            <w:tcW w:w="0" w:type="dxa"/>
            <w:vAlign w:val="bottom"/>
          </w:tcPr>
          <w:p>
            <w:pPr>
              <w:spacing w:after="0"/>
              <w:rPr>
                <w:sz w:val="1"/>
                <w:szCs w:val="1"/>
                <w:color w:val="auto"/>
              </w:rPr>
            </w:pPr>
          </w:p>
        </w:tc>
      </w:tr>
      <w:tr>
        <w:trPr>
          <w:trHeight w:val="217"/>
        </w:trPr>
        <w:tc>
          <w:tcPr>
            <w:tcW w:w="4920" w:type="dxa"/>
            <w:vAlign w:val="bottom"/>
            <w:tcBorders>
              <w:top w:val="single" w:sz="8" w:color="CCEEFF"/>
            </w:tcBorders>
            <w:gridSpan w:val="2"/>
            <w:shd w:val="clear" w:color="auto" w:fill="CCEEFF"/>
          </w:tcPr>
          <w:p>
            <w:pPr>
              <w:spacing w:after="0" w:line="217" w:lineRule="exact"/>
              <w:rPr>
                <w:sz w:val="20"/>
                <w:szCs w:val="20"/>
                <w:color w:val="auto"/>
              </w:rPr>
            </w:pPr>
            <w:r>
              <w:rPr>
                <w:rFonts w:ascii="Arial" w:cs="Arial" w:eastAsia="Arial" w:hAnsi="Arial"/>
                <w:sz w:val="19"/>
                <w:szCs w:val="19"/>
                <w:color w:val="auto"/>
              </w:rPr>
              <w:t>Entities affiliated with Polaris Venture Partners</w:t>
            </w:r>
            <w:r>
              <w:rPr>
                <w:rFonts w:ascii="Arial" w:cs="Arial" w:eastAsia="Arial" w:hAnsi="Arial"/>
                <w:sz w:val="16"/>
                <w:szCs w:val="16"/>
                <w:color w:val="auto"/>
              </w:rPr>
              <w:t>(2)</w:t>
            </w:r>
          </w:p>
        </w:tc>
        <w:tc>
          <w:tcPr>
            <w:tcW w:w="20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spacing w:after="0" w:line="217" w:lineRule="exact"/>
              <w:rPr>
                <w:sz w:val="20"/>
                <w:szCs w:val="20"/>
                <w:color w:val="auto"/>
              </w:rPr>
            </w:pPr>
            <w:r>
              <w:rPr>
                <w:rFonts w:ascii="Arial" w:cs="Arial" w:eastAsia="Arial" w:hAnsi="Arial"/>
                <w:sz w:val="19"/>
                <w:szCs w:val="19"/>
                <w:color w:val="auto"/>
              </w:rPr>
              <w:t>1,246,883</w:t>
            </w:r>
          </w:p>
        </w:tc>
        <w:tc>
          <w:tcPr>
            <w:tcW w:w="1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line="217" w:lineRule="exact"/>
              <w:rPr>
                <w:sz w:val="20"/>
                <w:szCs w:val="20"/>
                <w:color w:val="auto"/>
              </w:rPr>
            </w:pPr>
            <w:r>
              <w:rPr>
                <w:rFonts w:ascii="Arial" w:cs="Arial" w:eastAsia="Arial" w:hAnsi="Arial"/>
                <w:sz w:val="19"/>
                <w:szCs w:val="19"/>
                <w:color w:val="auto"/>
              </w:rPr>
              <w:t>$</w:t>
            </w:r>
          </w:p>
        </w:tc>
        <w:tc>
          <w:tcPr>
            <w:tcW w:w="820" w:type="dxa"/>
            <w:vAlign w:val="bottom"/>
            <w:tcBorders>
              <w:top w:val="single" w:sz="8" w:color="auto"/>
            </w:tcBorders>
            <w:shd w:val="clear" w:color="auto" w:fill="CCEEFF"/>
          </w:tcPr>
          <w:p>
            <w:pPr>
              <w:jc w:val="right"/>
              <w:spacing w:after="0" w:line="217" w:lineRule="exact"/>
              <w:rPr>
                <w:sz w:val="20"/>
                <w:szCs w:val="20"/>
                <w:color w:val="auto"/>
              </w:rPr>
            </w:pPr>
            <w:r>
              <w:rPr>
                <w:rFonts w:ascii="Arial" w:cs="Arial" w:eastAsia="Arial" w:hAnsi="Arial"/>
                <w:sz w:val="19"/>
                <w:szCs w:val="19"/>
                <w:color w:val="auto"/>
                <w:w w:val="94"/>
              </w:rPr>
              <w:t>5,000,001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20" w:type="dxa"/>
            <w:vAlign w:val="bottom"/>
            <w:gridSpan w:val="2"/>
          </w:tcPr>
          <w:p>
            <w:pPr>
              <w:spacing w:after="0"/>
              <w:rPr>
                <w:sz w:val="20"/>
                <w:szCs w:val="20"/>
                <w:color w:val="auto"/>
              </w:rPr>
            </w:pPr>
            <w:r>
              <w:rPr>
                <w:rFonts w:ascii="Arial" w:cs="Arial" w:eastAsia="Arial" w:hAnsi="Arial"/>
                <w:sz w:val="19"/>
                <w:szCs w:val="19"/>
                <w:color w:val="auto"/>
              </w:rPr>
              <w:t>Entities affiliated with OrbiMed Private Investments</w:t>
            </w:r>
            <w:r>
              <w:rPr>
                <w:rFonts w:ascii="Arial" w:cs="Arial" w:eastAsia="Arial" w:hAnsi="Arial"/>
                <w:sz w:val="16"/>
                <w:szCs w:val="16"/>
                <w:color w:val="auto"/>
              </w:rPr>
              <w:t>(3)</w:t>
            </w:r>
          </w:p>
        </w:tc>
        <w:tc>
          <w:tcPr>
            <w:tcW w:w="5680" w:type="dxa"/>
            <w:vAlign w:val="bottom"/>
            <w:gridSpan w:val="3"/>
          </w:tcPr>
          <w:p>
            <w:pPr>
              <w:jc w:val="right"/>
              <w:ind w:right="1280"/>
              <w:spacing w:after="0"/>
              <w:rPr>
                <w:sz w:val="20"/>
                <w:szCs w:val="20"/>
                <w:color w:val="auto"/>
              </w:rPr>
            </w:pPr>
            <w:r>
              <w:rPr>
                <w:rFonts w:ascii="Arial" w:cs="Arial" w:eastAsia="Arial" w:hAnsi="Arial"/>
                <w:sz w:val="19"/>
                <w:szCs w:val="19"/>
                <w:color w:val="auto"/>
              </w:rPr>
              <w:t>1,246,883</w:t>
            </w:r>
          </w:p>
        </w:tc>
        <w:tc>
          <w:tcPr>
            <w:tcW w:w="160" w:type="dxa"/>
            <w:vAlign w:val="bottom"/>
          </w:tcPr>
          <w:p>
            <w:pPr>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w w:val="94"/>
              </w:rPr>
              <w:t>5,000,001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MRL Ventures Fund, LLC</w:t>
            </w:r>
            <w:r>
              <w:rPr>
                <w:rFonts w:ascii="Arial" w:cs="Arial" w:eastAsia="Arial" w:hAnsi="Arial"/>
                <w:sz w:val="16"/>
                <w:szCs w:val="16"/>
                <w:color w:val="auto"/>
              </w:rPr>
              <w:t>(4)</w:t>
            </w:r>
          </w:p>
        </w:tc>
        <w:tc>
          <w:tcPr>
            <w:tcW w:w="5680" w:type="dxa"/>
            <w:vAlign w:val="bottom"/>
            <w:gridSpan w:val="3"/>
            <w:shd w:val="clear" w:color="auto" w:fill="CCEEFF"/>
          </w:tcPr>
          <w:p>
            <w:pPr>
              <w:jc w:val="right"/>
              <w:ind w:right="1280"/>
              <w:spacing w:after="0"/>
              <w:rPr>
                <w:sz w:val="20"/>
                <w:szCs w:val="20"/>
                <w:color w:val="auto"/>
              </w:rPr>
            </w:pPr>
            <w:r>
              <w:rPr>
                <w:rFonts w:ascii="Arial" w:cs="Arial" w:eastAsia="Arial" w:hAnsi="Arial"/>
                <w:sz w:val="19"/>
                <w:szCs w:val="19"/>
                <w:color w:val="auto"/>
              </w:rPr>
              <w:t>748,130</w:t>
            </w:r>
          </w:p>
        </w:tc>
        <w:tc>
          <w:tcPr>
            <w:tcW w:w="16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3,000,001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5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00" w:type="dxa"/>
            <w:vAlign w:val="bottom"/>
          </w:tcPr>
          <w:p>
            <w:pPr>
              <w:jc w:val="right"/>
              <w:ind w:right="865"/>
              <w:spacing w:after="0"/>
              <w:rPr>
                <w:sz w:val="20"/>
                <w:szCs w:val="20"/>
                <w:color w:val="auto"/>
              </w:rPr>
            </w:pPr>
            <w:r>
              <w:rPr>
                <w:rFonts w:ascii="Arial" w:cs="Arial" w:eastAsia="Arial" w:hAnsi="Arial"/>
                <w:sz w:val="19"/>
                <w:szCs w:val="19"/>
                <w:color w:val="auto"/>
              </w:rPr>
              <w:t>157</w:t>
            </w:r>
          </w:p>
        </w:tc>
        <w:tc>
          <w:tcPr>
            <w:tcW w:w="2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820"/>
          </w:cols>
          <w:pgMar w:left="120" w:top="336" w:right="300" w:bottom="1440" w:gutter="0" w:footer="0" w:header="0"/>
        </w:sectPr>
      </w:pPr>
    </w:p>
    <w:bookmarkStart w:id="165" w:name="page166"/>
    <w:bookmarkEnd w:id="16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308610</wp:posOffset>
            </wp:positionV>
            <wp:extent cx="74231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640" w:right="260" w:hanging="461"/>
        <w:spacing w:after="0" w:line="254" w:lineRule="auto"/>
        <w:tabs>
          <w:tab w:leader="none" w:pos="6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shares of Series D preferred stock were originally issued as Series D preferred units of Alector LLC and then were converted into shares of Series D preferred stock of Alector, Inc. upon the conversion of Alector LLC into Alector, Inc. on October 13, 2017. For more information regarding the Conversion, see the section titled “Management’s Discussion and Analysis of Financial Condition and Results of Operations— Overview.”</w:t>
      </w:r>
    </w:p>
    <w:p>
      <w:pPr>
        <w:ind w:left="640" w:right="200" w:hanging="461"/>
        <w:spacing w:after="0" w:line="250" w:lineRule="auto"/>
        <w:tabs>
          <w:tab w:leader="none" w:pos="6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Entities affiliated with Polaris Venture Partners holding our securities whose shares are aggregated for purposes of reporting share ownership information include Polaris Venture Partners Founders’ Fund VI, L.P., Polaris Venture Partners VI (AIV), L.P., Polaris Venture Partners VI, L.P., and PVP VI (AIV) Feeder Corp. Holding Partnership, L.P. Terry McGuire, a member of our board of directors, is a partner at Polaris Venture Funds.</w:t>
      </w:r>
    </w:p>
    <w:p>
      <w:pPr>
        <w:spacing w:after="0" w:line="2" w:lineRule="exact"/>
        <w:rPr>
          <w:rFonts w:ascii="Arial" w:cs="Arial" w:eastAsia="Arial" w:hAnsi="Arial"/>
          <w:sz w:val="19"/>
          <w:szCs w:val="19"/>
          <w:color w:val="auto"/>
        </w:rPr>
      </w:pPr>
    </w:p>
    <w:p>
      <w:pPr>
        <w:ind w:left="640" w:right="60" w:hanging="461"/>
        <w:spacing w:after="0" w:line="250" w:lineRule="auto"/>
        <w:tabs>
          <w:tab w:leader="none" w:pos="6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Entities affiliated with OrbiMed Private Investments holding our securities whose shares are aggregated for purposes of reporting share ownership information include OrbiMed Private Investments IV AL, LP and OrbiMed Private Investments IV-AL (Feeder), LP. Carl Gordon, a member of our board of directors, is a partner at OrbiMed Private Investments.</w:t>
      </w:r>
    </w:p>
    <w:p>
      <w:pPr>
        <w:spacing w:after="0" w:line="1" w:lineRule="exact"/>
        <w:rPr>
          <w:rFonts w:ascii="Arial" w:cs="Arial" w:eastAsia="Arial" w:hAnsi="Arial"/>
          <w:sz w:val="19"/>
          <w:szCs w:val="19"/>
          <w:color w:val="auto"/>
        </w:rPr>
      </w:pPr>
    </w:p>
    <w:p>
      <w:pPr>
        <w:ind w:left="640" w:hanging="461"/>
        <w:spacing w:after="0"/>
        <w:tabs>
          <w:tab w:leader="none" w:pos="6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Dr. Christine Brennan, a member of our board of directors, is a partner at MRL Ventures Fund, LLC.</w:t>
      </w:r>
    </w:p>
    <w:p>
      <w:pPr>
        <w:spacing w:after="0" w:line="33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Series C Preferred Stock Transaction</w:t>
      </w:r>
    </w:p>
    <w:p>
      <w:pPr>
        <w:spacing w:after="0" w:line="124" w:lineRule="exact"/>
        <w:rPr>
          <w:sz w:val="20"/>
          <w:szCs w:val="20"/>
          <w:color w:val="auto"/>
        </w:rPr>
      </w:pPr>
    </w:p>
    <w:p>
      <w:pPr>
        <w:ind w:left="180" w:right="20" w:firstLine="465"/>
        <w:spacing w:after="0" w:line="275" w:lineRule="auto"/>
        <w:rPr>
          <w:sz w:val="20"/>
          <w:szCs w:val="20"/>
          <w:color w:val="auto"/>
        </w:rPr>
      </w:pPr>
      <w:r>
        <w:rPr>
          <w:rFonts w:ascii="Arial" w:cs="Arial" w:eastAsia="Arial" w:hAnsi="Arial"/>
          <w:sz w:val="19"/>
          <w:szCs w:val="19"/>
          <w:color w:val="auto"/>
        </w:rPr>
        <w:t>In September 2015, we issued and sold an aggregate of 12,088,016 shares of our Series C preferred stock at a purchase price of $2.67 per share for an aggregate purchase price of approximately $32.3 million.</w:t>
      </w:r>
    </w:p>
    <w:p>
      <w:pPr>
        <w:spacing w:after="0" w:line="184" w:lineRule="exact"/>
        <w:rPr>
          <w:sz w:val="20"/>
          <w:szCs w:val="20"/>
          <w:color w:val="auto"/>
        </w:rPr>
      </w:pPr>
    </w:p>
    <w:p>
      <w:pPr>
        <w:ind w:left="180" w:right="280" w:firstLine="465"/>
        <w:spacing w:after="0" w:line="336" w:lineRule="auto"/>
        <w:rPr>
          <w:sz w:val="20"/>
          <w:szCs w:val="20"/>
          <w:color w:val="auto"/>
        </w:rPr>
      </w:pPr>
      <w:r>
        <w:rPr>
          <w:rFonts w:ascii="Arial" w:cs="Arial" w:eastAsia="Arial" w:hAnsi="Arial"/>
          <w:sz w:val="17"/>
          <w:szCs w:val="17"/>
          <w:color w:val="auto"/>
        </w:rPr>
        <w:t>Purchasers of our Series C preferred stock include venture capital funds that beneficially own more than 5% of our outstanding capital stock and/or are represented on our board of directors. The following table presents the number of shares and the total purchase price paid by these entities.</w:t>
      </w:r>
    </w:p>
    <w:p>
      <w:pPr>
        <w:spacing w:after="0" w:line="1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40" w:type="dxa"/>
            <w:vAlign w:val="bottom"/>
            <w:vMerge w:val="restart"/>
          </w:tcPr>
          <w:p>
            <w:pPr>
              <w:spacing w:after="0"/>
              <w:rPr>
                <w:sz w:val="20"/>
                <w:szCs w:val="20"/>
                <w:color w:val="auto"/>
              </w:rPr>
            </w:pPr>
            <w:r>
              <w:rPr>
                <w:rFonts w:ascii="Arial" w:cs="Arial" w:eastAsia="Arial" w:hAnsi="Arial"/>
                <w:sz w:val="15"/>
                <w:szCs w:val="15"/>
                <w:b w:val="1"/>
                <w:bCs w:val="1"/>
                <w:color w:val="auto"/>
                <w:w w:val="89"/>
              </w:rPr>
              <w:t>Investor</w:t>
            </w:r>
          </w:p>
        </w:tc>
        <w:tc>
          <w:tcPr>
            <w:tcW w:w="6380" w:type="dxa"/>
            <w:vAlign w:val="bottom"/>
            <w:vMerge w:val="restart"/>
          </w:tcPr>
          <w:p>
            <w:pPr>
              <w:spacing w:after="0"/>
              <w:rPr>
                <w:sz w:val="15"/>
                <w:szCs w:val="15"/>
                <w:color w:val="auto"/>
              </w:rPr>
            </w:pPr>
          </w:p>
        </w:tc>
        <w:tc>
          <w:tcPr>
            <w:tcW w:w="2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Arial" w:cs="Arial" w:eastAsia="Arial" w:hAnsi="Arial"/>
                <w:sz w:val="15"/>
                <w:szCs w:val="15"/>
                <w:b w:val="1"/>
                <w:bCs w:val="1"/>
                <w:color w:val="auto"/>
                <w:w w:val="92"/>
              </w:rPr>
              <w:t>Total Purchase</w:t>
            </w:r>
          </w:p>
        </w:tc>
        <w:tc>
          <w:tcPr>
            <w:tcW w:w="0" w:type="dxa"/>
            <w:vAlign w:val="bottom"/>
          </w:tcPr>
          <w:p>
            <w:pPr>
              <w:spacing w:after="0"/>
              <w:rPr>
                <w:sz w:val="1"/>
                <w:szCs w:val="1"/>
                <w:color w:val="auto"/>
              </w:rPr>
            </w:pPr>
          </w:p>
        </w:tc>
      </w:tr>
      <w:tr>
        <w:trPr>
          <w:trHeight w:val="186"/>
        </w:trPr>
        <w:tc>
          <w:tcPr>
            <w:tcW w:w="540" w:type="dxa"/>
            <w:vAlign w:val="bottom"/>
            <w:tcBorders>
              <w:bottom w:val="single" w:sz="8" w:color="auto"/>
            </w:tcBorders>
            <w:vMerge w:val="continue"/>
          </w:tcPr>
          <w:p>
            <w:pPr>
              <w:spacing w:after="0"/>
              <w:rPr>
                <w:sz w:val="16"/>
                <w:szCs w:val="16"/>
                <w:color w:val="auto"/>
              </w:rPr>
            </w:pPr>
          </w:p>
        </w:tc>
        <w:tc>
          <w:tcPr>
            <w:tcW w:w="6380" w:type="dxa"/>
            <w:vAlign w:val="bottom"/>
            <w:vMerge w:val="continue"/>
          </w:tcPr>
          <w:p>
            <w:pPr>
              <w:spacing w:after="0"/>
              <w:rPr>
                <w:sz w:val="16"/>
                <w:szCs w:val="16"/>
                <w:color w:val="auto"/>
              </w:rPr>
            </w:pPr>
          </w:p>
        </w:tc>
        <w:tc>
          <w:tcPr>
            <w:tcW w:w="3680" w:type="dxa"/>
            <w:vAlign w:val="bottom"/>
            <w:gridSpan w:val="2"/>
          </w:tcPr>
          <w:p>
            <w:pPr>
              <w:spacing w:after="0" w:line="166" w:lineRule="exact"/>
              <w:rPr>
                <w:sz w:val="20"/>
                <w:szCs w:val="20"/>
                <w:color w:val="auto"/>
              </w:rPr>
            </w:pPr>
            <w:r>
              <w:rPr>
                <w:rFonts w:ascii="Arial" w:cs="Arial" w:eastAsia="Arial" w:hAnsi="Arial"/>
                <w:sz w:val="15"/>
                <w:szCs w:val="15"/>
                <w:b w:val="1"/>
                <w:bCs w:val="1"/>
                <w:color w:val="auto"/>
              </w:rPr>
              <w:t>Shares of Series C Preferred Stock</w:t>
            </w:r>
            <w:r>
              <w:rPr>
                <w:rFonts w:ascii="Arial" w:cs="Arial" w:eastAsia="Arial" w:hAnsi="Arial"/>
                <w:sz w:val="12"/>
                <w:szCs w:val="12"/>
                <w:b w:val="1"/>
                <w:bCs w:val="1"/>
                <w:color w:val="auto"/>
              </w:rPr>
              <w:t>(1)</w:t>
            </w:r>
          </w:p>
        </w:tc>
        <w:tc>
          <w:tcPr>
            <w:tcW w:w="160" w:type="dxa"/>
            <w:vAlign w:val="bottom"/>
          </w:tcPr>
          <w:p>
            <w:pPr>
              <w:spacing w:after="0"/>
              <w:rPr>
                <w:sz w:val="16"/>
                <w:szCs w:val="16"/>
                <w:color w:val="auto"/>
              </w:rPr>
            </w:pPr>
          </w:p>
        </w:tc>
        <w:tc>
          <w:tcPr>
            <w:tcW w:w="880" w:type="dxa"/>
            <w:vAlign w:val="bottom"/>
            <w:gridSpan w:val="2"/>
          </w:tcPr>
          <w:p>
            <w:pPr>
              <w:ind w:left="160"/>
              <w:spacing w:after="0" w:line="166" w:lineRule="exact"/>
              <w:rPr>
                <w:sz w:val="20"/>
                <w:szCs w:val="20"/>
                <w:color w:val="auto"/>
              </w:rPr>
            </w:pPr>
            <w:r>
              <w:rPr>
                <w:rFonts w:ascii="Arial" w:cs="Arial" w:eastAsia="Arial" w:hAnsi="Arial"/>
                <w:sz w:val="15"/>
                <w:szCs w:val="15"/>
                <w:b w:val="1"/>
                <w:bCs w:val="1"/>
                <w:color w:val="auto"/>
              </w:rPr>
              <w:t>Price</w:t>
            </w:r>
          </w:p>
        </w:tc>
        <w:tc>
          <w:tcPr>
            <w:tcW w:w="0" w:type="dxa"/>
            <w:vAlign w:val="bottom"/>
          </w:tcPr>
          <w:p>
            <w:pPr>
              <w:spacing w:after="0"/>
              <w:rPr>
                <w:sz w:val="1"/>
                <w:szCs w:val="1"/>
                <w:color w:val="auto"/>
              </w:rPr>
            </w:pPr>
          </w:p>
        </w:tc>
      </w:tr>
      <w:tr>
        <w:trPr>
          <w:trHeight w:val="217"/>
        </w:trPr>
        <w:tc>
          <w:tcPr>
            <w:tcW w:w="6920" w:type="dxa"/>
            <w:vAlign w:val="bottom"/>
            <w:tcBorders>
              <w:top w:val="single" w:sz="8" w:color="CCEEFF"/>
            </w:tcBorders>
            <w:gridSpan w:val="2"/>
            <w:shd w:val="clear" w:color="auto" w:fill="CCEEFF"/>
          </w:tcPr>
          <w:p>
            <w:pPr>
              <w:spacing w:after="0" w:line="217" w:lineRule="exact"/>
              <w:rPr>
                <w:sz w:val="20"/>
                <w:szCs w:val="20"/>
                <w:color w:val="auto"/>
              </w:rPr>
            </w:pPr>
            <w:r>
              <w:rPr>
                <w:rFonts w:ascii="Arial" w:cs="Arial" w:eastAsia="Arial" w:hAnsi="Arial"/>
                <w:sz w:val="19"/>
                <w:szCs w:val="19"/>
                <w:color w:val="auto"/>
              </w:rPr>
              <w:t>Entities affiliated with Polaris Venture Partners</w:t>
            </w:r>
            <w:r>
              <w:rPr>
                <w:rFonts w:ascii="Arial" w:cs="Arial" w:eastAsia="Arial" w:hAnsi="Arial"/>
                <w:sz w:val="16"/>
                <w:szCs w:val="16"/>
                <w:color w:val="auto"/>
              </w:rPr>
              <w:t>(2)</w:t>
            </w:r>
          </w:p>
        </w:tc>
        <w:tc>
          <w:tcPr>
            <w:tcW w:w="2400" w:type="dxa"/>
            <w:vAlign w:val="bottom"/>
            <w:tcBorders>
              <w:top w:val="single" w:sz="8" w:color="auto"/>
            </w:tcBorders>
            <w:shd w:val="clear" w:color="auto" w:fill="CCEEFF"/>
          </w:tcPr>
          <w:p>
            <w:pPr>
              <w:jc w:val="right"/>
              <w:spacing w:after="0" w:line="217" w:lineRule="exact"/>
              <w:rPr>
                <w:sz w:val="20"/>
                <w:szCs w:val="20"/>
                <w:color w:val="auto"/>
              </w:rPr>
            </w:pPr>
            <w:r>
              <w:rPr>
                <w:rFonts w:ascii="Arial" w:cs="Arial" w:eastAsia="Arial" w:hAnsi="Arial"/>
                <w:sz w:val="19"/>
                <w:szCs w:val="19"/>
                <w:color w:val="auto"/>
              </w:rPr>
              <w:t>2,808,989</w:t>
            </w:r>
          </w:p>
        </w:tc>
        <w:tc>
          <w:tcPr>
            <w:tcW w:w="1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line="217" w:lineRule="exact"/>
              <w:rPr>
                <w:sz w:val="20"/>
                <w:szCs w:val="20"/>
                <w:color w:val="auto"/>
              </w:rPr>
            </w:pPr>
            <w:r>
              <w:rPr>
                <w:rFonts w:ascii="Arial" w:cs="Arial" w:eastAsia="Arial" w:hAnsi="Arial"/>
                <w:sz w:val="19"/>
                <w:szCs w:val="19"/>
                <w:color w:val="auto"/>
              </w:rPr>
              <w:t>$</w:t>
            </w:r>
          </w:p>
        </w:tc>
        <w:tc>
          <w:tcPr>
            <w:tcW w:w="820" w:type="dxa"/>
            <w:vAlign w:val="bottom"/>
            <w:tcBorders>
              <w:top w:val="single" w:sz="8" w:color="auto"/>
            </w:tcBorders>
            <w:shd w:val="clear" w:color="auto" w:fill="CCEEFF"/>
          </w:tcPr>
          <w:p>
            <w:pPr>
              <w:jc w:val="right"/>
              <w:spacing w:after="0" w:line="217" w:lineRule="exact"/>
              <w:rPr>
                <w:sz w:val="20"/>
                <w:szCs w:val="20"/>
                <w:color w:val="auto"/>
              </w:rPr>
            </w:pPr>
            <w:r>
              <w:rPr>
                <w:rFonts w:ascii="Arial" w:cs="Arial" w:eastAsia="Arial" w:hAnsi="Arial"/>
                <w:sz w:val="19"/>
                <w:szCs w:val="19"/>
                <w:color w:val="auto"/>
                <w:w w:val="94"/>
              </w:rPr>
              <w:t>7,500,001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920" w:type="dxa"/>
            <w:vAlign w:val="bottom"/>
            <w:gridSpan w:val="2"/>
          </w:tcPr>
          <w:p>
            <w:pPr>
              <w:spacing w:after="0"/>
              <w:rPr>
                <w:sz w:val="20"/>
                <w:szCs w:val="20"/>
                <w:color w:val="auto"/>
              </w:rPr>
            </w:pPr>
            <w:r>
              <w:rPr>
                <w:rFonts w:ascii="Arial" w:cs="Arial" w:eastAsia="Arial" w:hAnsi="Arial"/>
                <w:sz w:val="19"/>
                <w:szCs w:val="19"/>
                <w:color w:val="auto"/>
              </w:rPr>
              <w:t>Entities affiliated with OrbiMed Private Investments</w:t>
            </w:r>
            <w:r>
              <w:rPr>
                <w:rFonts w:ascii="Arial" w:cs="Arial" w:eastAsia="Arial" w:hAnsi="Arial"/>
                <w:sz w:val="16"/>
                <w:szCs w:val="16"/>
                <w:color w:val="auto"/>
              </w:rPr>
              <w:t>(3)</w:t>
            </w:r>
          </w:p>
        </w:tc>
        <w:tc>
          <w:tcPr>
            <w:tcW w:w="3680" w:type="dxa"/>
            <w:vAlign w:val="bottom"/>
            <w:gridSpan w:val="2"/>
          </w:tcPr>
          <w:p>
            <w:pPr>
              <w:jc w:val="right"/>
              <w:ind w:right="1280"/>
              <w:spacing w:after="0"/>
              <w:rPr>
                <w:sz w:val="20"/>
                <w:szCs w:val="20"/>
                <w:color w:val="auto"/>
              </w:rPr>
            </w:pPr>
            <w:r>
              <w:rPr>
                <w:rFonts w:ascii="Arial" w:cs="Arial" w:eastAsia="Arial" w:hAnsi="Arial"/>
                <w:sz w:val="19"/>
                <w:szCs w:val="19"/>
                <w:color w:val="auto"/>
              </w:rPr>
              <w:t>2,808,989</w:t>
            </w:r>
          </w:p>
        </w:tc>
        <w:tc>
          <w:tcPr>
            <w:tcW w:w="160" w:type="dxa"/>
            <w:vAlign w:val="bottom"/>
          </w:tcPr>
          <w:p>
            <w:pPr>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w w:val="94"/>
              </w:rPr>
              <w:t>7,500,001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Tillman Gerngross, Ph.D.</w:t>
            </w:r>
            <w:r>
              <w:rPr>
                <w:rFonts w:ascii="Arial" w:cs="Arial" w:eastAsia="Arial" w:hAnsi="Arial"/>
                <w:sz w:val="16"/>
                <w:szCs w:val="16"/>
                <w:color w:val="auto"/>
              </w:rPr>
              <w:t>(4)</w:t>
            </w:r>
          </w:p>
        </w:tc>
        <w:tc>
          <w:tcPr>
            <w:tcW w:w="3680" w:type="dxa"/>
            <w:vAlign w:val="bottom"/>
            <w:gridSpan w:val="2"/>
            <w:shd w:val="clear" w:color="auto" w:fill="CCEEFF"/>
          </w:tcPr>
          <w:p>
            <w:pPr>
              <w:jc w:val="right"/>
              <w:ind w:right="1280"/>
              <w:spacing w:after="0"/>
              <w:rPr>
                <w:sz w:val="20"/>
                <w:szCs w:val="20"/>
                <w:color w:val="auto"/>
              </w:rPr>
            </w:pPr>
            <w:r>
              <w:rPr>
                <w:rFonts w:ascii="Arial" w:cs="Arial" w:eastAsia="Arial" w:hAnsi="Arial"/>
                <w:sz w:val="19"/>
                <w:szCs w:val="19"/>
                <w:color w:val="auto"/>
              </w:rPr>
              <w:t>374,532</w:t>
            </w:r>
          </w:p>
        </w:tc>
        <w:tc>
          <w:tcPr>
            <w:tcW w:w="16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1,000,000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920" w:type="dxa"/>
            <w:vAlign w:val="bottom"/>
            <w:gridSpan w:val="2"/>
          </w:tcPr>
          <w:p>
            <w:pPr>
              <w:spacing w:after="0"/>
              <w:rPr>
                <w:sz w:val="20"/>
                <w:szCs w:val="20"/>
                <w:color w:val="auto"/>
              </w:rPr>
            </w:pPr>
            <w:r>
              <w:rPr>
                <w:rFonts w:ascii="Arial" w:cs="Arial" w:eastAsia="Arial" w:hAnsi="Arial"/>
                <w:sz w:val="19"/>
                <w:szCs w:val="19"/>
                <w:color w:val="auto"/>
              </w:rPr>
              <w:t>MRL Ventures Fund, LLC</w:t>
            </w:r>
            <w:r>
              <w:rPr>
                <w:rFonts w:ascii="Arial" w:cs="Arial" w:eastAsia="Arial" w:hAnsi="Arial"/>
                <w:sz w:val="16"/>
                <w:szCs w:val="16"/>
                <w:color w:val="auto"/>
              </w:rPr>
              <w:t>(5)</w:t>
            </w:r>
          </w:p>
        </w:tc>
        <w:tc>
          <w:tcPr>
            <w:tcW w:w="3680" w:type="dxa"/>
            <w:vAlign w:val="bottom"/>
            <w:gridSpan w:val="2"/>
          </w:tcPr>
          <w:p>
            <w:pPr>
              <w:jc w:val="right"/>
              <w:ind w:right="1280"/>
              <w:spacing w:after="0"/>
              <w:rPr>
                <w:sz w:val="20"/>
                <w:szCs w:val="20"/>
                <w:color w:val="auto"/>
              </w:rPr>
            </w:pPr>
            <w:r>
              <w:rPr>
                <w:rFonts w:ascii="Arial" w:cs="Arial" w:eastAsia="Arial" w:hAnsi="Arial"/>
                <w:sz w:val="19"/>
                <w:szCs w:val="19"/>
                <w:color w:val="auto"/>
              </w:rPr>
              <w:t>2,621,723</w:t>
            </w:r>
          </w:p>
        </w:tc>
        <w:tc>
          <w:tcPr>
            <w:tcW w:w="160" w:type="dxa"/>
            <w:vAlign w:val="bottom"/>
          </w:tcPr>
          <w:p>
            <w:pPr>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w w:val="94"/>
              </w:rPr>
              <w:t>7,000,001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81915</wp:posOffset>
            </wp:positionV>
            <wp:extent cx="74231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52" w:lineRule="exact"/>
        <w:rPr>
          <w:sz w:val="20"/>
          <w:szCs w:val="20"/>
          <w:color w:val="auto"/>
        </w:rPr>
      </w:pPr>
    </w:p>
    <w:p>
      <w:pPr>
        <w:ind w:left="640" w:right="300" w:hanging="461"/>
        <w:spacing w:after="0" w:line="254" w:lineRule="auto"/>
        <w:tabs>
          <w:tab w:leader="none" w:pos="64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shares of Series C preferred stock were originally issued as Series C preferred units of Alector LLC and then were converted into shares of Series C preferred stock of Alector, Inc. upon the conversion of Alector LLC into Alector, Inc. on October 13, 2017. For more information regarding the Conversion, see the section titled “Management’s Discussion and Analysis of Financial Condition and Results of Operations— Overview.”</w:t>
      </w:r>
    </w:p>
    <w:p>
      <w:pPr>
        <w:ind w:left="640" w:right="200" w:hanging="461"/>
        <w:spacing w:after="0" w:line="250" w:lineRule="auto"/>
        <w:tabs>
          <w:tab w:leader="none" w:pos="64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Entities affiliated with Polaris Venture Partners holding our securities whose shares are aggregated for purposes of reporting share ownership information include Polaris Venture Partners Founders’ Fund VI, L.P., Polaris Venture Partners VI (AIV), L.P., Polaris Venture Partners VI, L.P., and PVP VI (AIV) Feeder Corp. Holding Partnership, L.P. Terry McGuire, a member of our board of directors, is a partner at Polaris Venture Funds.</w:t>
      </w:r>
    </w:p>
    <w:p>
      <w:pPr>
        <w:spacing w:after="0" w:line="2" w:lineRule="exact"/>
        <w:rPr>
          <w:rFonts w:ascii="Arial" w:cs="Arial" w:eastAsia="Arial" w:hAnsi="Arial"/>
          <w:sz w:val="19"/>
          <w:szCs w:val="19"/>
          <w:color w:val="auto"/>
        </w:rPr>
      </w:pPr>
    </w:p>
    <w:p>
      <w:pPr>
        <w:ind w:left="640" w:right="60" w:hanging="461"/>
        <w:spacing w:after="0" w:line="250" w:lineRule="auto"/>
        <w:tabs>
          <w:tab w:leader="none" w:pos="64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Entities affiliated with OrbiMed Private Investments holding our securities whose shares are aggregated for purposes of reporting share ownership information include OrbiMed Private Investments IV AL, LP and OrbiMed Private Investments IV-AL (Feeder), LP. Carl Gordon, a member of our board of directors, is a partner at OrbiMed Private Investments.</w:t>
      </w:r>
    </w:p>
    <w:p>
      <w:pPr>
        <w:spacing w:after="0" w:line="1" w:lineRule="exact"/>
        <w:rPr>
          <w:rFonts w:ascii="Arial" w:cs="Arial" w:eastAsia="Arial" w:hAnsi="Arial"/>
          <w:sz w:val="19"/>
          <w:szCs w:val="19"/>
          <w:color w:val="auto"/>
        </w:rPr>
      </w:pPr>
    </w:p>
    <w:p>
      <w:pPr>
        <w:ind w:left="640" w:hanging="461"/>
        <w:spacing w:after="0"/>
        <w:tabs>
          <w:tab w:leader="none" w:pos="64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Dr. Tillman Gerngross is one of our Founders and the chairperson of our board of directors.</w:t>
      </w:r>
    </w:p>
    <w:p>
      <w:pPr>
        <w:spacing w:after="0" w:line="9" w:lineRule="exact"/>
        <w:rPr>
          <w:rFonts w:ascii="Arial" w:cs="Arial" w:eastAsia="Arial" w:hAnsi="Arial"/>
          <w:sz w:val="19"/>
          <w:szCs w:val="19"/>
          <w:color w:val="auto"/>
        </w:rPr>
      </w:pPr>
    </w:p>
    <w:p>
      <w:pPr>
        <w:ind w:left="640" w:hanging="461"/>
        <w:spacing w:after="0"/>
        <w:tabs>
          <w:tab w:leader="none" w:pos="64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Dr. Christine Brennan, a member of our board of directors, is a partner at MRL Ventures Fund, LLC.</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Registration Rights Agreement</w:t>
      </w:r>
    </w:p>
    <w:p>
      <w:pPr>
        <w:spacing w:after="0" w:line="130" w:lineRule="exact"/>
        <w:rPr>
          <w:sz w:val="20"/>
          <w:szCs w:val="20"/>
          <w:color w:val="auto"/>
        </w:rPr>
      </w:pPr>
    </w:p>
    <w:p>
      <w:pPr>
        <w:ind w:left="180" w:right="200" w:firstLine="465"/>
        <w:spacing w:after="0" w:line="275" w:lineRule="auto"/>
        <w:rPr>
          <w:sz w:val="20"/>
          <w:szCs w:val="20"/>
          <w:color w:val="auto"/>
        </w:rPr>
      </w:pPr>
      <w:r>
        <w:rPr>
          <w:rFonts w:ascii="Arial" w:cs="Arial" w:eastAsia="Arial" w:hAnsi="Arial"/>
          <w:sz w:val="19"/>
          <w:szCs w:val="19"/>
          <w:color w:val="auto"/>
        </w:rPr>
        <w:t>We are party to a registration rights agreement, as amended, with certain holders of our capital stock, including Arnon Rosenthal, The Rosenthal Family Revocable Trust Dated November 4, 1994, as restated on</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158</w:t>
      </w:r>
    </w:p>
    <w:p>
      <w:pPr>
        <w:sectPr>
          <w:pgSz w:w="12240" w:h="15840" w:orient="portrait"/>
          <w:cols w:equalWidth="0" w:num="1">
            <w:col w:w="11820"/>
          </w:cols>
          <w:pgMar w:left="120" w:top="336" w:right="300" w:bottom="1440" w:gutter="0" w:footer="0" w:header="0"/>
        </w:sectPr>
      </w:pPr>
    </w:p>
    <w:bookmarkStart w:id="166" w:name="page167"/>
    <w:bookmarkEnd w:id="16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spacing w:after="0" w:line="254" w:lineRule="auto"/>
        <w:rPr>
          <w:sz w:val="20"/>
          <w:szCs w:val="20"/>
          <w:color w:val="auto"/>
        </w:rPr>
      </w:pPr>
      <w:r>
        <w:rPr>
          <w:rFonts w:ascii="Arial" w:cs="Arial" w:eastAsia="Arial" w:hAnsi="Arial"/>
          <w:sz w:val="19"/>
          <w:szCs w:val="19"/>
          <w:color w:val="auto"/>
        </w:rPr>
        <w:t>June 9, 1999, Adi Rosenthal 2007 Trust dated March 27, 2007, Noam Rosenthal 2007 Trust dated March 27, 2007, Shani Rosenthal 2007 Trust dated March 27, 2007, Tillman Gerngross, Robert Paul, Robert King, Sabah Oney, Calvin Yu, MRL Ventures Fund LLC, Polaris Venture Partners VI (AIV), L.P., Polaris Venture Partners VI, L.P., Polaris Venture Partners Founders’ Fund VI, L.P., PVP VI (AIV) Feeder Corp Holding Partnership, L.P., OrbiMed Private Investments IV – AL, LP, OrbiMed Private Investments IV – AL (Feeder), LP., Lavrite, LLC, and David Wehner. Under our registration rights agreement, certain holders of our capital stock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Relationship with Adimab, LLC</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Dr. Tillman Gerngross, one of our Founders and the Chairperson of our board of directors since our founding in 2013, is the chief executive officer</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of Adimab, a leader in yeast-based, fully human antibody discovery using its proprietary core technology platform. In 2014, we entered into the Adimab</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Collaboration Agreement. Under the Adimab Collaboration Agreement, we work with Adimab to discover and optimize antibodies directed against</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9"/>
          <w:szCs w:val="19"/>
          <w:color w:val="auto"/>
        </w:rPr>
        <w:t>certain targets selected by us. We then have an option to acquire the rights to certain of the antibodies from Adimab for development and</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commercialization as biopharmaceutical products. For the years ended December 31, 2015, 2016, and 2017, we incurred expenses of $1.2 million,</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$0.6 million, and $0.4 million, respectively, for services provided by Adimab under the Adimab Collaboration Agreement. For the nine months ended</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September 30, 2018, we incurred expenses of $1.8 million for milestones and services provided by Adimab under the Adimab Collaboration Agreement.</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We also have potential milestone payments per program for use of antibodies and low to mid-single digit royalty payments per program for commercial</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sales of products incorporating such antibodies. For more information about the collaboration agreement, see the section titled “Business—Adimab</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Collaboration Agreement.”</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Related Party Transaction Policy</w:t>
      </w:r>
    </w:p>
    <w:p>
      <w:pPr>
        <w:spacing w:after="0" w:line="130" w:lineRule="exact"/>
        <w:rPr>
          <w:sz w:val="20"/>
          <w:szCs w:val="20"/>
          <w:color w:val="auto"/>
        </w:rPr>
      </w:pPr>
    </w:p>
    <w:p>
      <w:pPr>
        <w:ind w:left="180" w:right="260" w:firstLine="465"/>
        <w:spacing w:after="0" w:line="259" w:lineRule="auto"/>
        <w:rPr>
          <w:sz w:val="20"/>
          <w:szCs w:val="20"/>
          <w:color w:val="auto"/>
        </w:rPr>
      </w:pPr>
      <w:r>
        <w:rPr>
          <w:rFonts w:ascii="Arial" w:cs="Arial" w:eastAsia="Arial" w:hAnsi="Arial"/>
          <w:sz w:val="19"/>
          <w:szCs w:val="19"/>
          <w:color w:val="auto"/>
        </w:rPr>
        <w:t>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 party transaction.</w:t>
      </w:r>
    </w:p>
    <w:p>
      <w:pPr>
        <w:spacing w:after="0" w:line="198" w:lineRule="exact"/>
        <w:rPr>
          <w:sz w:val="20"/>
          <w:szCs w:val="20"/>
          <w:color w:val="auto"/>
        </w:rPr>
      </w:pPr>
    </w:p>
    <w:p>
      <w:pPr>
        <w:ind w:left="180" w:right="80" w:firstLine="465"/>
        <w:spacing w:after="0" w:line="256" w:lineRule="auto"/>
        <w:rPr>
          <w:sz w:val="20"/>
          <w:szCs w:val="20"/>
          <w:color w:val="auto"/>
        </w:rPr>
      </w:pPr>
      <w:r>
        <w:rPr>
          <w:rFonts w:ascii="Arial" w:cs="Arial" w:eastAsia="Arial" w:hAnsi="Arial"/>
          <w:sz w:val="19"/>
          <w:szCs w:val="19"/>
          <w:color w:val="auto"/>
        </w:rPr>
        <w:t>We have adopted a formal written policy providing that we are not permitted to enter into any transaction that exceeds $120,000 and in which any related person has a direct or indirect material interest without the consent of our audit committee.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159</w:t>
      </w:r>
    </w:p>
    <w:p>
      <w:pPr>
        <w:sectPr>
          <w:pgSz w:w="12240" w:h="15840" w:orient="portrait"/>
          <w:cols w:equalWidth="0" w:num="1">
            <w:col w:w="11820"/>
          </w:cols>
          <w:pgMar w:left="120" w:top="336" w:right="300" w:bottom="1440" w:gutter="0" w:footer="0" w:header="0"/>
        </w:sectPr>
      </w:pPr>
    </w:p>
    <w:bookmarkStart w:id="167" w:name="page168"/>
    <w:bookmarkEnd w:id="16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PRINCIPAL STOCKHOLDERS</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table sets forth the beneficial ownership of our common stock as of December 31, 2018 by:</w:t>
      </w:r>
    </w:p>
    <w:p>
      <w:pPr>
        <w:spacing w:after="0" w:line="138" w:lineRule="exact"/>
        <w:rPr>
          <w:sz w:val="20"/>
          <w:szCs w:val="20"/>
          <w:color w:val="auto"/>
        </w:rPr>
      </w:pPr>
    </w:p>
    <w:p>
      <w:pPr>
        <w:ind w:left="1100" w:hanging="350"/>
        <w:spacing w:after="0"/>
        <w:tabs>
          <w:tab w:leader="none" w:pos="110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each person, or group of affiliated persons, who is known by us to beneficially own more than 5% of our common stock;</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each of the named executive officers;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each of our directors; and</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all of our current executive officers and directors as a group.</w:t>
      </w:r>
    </w:p>
    <w:p>
      <w:pPr>
        <w:spacing w:after="0" w:line="238" w:lineRule="exact"/>
        <w:rPr>
          <w:sz w:val="20"/>
          <w:szCs w:val="20"/>
          <w:color w:val="auto"/>
        </w:rPr>
      </w:pPr>
    </w:p>
    <w:p>
      <w:pPr>
        <w:ind w:left="180" w:right="260" w:firstLine="465"/>
        <w:spacing w:after="0" w:line="256" w:lineRule="auto"/>
        <w:rPr>
          <w:sz w:val="20"/>
          <w:szCs w:val="20"/>
          <w:color w:val="auto"/>
        </w:rPr>
      </w:pPr>
      <w:r>
        <w:rPr>
          <w:rFonts w:ascii="Arial" w:cs="Arial" w:eastAsia="Arial" w:hAnsi="Arial"/>
          <w:sz w:val="19"/>
          <w:szCs w:val="19"/>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204" w:lineRule="exact"/>
        <w:rPr>
          <w:sz w:val="20"/>
          <w:szCs w:val="20"/>
          <w:color w:val="auto"/>
        </w:rPr>
      </w:pPr>
    </w:p>
    <w:p>
      <w:pPr>
        <w:ind w:left="180" w:right="240" w:firstLine="465"/>
        <w:spacing w:after="0" w:line="259" w:lineRule="auto"/>
        <w:rPr>
          <w:sz w:val="20"/>
          <w:szCs w:val="20"/>
          <w:color w:val="auto"/>
        </w:rPr>
      </w:pPr>
      <w:r>
        <w:rPr>
          <w:rFonts w:ascii="Arial" w:cs="Arial" w:eastAsia="Arial" w:hAnsi="Arial"/>
          <w:sz w:val="19"/>
          <w:szCs w:val="19"/>
          <w:color w:val="auto"/>
        </w:rPr>
        <w:t>Certain of our existing stockholders, including entities that are affiliated with certain of our directors and that beneficially own more than 5% of our outstanding common stock, have indicated an interest in purchasing an aggregate of $85.0 million or more in shares of our common stock in this offering at the initial public offering price. The information set forth in the table below does not reflect the potential purchase of any shares in this offering by such stockholders.</w:t>
      </w:r>
    </w:p>
    <w:p>
      <w:pPr>
        <w:spacing w:after="0" w:line="198" w:lineRule="exact"/>
        <w:rPr>
          <w:sz w:val="20"/>
          <w:szCs w:val="20"/>
          <w:color w:val="auto"/>
        </w:rPr>
      </w:pPr>
    </w:p>
    <w:p>
      <w:pPr>
        <w:ind w:left="180" w:right="20" w:firstLine="465"/>
        <w:spacing w:after="0" w:line="253" w:lineRule="auto"/>
        <w:rPr>
          <w:sz w:val="20"/>
          <w:szCs w:val="20"/>
          <w:color w:val="auto"/>
        </w:rPr>
      </w:pPr>
      <w:r>
        <w:rPr>
          <w:rFonts w:ascii="Arial" w:cs="Arial" w:eastAsia="Arial" w:hAnsi="Arial"/>
          <w:sz w:val="19"/>
          <w:szCs w:val="19"/>
          <w:color w:val="auto"/>
        </w:rPr>
        <w:t>We have based our calculation of the percentage of beneficial ownership prior to this offering on 59,139,665 shares of our common stock outstanding as of December 31, 2018, which includes 45,374,836 shares of our common stock resulting from the automatic conversion of all outstanding shares of our convertible preferred stock into our common stock immediately prior to the completion of this offering, as if this conversion had occurred as of December 31, 2018. We have based our calculation of the percentage of beneficial ownership after this offering on 68,389,665 shares of our common stock outstanding immediately after the completion of this offering, assuming no exercise by the underwriters of their option to purchase additional shares. We have deemed shares of our common stock subject to stock options that are currently exercisable or exercisable within 60 days of December 31, 2018,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209" w:lineRule="exact"/>
        <w:rPr>
          <w:sz w:val="20"/>
          <w:szCs w:val="20"/>
          <w:color w:val="auto"/>
        </w:rPr>
      </w:pPr>
    </w:p>
    <w:p>
      <w:pPr>
        <w:ind w:left="180" w:right="680" w:firstLine="465"/>
        <w:spacing w:after="0" w:line="275" w:lineRule="auto"/>
        <w:rPr>
          <w:sz w:val="20"/>
          <w:szCs w:val="20"/>
          <w:color w:val="auto"/>
        </w:rPr>
      </w:pPr>
      <w:r>
        <w:rPr>
          <w:rFonts w:ascii="Arial" w:cs="Arial" w:eastAsia="Arial" w:hAnsi="Arial"/>
          <w:sz w:val="19"/>
          <w:szCs w:val="19"/>
          <w:color w:val="auto"/>
        </w:rPr>
        <w:t>Unless otherwise indicated, the address of each beneficial owner listed in the table below is c/o Alector, Inc., 151 Oyster Point Boulevard, Suite 300, South San Francisco, California 94080.</w:t>
      </w:r>
    </w:p>
    <w:p>
      <w:pPr>
        <w:spacing w:after="0" w:line="18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7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40" w:type="dxa"/>
            <w:vAlign w:val="bottom"/>
            <w:gridSpan w:val="4"/>
          </w:tcPr>
          <w:p>
            <w:pPr>
              <w:jc w:val="center"/>
              <w:ind w:right="180"/>
              <w:spacing w:after="0"/>
              <w:rPr>
                <w:sz w:val="20"/>
                <w:szCs w:val="20"/>
                <w:color w:val="auto"/>
              </w:rPr>
            </w:pPr>
            <w:r>
              <w:rPr>
                <w:rFonts w:ascii="Arial" w:cs="Arial" w:eastAsia="Arial" w:hAnsi="Arial"/>
                <w:sz w:val="15"/>
                <w:szCs w:val="15"/>
                <w:b w:val="1"/>
                <w:bCs w:val="1"/>
                <w:color w:val="auto"/>
                <w:w w:val="90"/>
              </w:rPr>
              <w:t>Shares Beneficially</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gridSpan w:val="4"/>
          </w:tcPr>
          <w:p>
            <w:pPr>
              <w:jc w:val="right"/>
              <w:ind w:right="1220"/>
              <w:spacing w:after="0" w:line="157" w:lineRule="exact"/>
              <w:rPr>
                <w:sz w:val="20"/>
                <w:szCs w:val="20"/>
                <w:color w:val="auto"/>
              </w:rPr>
            </w:pPr>
            <w:r>
              <w:rPr>
                <w:rFonts w:ascii="Arial" w:cs="Arial" w:eastAsia="Arial" w:hAnsi="Arial"/>
                <w:sz w:val="15"/>
                <w:szCs w:val="15"/>
                <w:b w:val="1"/>
                <w:bCs w:val="1"/>
                <w:color w:val="auto"/>
              </w:rPr>
              <w:t>Shares Beneficially</w:t>
            </w:r>
          </w:p>
        </w:tc>
        <w:tc>
          <w:tcPr>
            <w:tcW w:w="2540" w:type="dxa"/>
            <w:vAlign w:val="bottom"/>
            <w:gridSpan w:val="4"/>
          </w:tcPr>
          <w:p>
            <w:pPr>
              <w:jc w:val="center"/>
              <w:ind w:right="180"/>
              <w:spacing w:after="0" w:line="157" w:lineRule="exact"/>
              <w:rPr>
                <w:sz w:val="20"/>
                <w:szCs w:val="20"/>
                <w:color w:val="auto"/>
              </w:rPr>
            </w:pPr>
            <w:r>
              <w:rPr>
                <w:rFonts w:ascii="Arial" w:cs="Arial" w:eastAsia="Arial" w:hAnsi="Arial"/>
                <w:sz w:val="15"/>
                <w:szCs w:val="15"/>
                <w:b w:val="1"/>
                <w:bCs w:val="1"/>
                <w:color w:val="auto"/>
                <w:w w:val="94"/>
              </w:rPr>
              <w:t>Owned After</w:t>
            </w:r>
          </w:p>
        </w:tc>
        <w:tc>
          <w:tcPr>
            <w:tcW w:w="0" w:type="dxa"/>
            <w:vAlign w:val="bottom"/>
          </w:tcPr>
          <w:p>
            <w:pPr>
              <w:spacing w:after="0"/>
              <w:rPr>
                <w:sz w:val="1"/>
                <w:szCs w:val="1"/>
                <w:color w:val="auto"/>
              </w:rPr>
            </w:pPr>
          </w:p>
        </w:tc>
      </w:tr>
      <w:tr>
        <w:trPr>
          <w:trHeight w:val="180"/>
        </w:trPr>
        <w:tc>
          <w:tcPr>
            <w:tcW w:w="1720" w:type="dxa"/>
            <w:vAlign w:val="bottom"/>
            <w:vMerge w:val="restart"/>
          </w:tcPr>
          <w:p>
            <w:pPr>
              <w:spacing w:after="0"/>
              <w:rPr>
                <w:sz w:val="20"/>
                <w:szCs w:val="20"/>
                <w:color w:val="auto"/>
              </w:rPr>
            </w:pPr>
            <w:r>
              <w:rPr>
                <w:rFonts w:ascii="Arial" w:cs="Arial" w:eastAsia="Arial" w:hAnsi="Arial"/>
                <w:sz w:val="15"/>
                <w:szCs w:val="15"/>
                <w:b w:val="1"/>
                <w:bCs w:val="1"/>
                <w:color w:val="auto"/>
                <w:w w:val="91"/>
              </w:rPr>
              <w:t>Name of Beneficial Owner</w:t>
            </w:r>
          </w:p>
        </w:tc>
        <w:tc>
          <w:tcPr>
            <w:tcW w:w="4360" w:type="dxa"/>
            <w:vAlign w:val="bottom"/>
            <w:vMerge w:val="restart"/>
          </w:tcPr>
          <w:p>
            <w:pPr>
              <w:spacing w:after="0"/>
              <w:rPr>
                <w:sz w:val="15"/>
                <w:szCs w:val="15"/>
                <w:color w:val="auto"/>
              </w:rPr>
            </w:pPr>
          </w:p>
        </w:tc>
        <w:tc>
          <w:tcPr>
            <w:tcW w:w="3020" w:type="dxa"/>
            <w:vAlign w:val="bottom"/>
            <w:gridSpan w:val="4"/>
          </w:tcPr>
          <w:p>
            <w:pPr>
              <w:jc w:val="right"/>
              <w:ind w:right="900"/>
              <w:spacing w:after="0"/>
              <w:rPr>
                <w:sz w:val="20"/>
                <w:szCs w:val="20"/>
                <w:color w:val="auto"/>
              </w:rPr>
            </w:pPr>
            <w:r>
              <w:rPr>
                <w:rFonts w:ascii="Arial" w:cs="Arial" w:eastAsia="Arial" w:hAnsi="Arial"/>
                <w:sz w:val="15"/>
                <w:szCs w:val="15"/>
                <w:b w:val="1"/>
                <w:bCs w:val="1"/>
                <w:color w:val="auto"/>
              </w:rPr>
              <w:t>Owned Prior to this Offering</w:t>
            </w:r>
          </w:p>
        </w:tc>
        <w:tc>
          <w:tcPr>
            <w:tcW w:w="2540" w:type="dxa"/>
            <w:vAlign w:val="bottom"/>
            <w:gridSpan w:val="4"/>
          </w:tcPr>
          <w:p>
            <w:pPr>
              <w:jc w:val="center"/>
              <w:ind w:right="180"/>
              <w:spacing w:after="0"/>
              <w:rPr>
                <w:sz w:val="20"/>
                <w:szCs w:val="20"/>
                <w:color w:val="auto"/>
              </w:rPr>
            </w:pPr>
            <w:r>
              <w:rPr>
                <w:rFonts w:ascii="Arial" w:cs="Arial" w:eastAsia="Arial" w:hAnsi="Arial"/>
                <w:sz w:val="15"/>
                <w:szCs w:val="15"/>
                <w:b w:val="1"/>
                <w:bCs w:val="1"/>
                <w:color w:val="auto"/>
                <w:w w:val="94"/>
              </w:rPr>
              <w:t>this Offering</w:t>
            </w:r>
          </w:p>
        </w:tc>
        <w:tc>
          <w:tcPr>
            <w:tcW w:w="0" w:type="dxa"/>
            <w:vAlign w:val="bottom"/>
          </w:tcPr>
          <w:p>
            <w:pPr>
              <w:spacing w:after="0"/>
              <w:rPr>
                <w:sz w:val="1"/>
                <w:szCs w:val="1"/>
                <w:color w:val="auto"/>
              </w:rPr>
            </w:pPr>
          </w:p>
        </w:tc>
      </w:tr>
      <w:tr>
        <w:trPr>
          <w:trHeight w:val="157"/>
        </w:trPr>
        <w:tc>
          <w:tcPr>
            <w:tcW w:w="1720" w:type="dxa"/>
            <w:vAlign w:val="bottom"/>
            <w:tcBorders>
              <w:bottom w:val="single" w:sz="8" w:color="auto"/>
            </w:tcBorders>
            <w:vMerge w:val="continue"/>
          </w:tcPr>
          <w:p>
            <w:pPr>
              <w:spacing w:after="0"/>
              <w:rPr>
                <w:sz w:val="13"/>
                <w:szCs w:val="13"/>
                <w:color w:val="auto"/>
              </w:rPr>
            </w:pPr>
          </w:p>
        </w:tc>
        <w:tc>
          <w:tcPr>
            <w:tcW w:w="4360" w:type="dxa"/>
            <w:vAlign w:val="bottom"/>
            <w:vMerge w:val="continue"/>
          </w:tcPr>
          <w:p>
            <w:pPr>
              <w:spacing w:after="0"/>
              <w:rPr>
                <w:sz w:val="13"/>
                <w:szCs w:val="13"/>
                <w:color w:val="auto"/>
              </w:rPr>
            </w:pPr>
          </w:p>
        </w:tc>
        <w:tc>
          <w:tcPr>
            <w:tcW w:w="1340" w:type="dxa"/>
            <w:vAlign w:val="bottom"/>
            <w:tcBorders>
              <w:top w:val="single" w:sz="8" w:color="auto"/>
            </w:tcBorders>
            <w:gridSpan w:val="2"/>
          </w:tcPr>
          <w:p>
            <w:pPr>
              <w:jc w:val="right"/>
              <w:ind w:right="700"/>
              <w:spacing w:after="0" w:line="137" w:lineRule="exact"/>
              <w:rPr>
                <w:sz w:val="20"/>
                <w:szCs w:val="20"/>
                <w:color w:val="auto"/>
              </w:rPr>
            </w:pPr>
            <w:r>
              <w:rPr>
                <w:rFonts w:ascii="Arial" w:cs="Arial" w:eastAsia="Arial" w:hAnsi="Arial"/>
                <w:sz w:val="15"/>
                <w:szCs w:val="15"/>
                <w:b w:val="1"/>
                <w:bCs w:val="1"/>
                <w:color w:val="auto"/>
              </w:rPr>
              <w:t>Shares</w:t>
            </w:r>
          </w:p>
        </w:tc>
        <w:tc>
          <w:tcPr>
            <w:tcW w:w="1020" w:type="dxa"/>
            <w:vAlign w:val="bottom"/>
            <w:tcBorders>
              <w:top w:val="single" w:sz="8" w:color="auto"/>
            </w:tcBorders>
          </w:tcPr>
          <w:p>
            <w:pPr>
              <w:jc w:val="right"/>
              <w:ind w:right="75"/>
              <w:spacing w:after="0" w:line="137" w:lineRule="exact"/>
              <w:rPr>
                <w:sz w:val="20"/>
                <w:szCs w:val="20"/>
                <w:color w:val="auto"/>
              </w:rPr>
            </w:pPr>
            <w:r>
              <w:rPr>
                <w:rFonts w:ascii="Arial" w:cs="Arial" w:eastAsia="Arial" w:hAnsi="Arial"/>
                <w:sz w:val="15"/>
                <w:szCs w:val="15"/>
                <w:b w:val="1"/>
                <w:bCs w:val="1"/>
                <w:color w:val="auto"/>
              </w:rPr>
              <w:t>Percentage</w:t>
            </w:r>
          </w:p>
        </w:tc>
        <w:tc>
          <w:tcPr>
            <w:tcW w:w="660" w:type="dxa"/>
            <w:vAlign w:val="bottom"/>
          </w:tcPr>
          <w:p>
            <w:pPr>
              <w:spacing w:after="0"/>
              <w:rPr>
                <w:sz w:val="13"/>
                <w:szCs w:val="13"/>
                <w:color w:val="auto"/>
              </w:rPr>
            </w:pPr>
          </w:p>
        </w:tc>
        <w:tc>
          <w:tcPr>
            <w:tcW w:w="1320" w:type="dxa"/>
            <w:vAlign w:val="bottom"/>
            <w:tcBorders>
              <w:top w:val="single" w:sz="8" w:color="auto"/>
            </w:tcBorders>
            <w:gridSpan w:val="2"/>
          </w:tcPr>
          <w:p>
            <w:pPr>
              <w:ind w:left="180"/>
              <w:spacing w:after="0" w:line="137" w:lineRule="exact"/>
              <w:rPr>
                <w:sz w:val="20"/>
                <w:szCs w:val="20"/>
                <w:color w:val="auto"/>
              </w:rPr>
            </w:pPr>
            <w:r>
              <w:rPr>
                <w:rFonts w:ascii="Arial" w:cs="Arial" w:eastAsia="Arial" w:hAnsi="Arial"/>
                <w:sz w:val="15"/>
                <w:szCs w:val="15"/>
                <w:b w:val="1"/>
                <w:bCs w:val="1"/>
                <w:color w:val="auto"/>
              </w:rPr>
              <w:t>Shares</w:t>
            </w:r>
          </w:p>
        </w:tc>
        <w:tc>
          <w:tcPr>
            <w:tcW w:w="1040" w:type="dxa"/>
            <w:vAlign w:val="bottom"/>
            <w:tcBorders>
              <w:top w:val="single" w:sz="8" w:color="auto"/>
            </w:tcBorders>
          </w:tcPr>
          <w:p>
            <w:pPr>
              <w:jc w:val="right"/>
              <w:ind w:right="75"/>
              <w:spacing w:after="0" w:line="137" w:lineRule="exact"/>
              <w:rPr>
                <w:sz w:val="20"/>
                <w:szCs w:val="20"/>
                <w:color w:val="auto"/>
              </w:rPr>
            </w:pPr>
            <w:r>
              <w:rPr>
                <w:rFonts w:ascii="Arial" w:cs="Arial" w:eastAsia="Arial" w:hAnsi="Arial"/>
                <w:sz w:val="15"/>
                <w:szCs w:val="15"/>
                <w:b w:val="1"/>
                <w:bCs w:val="1"/>
                <w:color w:val="auto"/>
              </w:rPr>
              <w:t>Percentage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0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5% Stockholders:</w:t>
            </w:r>
          </w:p>
        </w:tc>
        <w:tc>
          <w:tcPr>
            <w:tcW w:w="8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80" w:type="dxa"/>
            <w:vAlign w:val="bottom"/>
            <w:gridSpan w:val="2"/>
          </w:tcPr>
          <w:p>
            <w:pPr>
              <w:ind w:left="340"/>
              <w:spacing w:after="0" w:line="214" w:lineRule="exact"/>
              <w:rPr>
                <w:sz w:val="20"/>
                <w:szCs w:val="20"/>
                <w:color w:val="auto"/>
              </w:rPr>
            </w:pPr>
            <w:r>
              <w:rPr>
                <w:rFonts w:ascii="Arial" w:cs="Arial" w:eastAsia="Arial" w:hAnsi="Arial"/>
                <w:sz w:val="15"/>
                <w:szCs w:val="15"/>
                <w:color w:val="auto"/>
              </w:rPr>
              <w:t>MRL Ventures Fund LLC</w:t>
            </w:r>
            <w:r>
              <w:rPr>
                <w:rFonts w:ascii="Arial" w:cs="Arial" w:eastAsia="Arial" w:hAnsi="Arial"/>
                <w:sz w:val="24"/>
                <w:szCs w:val="24"/>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7"/>
                <w:szCs w:val="17"/>
                <w:color w:val="auto"/>
              </w:rPr>
              <w:t>3,545,719</w:t>
            </w:r>
          </w:p>
        </w:tc>
        <w:tc>
          <w:tcPr>
            <w:tcW w:w="52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7"/>
                <w:szCs w:val="17"/>
                <w:color w:val="auto"/>
              </w:rPr>
              <w:t>6.0%</w:t>
            </w:r>
          </w:p>
        </w:tc>
        <w:tc>
          <w:tcPr>
            <w:tcW w:w="1320" w:type="dxa"/>
            <w:vAlign w:val="bottom"/>
            <w:gridSpan w:val="2"/>
          </w:tcPr>
          <w:p>
            <w:pPr>
              <w:jc w:val="right"/>
              <w:ind w:right="500"/>
              <w:spacing w:after="0"/>
              <w:rPr>
                <w:sz w:val="20"/>
                <w:szCs w:val="20"/>
                <w:color w:val="auto"/>
              </w:rPr>
            </w:pPr>
            <w:r>
              <w:rPr>
                <w:rFonts w:ascii="Arial" w:cs="Arial" w:eastAsia="Arial" w:hAnsi="Arial"/>
                <w:sz w:val="17"/>
                <w:szCs w:val="17"/>
                <w:color w:val="auto"/>
              </w:rPr>
              <w:t>3,545,719</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4"/>
        </w:trPr>
        <w:tc>
          <w:tcPr>
            <w:tcW w:w="6080" w:type="dxa"/>
            <w:vAlign w:val="bottom"/>
            <w:gridSpan w:val="2"/>
            <w:shd w:val="clear" w:color="auto" w:fill="CCEEFF"/>
          </w:tcPr>
          <w:p>
            <w:pPr>
              <w:ind w:left="340"/>
              <w:spacing w:after="0" w:line="214" w:lineRule="exact"/>
              <w:rPr>
                <w:sz w:val="20"/>
                <w:szCs w:val="20"/>
                <w:color w:val="auto"/>
              </w:rPr>
            </w:pPr>
            <w:r>
              <w:rPr>
                <w:rFonts w:ascii="Arial" w:cs="Arial" w:eastAsia="Arial" w:hAnsi="Arial"/>
                <w:sz w:val="15"/>
                <w:szCs w:val="15"/>
                <w:color w:val="auto"/>
              </w:rPr>
              <w:t>Entities affiliated with OrbiMed Private Investments</w:t>
            </w:r>
            <w:r>
              <w:rPr>
                <w:rFonts w:ascii="Arial" w:cs="Arial" w:eastAsia="Arial" w:hAnsi="Arial"/>
                <w:sz w:val="24"/>
                <w:szCs w:val="24"/>
                <w:color w:val="auto"/>
                <w:vertAlign w:val="superscript"/>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12,682,329</w:t>
            </w:r>
          </w:p>
        </w:tc>
        <w:tc>
          <w:tcPr>
            <w:tcW w:w="5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21.4%</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3"/>
              </w:rPr>
              <w:t>12,682,329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14"/>
        </w:trPr>
        <w:tc>
          <w:tcPr>
            <w:tcW w:w="6080" w:type="dxa"/>
            <w:vAlign w:val="bottom"/>
            <w:gridSpan w:val="2"/>
          </w:tcPr>
          <w:p>
            <w:pPr>
              <w:ind w:left="340"/>
              <w:spacing w:after="0" w:line="214" w:lineRule="exact"/>
              <w:rPr>
                <w:sz w:val="20"/>
                <w:szCs w:val="20"/>
                <w:color w:val="auto"/>
              </w:rPr>
            </w:pPr>
            <w:r>
              <w:rPr>
                <w:rFonts w:ascii="Arial" w:cs="Arial" w:eastAsia="Arial" w:hAnsi="Arial"/>
                <w:sz w:val="15"/>
                <w:szCs w:val="15"/>
                <w:color w:val="auto"/>
              </w:rPr>
              <w:t>Entities affiliated with Polaris Venture Partners</w:t>
            </w:r>
            <w:r>
              <w:rPr>
                <w:rFonts w:ascii="Arial" w:cs="Arial" w:eastAsia="Arial" w:hAnsi="Arial"/>
                <w:sz w:val="24"/>
                <w:szCs w:val="24"/>
                <w:color w:val="auto"/>
                <w:vertAlign w:val="superscript"/>
              </w:rPr>
              <w:t>(3)</w:t>
            </w:r>
          </w:p>
        </w:tc>
        <w:tc>
          <w:tcPr>
            <w:tcW w:w="820" w:type="dxa"/>
            <w:vAlign w:val="bottom"/>
          </w:tcPr>
          <w:p>
            <w:pPr>
              <w:jc w:val="right"/>
              <w:spacing w:after="0"/>
              <w:rPr>
                <w:sz w:val="20"/>
                <w:szCs w:val="20"/>
                <w:color w:val="auto"/>
              </w:rPr>
            </w:pPr>
            <w:r>
              <w:rPr>
                <w:rFonts w:ascii="Arial" w:cs="Arial" w:eastAsia="Arial" w:hAnsi="Arial"/>
                <w:sz w:val="17"/>
                <w:szCs w:val="17"/>
                <w:color w:val="auto"/>
                <w:w w:val="93"/>
              </w:rPr>
              <w:t>12,858,194</w:t>
            </w:r>
          </w:p>
        </w:tc>
        <w:tc>
          <w:tcPr>
            <w:tcW w:w="52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7"/>
                <w:szCs w:val="17"/>
                <w:color w:val="auto"/>
              </w:rPr>
              <w:t>21.7%</w:t>
            </w:r>
          </w:p>
        </w:tc>
        <w:tc>
          <w:tcPr>
            <w:tcW w:w="1320" w:type="dxa"/>
            <w:vAlign w:val="bottom"/>
            <w:gridSpan w:val="2"/>
          </w:tcPr>
          <w:p>
            <w:pPr>
              <w:jc w:val="right"/>
              <w:ind w:right="500"/>
              <w:spacing w:after="0"/>
              <w:rPr>
                <w:sz w:val="20"/>
                <w:szCs w:val="20"/>
                <w:color w:val="auto"/>
              </w:rPr>
            </w:pPr>
            <w:r>
              <w:rPr>
                <w:rFonts w:ascii="Arial" w:cs="Arial" w:eastAsia="Arial" w:hAnsi="Arial"/>
                <w:sz w:val="17"/>
                <w:szCs w:val="17"/>
                <w:color w:val="auto"/>
                <w:w w:val="93"/>
              </w:rPr>
              <w:t>12,858,194</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14"/>
        </w:trPr>
        <w:tc>
          <w:tcPr>
            <w:tcW w:w="60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Named Executive Officers and Directors:</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80" w:type="dxa"/>
            <w:vAlign w:val="bottom"/>
            <w:gridSpan w:val="2"/>
          </w:tcPr>
          <w:p>
            <w:pPr>
              <w:ind w:left="340"/>
              <w:spacing w:after="0" w:line="214" w:lineRule="exact"/>
              <w:rPr>
                <w:sz w:val="20"/>
                <w:szCs w:val="20"/>
                <w:color w:val="auto"/>
              </w:rPr>
            </w:pPr>
            <w:r>
              <w:rPr>
                <w:rFonts w:ascii="Arial" w:cs="Arial" w:eastAsia="Arial" w:hAnsi="Arial"/>
                <w:sz w:val="15"/>
                <w:szCs w:val="15"/>
                <w:color w:val="auto"/>
              </w:rPr>
              <w:t>Arnon Rosenthal, Ph.D.</w:t>
            </w:r>
            <w:r>
              <w:rPr>
                <w:rFonts w:ascii="Arial" w:cs="Arial" w:eastAsia="Arial" w:hAnsi="Arial"/>
                <w:sz w:val="24"/>
                <w:szCs w:val="24"/>
                <w:color w:val="auto"/>
                <w:vertAlign w:val="superscript"/>
              </w:rPr>
              <w:t>(4)</w:t>
            </w:r>
          </w:p>
        </w:tc>
        <w:tc>
          <w:tcPr>
            <w:tcW w:w="820" w:type="dxa"/>
            <w:vAlign w:val="bottom"/>
          </w:tcPr>
          <w:p>
            <w:pPr>
              <w:jc w:val="right"/>
              <w:spacing w:after="0"/>
              <w:rPr>
                <w:sz w:val="20"/>
                <w:szCs w:val="20"/>
                <w:color w:val="auto"/>
              </w:rPr>
            </w:pPr>
            <w:r>
              <w:rPr>
                <w:rFonts w:ascii="Arial" w:cs="Arial" w:eastAsia="Arial" w:hAnsi="Arial"/>
                <w:sz w:val="17"/>
                <w:szCs w:val="17"/>
                <w:color w:val="auto"/>
              </w:rPr>
              <w:t>6,128,142</w:t>
            </w:r>
          </w:p>
        </w:tc>
        <w:tc>
          <w:tcPr>
            <w:tcW w:w="52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7"/>
                <w:szCs w:val="17"/>
                <w:color w:val="auto"/>
              </w:rPr>
              <w:t>10.4%</w:t>
            </w:r>
          </w:p>
        </w:tc>
        <w:tc>
          <w:tcPr>
            <w:tcW w:w="1320" w:type="dxa"/>
            <w:vAlign w:val="bottom"/>
            <w:gridSpan w:val="2"/>
          </w:tcPr>
          <w:p>
            <w:pPr>
              <w:jc w:val="right"/>
              <w:ind w:right="500"/>
              <w:spacing w:after="0"/>
              <w:rPr>
                <w:sz w:val="20"/>
                <w:szCs w:val="20"/>
                <w:color w:val="auto"/>
              </w:rPr>
            </w:pPr>
            <w:r>
              <w:rPr>
                <w:rFonts w:ascii="Arial" w:cs="Arial" w:eastAsia="Arial" w:hAnsi="Arial"/>
                <w:sz w:val="17"/>
                <w:szCs w:val="17"/>
                <w:color w:val="auto"/>
              </w:rPr>
              <w:t>6,128,142</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14"/>
        </w:trPr>
        <w:tc>
          <w:tcPr>
            <w:tcW w:w="6080" w:type="dxa"/>
            <w:vAlign w:val="bottom"/>
            <w:gridSpan w:val="2"/>
            <w:shd w:val="clear" w:color="auto" w:fill="CCEEFF"/>
          </w:tcPr>
          <w:p>
            <w:pPr>
              <w:ind w:left="340"/>
              <w:spacing w:after="0" w:line="214" w:lineRule="exact"/>
              <w:rPr>
                <w:sz w:val="20"/>
                <w:szCs w:val="20"/>
                <w:color w:val="auto"/>
              </w:rPr>
            </w:pPr>
            <w:r>
              <w:rPr>
                <w:rFonts w:ascii="Arial" w:cs="Arial" w:eastAsia="Arial" w:hAnsi="Arial"/>
                <w:sz w:val="15"/>
                <w:szCs w:val="15"/>
                <w:color w:val="auto"/>
              </w:rPr>
              <w:t>Robert King, Ph.D.</w:t>
            </w:r>
            <w:r>
              <w:rPr>
                <w:rFonts w:ascii="Arial" w:cs="Arial" w:eastAsia="Arial" w:hAnsi="Arial"/>
                <w:sz w:val="24"/>
                <w:szCs w:val="24"/>
                <w:color w:val="auto"/>
                <w:vertAlign w:val="superscript"/>
              </w:rPr>
              <w:t>(5)</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559,192</w:t>
            </w:r>
          </w:p>
        </w:tc>
        <w:tc>
          <w:tcPr>
            <w:tcW w:w="5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1.0%</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559,192</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6080" w:type="dxa"/>
            <w:vAlign w:val="bottom"/>
            <w:gridSpan w:val="2"/>
          </w:tcPr>
          <w:p>
            <w:pPr>
              <w:ind w:left="340"/>
              <w:spacing w:after="0" w:line="214" w:lineRule="exact"/>
              <w:rPr>
                <w:sz w:val="20"/>
                <w:szCs w:val="20"/>
                <w:color w:val="auto"/>
              </w:rPr>
            </w:pPr>
            <w:r>
              <w:rPr>
                <w:rFonts w:ascii="Arial" w:cs="Arial" w:eastAsia="Arial" w:hAnsi="Arial"/>
                <w:sz w:val="15"/>
                <w:szCs w:val="15"/>
                <w:color w:val="auto"/>
              </w:rPr>
              <w:t>Robert Paul, M.D., Ph.D.</w:t>
            </w:r>
            <w:r>
              <w:rPr>
                <w:rFonts w:ascii="Arial" w:cs="Arial" w:eastAsia="Arial" w:hAnsi="Arial"/>
                <w:sz w:val="24"/>
                <w:szCs w:val="24"/>
                <w:color w:val="auto"/>
                <w:vertAlign w:val="superscript"/>
              </w:rPr>
              <w:t>(6)</w:t>
            </w:r>
          </w:p>
        </w:tc>
        <w:tc>
          <w:tcPr>
            <w:tcW w:w="820" w:type="dxa"/>
            <w:vAlign w:val="bottom"/>
          </w:tcPr>
          <w:p>
            <w:pPr>
              <w:jc w:val="right"/>
              <w:spacing w:after="0"/>
              <w:rPr>
                <w:sz w:val="20"/>
                <w:szCs w:val="20"/>
                <w:color w:val="auto"/>
              </w:rPr>
            </w:pPr>
            <w:r>
              <w:rPr>
                <w:rFonts w:ascii="Arial" w:cs="Arial" w:eastAsia="Arial" w:hAnsi="Arial"/>
                <w:sz w:val="17"/>
                <w:szCs w:val="17"/>
                <w:color w:val="auto"/>
              </w:rPr>
              <w:t>384,760</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7"/>
                <w:szCs w:val="17"/>
                <w:color w:val="auto"/>
              </w:rPr>
              <w:t>384,760</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6080" w:type="dxa"/>
            <w:vAlign w:val="bottom"/>
            <w:gridSpan w:val="2"/>
            <w:shd w:val="clear" w:color="auto" w:fill="CCEEFF"/>
          </w:tcPr>
          <w:p>
            <w:pPr>
              <w:ind w:left="340"/>
              <w:spacing w:after="0" w:line="214" w:lineRule="exact"/>
              <w:rPr>
                <w:sz w:val="20"/>
                <w:szCs w:val="20"/>
                <w:color w:val="auto"/>
              </w:rPr>
            </w:pPr>
            <w:r>
              <w:rPr>
                <w:rFonts w:ascii="Arial" w:cs="Arial" w:eastAsia="Arial" w:hAnsi="Arial"/>
                <w:sz w:val="15"/>
                <w:szCs w:val="15"/>
                <w:color w:val="auto"/>
              </w:rPr>
              <w:t>Tillman Gerngross, Ph.D.</w:t>
            </w:r>
            <w:r>
              <w:rPr>
                <w:rFonts w:ascii="Arial" w:cs="Arial" w:eastAsia="Arial" w:hAnsi="Arial"/>
                <w:sz w:val="24"/>
                <w:szCs w:val="24"/>
                <w:color w:val="auto"/>
                <w:vertAlign w:val="superscript"/>
              </w:rPr>
              <w:t>(7)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2,608,610</w:t>
            </w:r>
          </w:p>
        </w:tc>
        <w:tc>
          <w:tcPr>
            <w:tcW w:w="5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4.4%</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2,608,610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4"/>
        </w:trPr>
        <w:tc>
          <w:tcPr>
            <w:tcW w:w="6080" w:type="dxa"/>
            <w:vAlign w:val="bottom"/>
            <w:gridSpan w:val="2"/>
          </w:tcPr>
          <w:p>
            <w:pPr>
              <w:ind w:left="340"/>
              <w:spacing w:after="0" w:line="214" w:lineRule="exact"/>
              <w:rPr>
                <w:sz w:val="20"/>
                <w:szCs w:val="20"/>
                <w:color w:val="auto"/>
              </w:rPr>
            </w:pPr>
            <w:r>
              <w:rPr>
                <w:rFonts w:ascii="Arial" w:cs="Arial" w:eastAsia="Arial" w:hAnsi="Arial"/>
                <w:sz w:val="15"/>
                <w:szCs w:val="15"/>
                <w:color w:val="auto"/>
              </w:rPr>
              <w:t>Christine Brennan, Ph.D.</w:t>
            </w:r>
            <w:r>
              <w:rPr>
                <w:rFonts w:ascii="Arial" w:cs="Arial" w:eastAsia="Arial" w:hAnsi="Arial"/>
                <w:sz w:val="24"/>
                <w:szCs w:val="24"/>
                <w:color w:val="auto"/>
                <w:vertAlign w:val="superscript"/>
              </w:rPr>
              <w:t>(8)</w:t>
            </w:r>
          </w:p>
        </w:tc>
        <w:tc>
          <w:tcPr>
            <w:tcW w:w="820" w:type="dxa"/>
            <w:vAlign w:val="bottom"/>
          </w:tcPr>
          <w:p>
            <w:pPr>
              <w:jc w:val="right"/>
              <w:spacing w:after="0"/>
              <w:rPr>
                <w:sz w:val="20"/>
                <w:szCs w:val="20"/>
                <w:color w:val="auto"/>
              </w:rPr>
            </w:pPr>
            <w:r>
              <w:rPr>
                <w:rFonts w:ascii="Arial" w:cs="Arial" w:eastAsia="Arial" w:hAnsi="Arial"/>
                <w:sz w:val="17"/>
                <w:szCs w:val="17"/>
                <w:color w:val="auto"/>
              </w:rPr>
              <w:t>3,545,719</w:t>
            </w:r>
          </w:p>
        </w:tc>
        <w:tc>
          <w:tcPr>
            <w:tcW w:w="52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7"/>
                <w:szCs w:val="17"/>
                <w:color w:val="auto"/>
              </w:rPr>
              <w:t>6.0%</w:t>
            </w:r>
          </w:p>
        </w:tc>
        <w:tc>
          <w:tcPr>
            <w:tcW w:w="1320" w:type="dxa"/>
            <w:vAlign w:val="bottom"/>
            <w:gridSpan w:val="2"/>
          </w:tcPr>
          <w:p>
            <w:pPr>
              <w:jc w:val="right"/>
              <w:ind w:right="500"/>
              <w:spacing w:after="0"/>
              <w:rPr>
                <w:sz w:val="20"/>
                <w:szCs w:val="20"/>
                <w:color w:val="auto"/>
              </w:rPr>
            </w:pPr>
            <w:r>
              <w:rPr>
                <w:rFonts w:ascii="Arial" w:cs="Arial" w:eastAsia="Arial" w:hAnsi="Arial"/>
                <w:sz w:val="17"/>
                <w:szCs w:val="17"/>
                <w:color w:val="auto"/>
              </w:rPr>
              <w:t>3,545,719</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4"/>
        </w:trPr>
        <w:tc>
          <w:tcPr>
            <w:tcW w:w="6080" w:type="dxa"/>
            <w:vAlign w:val="bottom"/>
            <w:gridSpan w:val="2"/>
            <w:shd w:val="clear" w:color="auto" w:fill="CCEEFF"/>
          </w:tcPr>
          <w:p>
            <w:pPr>
              <w:ind w:left="340"/>
              <w:spacing w:after="0" w:line="214" w:lineRule="exact"/>
              <w:rPr>
                <w:sz w:val="20"/>
                <w:szCs w:val="20"/>
                <w:color w:val="auto"/>
              </w:rPr>
            </w:pPr>
            <w:r>
              <w:rPr>
                <w:rFonts w:ascii="Arial" w:cs="Arial" w:eastAsia="Arial" w:hAnsi="Arial"/>
                <w:sz w:val="15"/>
                <w:szCs w:val="15"/>
                <w:color w:val="auto"/>
              </w:rPr>
              <w:t>Carl Gordon, Ph.D., C.F.A.</w:t>
            </w:r>
            <w:r>
              <w:rPr>
                <w:rFonts w:ascii="Arial" w:cs="Arial" w:eastAsia="Arial" w:hAnsi="Arial"/>
                <w:sz w:val="24"/>
                <w:szCs w:val="24"/>
                <w:color w:val="auto"/>
                <w:vertAlign w:val="superscript"/>
              </w:rPr>
              <w:t>(9)</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12,682,329</w:t>
            </w:r>
          </w:p>
        </w:tc>
        <w:tc>
          <w:tcPr>
            <w:tcW w:w="5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21.4%</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3"/>
              </w:rPr>
              <w:t>12,682,329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14"/>
        </w:trPr>
        <w:tc>
          <w:tcPr>
            <w:tcW w:w="6080" w:type="dxa"/>
            <w:vAlign w:val="bottom"/>
            <w:gridSpan w:val="2"/>
          </w:tcPr>
          <w:p>
            <w:pPr>
              <w:ind w:left="340"/>
              <w:spacing w:after="0" w:line="214" w:lineRule="exact"/>
              <w:rPr>
                <w:sz w:val="20"/>
                <w:szCs w:val="20"/>
                <w:color w:val="auto"/>
              </w:rPr>
            </w:pPr>
            <w:r>
              <w:rPr>
                <w:rFonts w:ascii="Arial" w:cs="Arial" w:eastAsia="Arial" w:hAnsi="Arial"/>
                <w:sz w:val="15"/>
                <w:szCs w:val="15"/>
                <w:color w:val="auto"/>
              </w:rPr>
              <w:t>Louis J. Lavigne, Jr.</w:t>
            </w:r>
            <w:r>
              <w:rPr>
                <w:rFonts w:ascii="Arial" w:cs="Arial" w:eastAsia="Arial" w:hAnsi="Arial"/>
                <w:sz w:val="24"/>
                <w:szCs w:val="24"/>
                <w:color w:val="auto"/>
                <w:vertAlign w:val="superscript"/>
              </w:rPr>
              <w:t>(10)</w:t>
            </w:r>
          </w:p>
        </w:tc>
        <w:tc>
          <w:tcPr>
            <w:tcW w:w="820" w:type="dxa"/>
            <w:vAlign w:val="bottom"/>
          </w:tcPr>
          <w:p>
            <w:pPr>
              <w:jc w:val="right"/>
              <w:spacing w:after="0"/>
              <w:rPr>
                <w:sz w:val="20"/>
                <w:szCs w:val="20"/>
                <w:color w:val="auto"/>
              </w:rPr>
            </w:pPr>
            <w:r>
              <w:rPr>
                <w:rFonts w:ascii="Arial" w:cs="Arial" w:eastAsia="Arial" w:hAnsi="Arial"/>
                <w:sz w:val="17"/>
                <w:szCs w:val="17"/>
                <w:color w:val="auto"/>
              </w:rPr>
              <w:t>10,552</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7"/>
                <w:szCs w:val="17"/>
                <w:color w:val="auto"/>
              </w:rPr>
              <w:t>10,552</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6080" w:type="dxa"/>
            <w:vAlign w:val="bottom"/>
            <w:gridSpan w:val="2"/>
            <w:shd w:val="clear" w:color="auto" w:fill="CCEEFF"/>
          </w:tcPr>
          <w:p>
            <w:pPr>
              <w:ind w:left="340"/>
              <w:spacing w:after="0" w:line="228" w:lineRule="exact"/>
              <w:rPr>
                <w:sz w:val="20"/>
                <w:szCs w:val="20"/>
                <w:color w:val="auto"/>
              </w:rPr>
            </w:pPr>
            <w:r>
              <w:rPr>
                <w:rFonts w:ascii="Arial" w:cs="Arial" w:eastAsia="Arial" w:hAnsi="Arial"/>
                <w:sz w:val="16"/>
                <w:szCs w:val="16"/>
                <w:color w:val="auto"/>
              </w:rPr>
              <w:t>Terry McGuire</w:t>
            </w:r>
            <w:r>
              <w:rPr>
                <w:rFonts w:ascii="Arial" w:cs="Arial" w:eastAsia="Arial" w:hAnsi="Arial"/>
                <w:sz w:val="26"/>
                <w:szCs w:val="26"/>
                <w:color w:val="auto"/>
                <w:vertAlign w:val="superscript"/>
              </w:rPr>
              <w:t>(11)</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6080" w:type="dxa"/>
            <w:vAlign w:val="bottom"/>
            <w:gridSpan w:val="2"/>
          </w:tcPr>
          <w:p>
            <w:pPr>
              <w:ind w:left="340"/>
              <w:spacing w:after="0" w:line="214" w:lineRule="exact"/>
              <w:rPr>
                <w:sz w:val="20"/>
                <w:szCs w:val="20"/>
                <w:color w:val="auto"/>
              </w:rPr>
            </w:pPr>
            <w:r>
              <w:rPr>
                <w:rFonts w:ascii="Arial" w:cs="Arial" w:eastAsia="Arial" w:hAnsi="Arial"/>
                <w:sz w:val="15"/>
                <w:szCs w:val="15"/>
                <w:color w:val="auto"/>
              </w:rPr>
              <w:t>Richard Scheller, Ph.D.</w:t>
            </w:r>
            <w:r>
              <w:rPr>
                <w:rFonts w:ascii="Arial" w:cs="Arial" w:eastAsia="Arial" w:hAnsi="Arial"/>
                <w:sz w:val="24"/>
                <w:szCs w:val="24"/>
                <w:color w:val="auto"/>
                <w:vertAlign w:val="superscript"/>
              </w:rPr>
              <w:t>(12)</w:t>
            </w:r>
          </w:p>
        </w:tc>
        <w:tc>
          <w:tcPr>
            <w:tcW w:w="820" w:type="dxa"/>
            <w:vAlign w:val="bottom"/>
          </w:tcPr>
          <w:p>
            <w:pPr>
              <w:jc w:val="right"/>
              <w:spacing w:after="0"/>
              <w:rPr>
                <w:sz w:val="20"/>
                <w:szCs w:val="20"/>
                <w:color w:val="auto"/>
              </w:rPr>
            </w:pPr>
            <w:r>
              <w:rPr>
                <w:rFonts w:ascii="Arial" w:cs="Arial" w:eastAsia="Arial" w:hAnsi="Arial"/>
                <w:sz w:val="17"/>
                <w:szCs w:val="17"/>
                <w:color w:val="auto"/>
              </w:rPr>
              <w:t>20,967</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7"/>
                <w:szCs w:val="17"/>
                <w:color w:val="auto"/>
              </w:rPr>
              <w:t>20,967</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6080" w:type="dxa"/>
            <w:vAlign w:val="bottom"/>
            <w:gridSpan w:val="2"/>
            <w:shd w:val="clear" w:color="auto" w:fill="CCEEFF"/>
          </w:tcPr>
          <w:p>
            <w:pPr>
              <w:ind w:left="340"/>
              <w:spacing w:after="0" w:line="214" w:lineRule="exact"/>
              <w:rPr>
                <w:sz w:val="20"/>
                <w:szCs w:val="20"/>
                <w:color w:val="auto"/>
              </w:rPr>
            </w:pPr>
            <w:r>
              <w:rPr>
                <w:rFonts w:ascii="Arial" w:cs="Arial" w:eastAsia="Arial" w:hAnsi="Arial"/>
                <w:sz w:val="15"/>
                <w:szCs w:val="15"/>
                <w:color w:val="auto"/>
              </w:rPr>
              <w:t>David Wehner</w:t>
            </w:r>
            <w:r>
              <w:rPr>
                <w:rFonts w:ascii="Arial" w:cs="Arial" w:eastAsia="Arial" w:hAnsi="Arial"/>
                <w:sz w:val="24"/>
                <w:szCs w:val="24"/>
                <w:color w:val="auto"/>
                <w:vertAlign w:val="superscript"/>
              </w:rPr>
              <w:t>(13)</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24,621</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24,621</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73"/>
        </w:trPr>
        <w:tc>
          <w:tcPr>
            <w:tcW w:w="6080" w:type="dxa"/>
            <w:vAlign w:val="bottom"/>
            <w:gridSpan w:val="2"/>
          </w:tcPr>
          <w:p>
            <w:pPr>
              <w:ind w:left="340"/>
              <w:spacing w:after="0"/>
              <w:rPr>
                <w:sz w:val="20"/>
                <w:szCs w:val="20"/>
                <w:color w:val="auto"/>
              </w:rPr>
            </w:pPr>
            <w:r>
              <w:rPr>
                <w:rFonts w:ascii="Arial" w:cs="Arial" w:eastAsia="Arial" w:hAnsi="Arial"/>
                <w:sz w:val="17"/>
                <w:szCs w:val="17"/>
                <w:color w:val="auto"/>
              </w:rPr>
              <w:t>All executive officers and directors as a group (12 persons)</w:t>
            </w:r>
            <w:r>
              <w:rPr>
                <w:rFonts w:ascii="Arial" w:cs="Arial" w:eastAsia="Arial" w:hAnsi="Arial"/>
                <w:sz w:val="29"/>
                <w:szCs w:val="29"/>
                <w:color w:val="auto"/>
                <w:vertAlign w:val="superscript"/>
              </w:rPr>
              <w:t>(14)</w:t>
            </w:r>
          </w:p>
        </w:tc>
        <w:tc>
          <w:tcPr>
            <w:tcW w:w="820" w:type="dxa"/>
            <w:vAlign w:val="bottom"/>
          </w:tcPr>
          <w:p>
            <w:pPr>
              <w:jc w:val="right"/>
              <w:spacing w:after="0"/>
              <w:rPr>
                <w:sz w:val="20"/>
                <w:szCs w:val="20"/>
                <w:color w:val="auto"/>
              </w:rPr>
            </w:pPr>
            <w:r>
              <w:rPr>
                <w:rFonts w:ascii="Arial" w:cs="Arial" w:eastAsia="Arial" w:hAnsi="Arial"/>
                <w:sz w:val="17"/>
                <w:szCs w:val="17"/>
                <w:color w:val="auto"/>
                <w:w w:val="93"/>
              </w:rPr>
              <w:t>26,763,270</w:t>
            </w:r>
          </w:p>
        </w:tc>
        <w:tc>
          <w:tcPr>
            <w:tcW w:w="520" w:type="dxa"/>
            <w:vAlign w:val="bottom"/>
          </w:tcPr>
          <w:p>
            <w:pPr>
              <w:spacing w:after="0"/>
              <w:rPr>
                <w:sz w:val="24"/>
                <w:szCs w:val="24"/>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7"/>
                <w:szCs w:val="17"/>
                <w:color w:val="auto"/>
              </w:rPr>
              <w:t>45.1%</w:t>
            </w:r>
          </w:p>
        </w:tc>
        <w:tc>
          <w:tcPr>
            <w:tcW w:w="1320" w:type="dxa"/>
            <w:vAlign w:val="bottom"/>
            <w:gridSpan w:val="2"/>
          </w:tcPr>
          <w:p>
            <w:pPr>
              <w:jc w:val="right"/>
              <w:ind w:right="500"/>
              <w:spacing w:after="0"/>
              <w:rPr>
                <w:sz w:val="20"/>
                <w:szCs w:val="20"/>
                <w:color w:val="auto"/>
              </w:rPr>
            </w:pPr>
            <w:r>
              <w:rPr>
                <w:rFonts w:ascii="Arial" w:cs="Arial" w:eastAsia="Arial" w:hAnsi="Arial"/>
                <w:sz w:val="17"/>
                <w:szCs w:val="17"/>
                <w:color w:val="auto"/>
                <w:w w:val="93"/>
              </w:rPr>
              <w:t>26,763,270</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39.0%</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2240" w:h="15840" w:orient="portrait"/>
          <w:cols w:equalWidth="0" w:num="1">
            <w:col w:w="11820"/>
          </w:cols>
          <w:pgMar w:left="120" w:top="336" w:right="300" w:bottom="1440" w:gutter="0" w:footer="0" w:header="0"/>
        </w:sectPr>
      </w:pPr>
    </w:p>
    <w:p>
      <w:pPr>
        <w:jc w:val="center"/>
        <w:ind w:right="-179"/>
        <w:spacing w:after="0"/>
        <w:rPr>
          <w:sz w:val="20"/>
          <w:szCs w:val="20"/>
          <w:color w:val="auto"/>
        </w:rPr>
      </w:pPr>
      <w:r>
        <w:rPr>
          <w:rFonts w:ascii="Arial" w:cs="Arial" w:eastAsia="Arial" w:hAnsi="Arial"/>
          <w:sz w:val="16"/>
          <w:szCs w:val="16"/>
          <w:color w:val="auto"/>
        </w:rPr>
        <w:t>160</w:t>
      </w:r>
    </w:p>
    <w:p>
      <w:pPr>
        <w:sectPr>
          <w:pgSz w:w="12240" w:h="15840" w:orient="portrait"/>
          <w:cols w:equalWidth="0" w:num="1">
            <w:col w:w="11820"/>
          </w:cols>
          <w:pgMar w:left="120" w:top="336" w:right="300" w:bottom="1440" w:gutter="0" w:footer="0" w:header="0"/>
          <w:type w:val="continuous"/>
        </w:sectPr>
      </w:pPr>
    </w:p>
    <w:bookmarkStart w:id="168" w:name="page169"/>
    <w:bookmarkEnd w:id="16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308610</wp:posOffset>
            </wp:positionV>
            <wp:extent cx="7423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760" w:hanging="581"/>
        <w:spacing w:after="0"/>
        <w:tabs>
          <w:tab w:leader="none" w:pos="76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Represents beneficial ownership of less than one percent (1%) of the outstanding shares of our common stock.</w:t>
      </w:r>
    </w:p>
    <w:p>
      <w:pPr>
        <w:spacing w:after="0" w:line="23" w:lineRule="exact"/>
        <w:rPr>
          <w:sz w:val="20"/>
          <w:szCs w:val="20"/>
          <w:color w:val="auto"/>
        </w:rPr>
      </w:pPr>
    </w:p>
    <w:p>
      <w:pPr>
        <w:ind w:left="760" w:right="180" w:hanging="581"/>
        <w:spacing w:after="0" w:line="250" w:lineRule="auto"/>
        <w:tabs>
          <w:tab w:leader="none" w:pos="76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Consists of 3,545,719 shares held of record by MRL Ventures Fund LLC (MRL). All shares are held directly by MRL, which is a subsidiary of Merck Sharp &amp; Dohme Corp. Dr. Christine Brennan is a partner at MRL and is also a member of our board of directors. Dr. Brennan disclaims beneficial ownership of such shares, except to the extent of her pecuniary interest therein, if any. The address for MRL is 320 Bent Street, Cambridge, Massachusetts 02141.</w:t>
      </w:r>
    </w:p>
    <w:p>
      <w:pPr>
        <w:spacing w:after="0" w:line="2" w:lineRule="exact"/>
        <w:rPr>
          <w:rFonts w:ascii="Arial" w:cs="Arial" w:eastAsia="Arial" w:hAnsi="Arial"/>
          <w:sz w:val="19"/>
          <w:szCs w:val="19"/>
          <w:color w:val="auto"/>
        </w:rPr>
      </w:pPr>
    </w:p>
    <w:p>
      <w:pPr>
        <w:ind w:left="760" w:hanging="581"/>
        <w:spacing w:after="0" w:line="280" w:lineRule="auto"/>
        <w:tabs>
          <w:tab w:leader="none" w:pos="7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Consists of (a) 10,277,037 shares held of record by OrbiMed Private Investments IV-AL, LP (OrbiMed IV-AL), and (b) 2,405,292 shares held of record by OrbiMed Private Investments IV-AL (Feeder), LP (OrbiMed IV-AL (Feeder)). OrbiMed Capital GP IV LLC (OrbiMed GP), is the general partner of OrbiMed IV-AL and OrbiMed IV-AL (Feeder). OrbiMed Advisors LLC, or OrbiMed Advisors, is the managing member of OrbiMed GP. Dr. Carl Gordon is a managing partner at OrbiMed Advisors and is also a member of our board of directors. OrbiMed Advisors exercises investment and voting power through a management committee comprised of Dr. Gordon, Sven H. Borho, and Jonathan T. Silverstein. Each of OrbiMed GP, OrbiMed Advisors, Dr. Gordon, Sven H. Borho, Jonathan T. Silverstein, and Stephen Squinto disclaims beneficial ownership of the shares held by OrbiMed IV-AL and OrbiMed IV-AL (Feeder), except to the extent of its or his pecuniary interest therein, if any. The address of the individuals and entities listed above is 601 Lexington Avenue, 54th Floor, New York NY 10022.</w:t>
      </w:r>
    </w:p>
    <w:p>
      <w:pPr>
        <w:ind w:left="760" w:right="140" w:hanging="581"/>
        <w:spacing w:after="0" w:line="280" w:lineRule="auto"/>
        <w:tabs>
          <w:tab w:leader="none" w:pos="7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Consists of (a) 9,350,877 shares held of record by Polaris Venture Partners VI (AIV), L.P. (PVP VI AIV), (b) 709,917 shares held of record by Polaris Venture Partners Founders’ Fund VI, L.P. (PVPFF VI), (c) 498,468 shares held of record by Polaris Venture Partners VI, L.P. (PVP VI), and (d) 2,298,932 shares held of record by PVP VI (AIV) Feeder Corp. Holding Partnership, L.P. (PVP VI Feeder, and together with PVP VI AIV, PVPFF VI, and PVP VI, the Funds). Polaris Venture Management Co. VI, L.L.C. (PVM) is the general partner of the Funds and may be deemed to have sole power to vote and dispose of the shares held by the Funds. Amir Nashat, Brian Chee, David Barrett, Bryce Youngren, Jon Flint, and Terry McGuire are the managing members of PVM who collectively make voting and investment decisions with respect to the shares held by the Funds. The address of the individuals and entities listed above is One Marina Park Drive, 10th Floor, Boston, Massachusetts 02210.</w:t>
      </w:r>
    </w:p>
    <w:p>
      <w:pPr>
        <w:ind w:left="760" w:hanging="581"/>
        <w:spacing w:after="0" w:line="264" w:lineRule="auto"/>
        <w:tabs>
          <w:tab w:leader="none" w:pos="7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Consists of (a) 1,305,226 shares held of record by Dr. Rosenthal, of which 360,646 shares are subject to repurchase by us at the original purchase price as of December 31, 2018, (b) 712,500 shares held of record by Adi Rosenthal 2007 Trust dated March 27, 2007, for which Dr. Rosenthal serves as trustee, of which no shares are subject to repurchase by us at the original purchase price as of December 31, 2018, (c) 712,500 shares held of record by Noam Rosenthal 2007 Trust dated March 27, 2007, for which Dr. Rosenthal serves as trustee, of which no shares are subject to repurchase by us at the original purchase price as of December 31, 2018, (d) 712,500 shares held of record by Shani Rosenthal 2007 Trust dated March 27, 2007, for which Dr. Rosenthal serves as trustee, of which no shares are subject to repurchase by us at the original purchase price as of December 31, 2018, (e) 2,612,500 shares held of record by The Rosenthal Family Revocable Trust Dated November 4, 1994, as restated on June 9, 1999, for which Dr. Rosenthal serves as trustee, of which no shares are subject to repurchase by us at the original purchase price as of December 31, 2018, and (f) 775,000 shares subject to options held by Dr. Rosenthal, of which 72,916 shares are vested and exercisable within 60 days of December 31, 2018.</w:t>
      </w:r>
    </w:p>
    <w:p>
      <w:pPr>
        <w:spacing w:after="0" w:line="4" w:lineRule="exact"/>
        <w:rPr>
          <w:rFonts w:ascii="Arial" w:cs="Arial" w:eastAsia="Arial" w:hAnsi="Arial"/>
          <w:sz w:val="18"/>
          <w:szCs w:val="18"/>
          <w:color w:val="auto"/>
        </w:rPr>
      </w:pPr>
    </w:p>
    <w:p>
      <w:pPr>
        <w:ind w:left="760" w:right="100" w:hanging="581"/>
        <w:spacing w:after="0" w:line="250" w:lineRule="auto"/>
        <w:tabs>
          <w:tab w:leader="none" w:pos="76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Consists of (a) 537,317 shares held of record by Dr. King, of which 279,853 shares are subject to repurchase by us at the original purchase price as of December 31, 2018 and (b) 250,000 shares subject to options held by Dr. King, of which 21,875 shares are vested and exercisable within 60 days of December 31, 2018.</w:t>
      </w:r>
    </w:p>
    <w:p>
      <w:pPr>
        <w:spacing w:after="0" w:line="1" w:lineRule="exact"/>
        <w:rPr>
          <w:rFonts w:ascii="Arial" w:cs="Arial" w:eastAsia="Arial" w:hAnsi="Arial"/>
          <w:sz w:val="19"/>
          <w:szCs w:val="19"/>
          <w:color w:val="auto"/>
        </w:rPr>
      </w:pPr>
    </w:p>
    <w:p>
      <w:pPr>
        <w:ind w:left="760" w:right="20" w:hanging="581"/>
        <w:spacing w:after="0" w:line="250" w:lineRule="auto"/>
        <w:tabs>
          <w:tab w:leader="none" w:pos="76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Consists of (a) 333,719 shares held of record by Dr. Paul, of which 162,884 shares are subject to repurchase by us at the original purchase price as of December 31, 2018 and (b) 450,000 shares subject to options held by Dr. Paul, of which 51,041 shares are vested and exercisable within 60 days of December 31, 2018.</w:t>
      </w:r>
    </w:p>
    <w:p>
      <w:pPr>
        <w:spacing w:after="0" w:line="1" w:lineRule="exact"/>
        <w:rPr>
          <w:rFonts w:ascii="Arial" w:cs="Arial" w:eastAsia="Arial" w:hAnsi="Arial"/>
          <w:sz w:val="19"/>
          <w:szCs w:val="19"/>
          <w:color w:val="auto"/>
        </w:rPr>
      </w:pPr>
    </w:p>
    <w:p>
      <w:pPr>
        <w:ind w:left="760" w:right="340" w:hanging="581"/>
        <w:spacing w:after="0" w:line="261" w:lineRule="auto"/>
        <w:tabs>
          <w:tab w:leader="none" w:pos="76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Consists of 2,608,610 shares held of record by Dr. Gerngross, of which 10,239 shares are subject to repurchase by us at the original purchase price as of December 31, 2018.</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161</w:t>
      </w:r>
    </w:p>
    <w:p>
      <w:pPr>
        <w:sectPr>
          <w:pgSz w:w="12240" w:h="15840" w:orient="portrait"/>
          <w:cols w:equalWidth="0" w:num="1">
            <w:col w:w="11800"/>
          </w:cols>
          <w:pgMar w:left="120" w:top="336" w:right="320" w:bottom="1440" w:gutter="0" w:footer="0" w:header="0"/>
        </w:sectPr>
      </w:pPr>
    </w:p>
    <w:bookmarkStart w:id="169" w:name="page170"/>
    <w:bookmarkEnd w:id="16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760" w:right="20" w:hanging="581"/>
        <w:spacing w:after="0" w:line="288" w:lineRule="auto"/>
        <w:tabs>
          <w:tab w:leader="none" w:pos="7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Consists of the shares described in footnote (1) above. Dr. Brennan is a partner at MRL and shares voting and investment control with respect to these shares. Dr. Brennan disclaims beneficial ownership of all shares held by MRL, except to the extent of any pecuniary interest therein.</w:t>
      </w:r>
    </w:p>
    <w:p>
      <w:pPr>
        <w:ind w:left="760" w:right="40" w:hanging="581"/>
        <w:spacing w:after="0" w:line="250" w:lineRule="auto"/>
        <w:tabs>
          <w:tab w:leader="none" w:pos="76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Consists of the shares described in footnote (2) above. Dr. Gordon is a managing partner at OrbiMed Advisors and shares voting and investment control with respect to these shares. Dr. Gordon disclaims beneficial ownership of all shares held by OrbiMed IV-AL and OrbiMed IV-AL (Feeder), except to the extent of any pecuniary interest therein.</w:t>
      </w:r>
    </w:p>
    <w:p>
      <w:pPr>
        <w:spacing w:after="0" w:line="1" w:lineRule="exact"/>
        <w:rPr>
          <w:rFonts w:ascii="Arial" w:cs="Arial" w:eastAsia="Arial" w:hAnsi="Arial"/>
          <w:sz w:val="19"/>
          <w:szCs w:val="19"/>
          <w:color w:val="auto"/>
        </w:rPr>
      </w:pPr>
    </w:p>
    <w:p>
      <w:pPr>
        <w:ind w:left="760" w:right="100" w:hanging="581"/>
        <w:spacing w:after="0" w:line="264" w:lineRule="auto"/>
        <w:tabs>
          <w:tab w:leader="none" w:pos="7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Consists of (a) 10,552 shares held of record by Lavrite, LLC, for which Mr. Lavigne serves as managing director, and (b) 70,000 shares subject to an option held by Mr. Lavigne, none of which shares are vested and exercisable within 60 days of December 31, 2018.</w:t>
      </w:r>
    </w:p>
    <w:p>
      <w:pPr>
        <w:ind w:left="760" w:right="20" w:hanging="581"/>
        <w:spacing w:after="0" w:line="250" w:lineRule="auto"/>
        <w:tabs>
          <w:tab w:leader="none" w:pos="76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Mr. McGuire, who is one of our directors, is a managing member of PVM. Mr. McGuire has no voting or investment power over the shares held by the Funds described in Footnote 3 above. The address for Mr. McGuire is c/o PVM, One Marina Park Drive, 10th Floor, Boston, Massachusetts 02210.</w:t>
      </w:r>
    </w:p>
    <w:p>
      <w:pPr>
        <w:spacing w:after="0" w:line="1" w:lineRule="exact"/>
        <w:rPr>
          <w:rFonts w:ascii="Arial" w:cs="Arial" w:eastAsia="Arial" w:hAnsi="Arial"/>
          <w:sz w:val="19"/>
          <w:szCs w:val="19"/>
          <w:color w:val="auto"/>
        </w:rPr>
      </w:pPr>
    </w:p>
    <w:p>
      <w:pPr>
        <w:ind w:left="760" w:right="80" w:hanging="581"/>
        <w:spacing w:after="0" w:line="250" w:lineRule="auto"/>
        <w:tabs>
          <w:tab w:leader="none" w:pos="76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Consists of (a) 19,981 shares held of record by Dr. Scheller, of which 2,914 shares are subject to repurchase by us at the original purchase price as of December 31, 2018 and (b) 81,834 shares subject to options held by Dr. Scheller, of which 986 shares are vested and exercisable within 60 days of December 31, 2018.</w:t>
      </w:r>
    </w:p>
    <w:p>
      <w:pPr>
        <w:spacing w:after="0" w:line="1" w:lineRule="exact"/>
        <w:rPr>
          <w:rFonts w:ascii="Arial" w:cs="Arial" w:eastAsia="Arial" w:hAnsi="Arial"/>
          <w:sz w:val="19"/>
          <w:szCs w:val="19"/>
          <w:color w:val="auto"/>
        </w:rPr>
      </w:pPr>
    </w:p>
    <w:p>
      <w:pPr>
        <w:ind w:left="760" w:hanging="581"/>
        <w:spacing w:after="0" w:line="250" w:lineRule="auto"/>
        <w:tabs>
          <w:tab w:leader="none" w:pos="76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Consists of (a) 24,621 shares held of record by Mr. Wehner and (b) 70,000 shares subject to an option held by Mr. Wehner, none of which shares are vested and exercisable within 60 days of December 31, 2018.</w:t>
      </w:r>
    </w:p>
    <w:p>
      <w:pPr>
        <w:spacing w:after="0" w:line="1" w:lineRule="exact"/>
        <w:rPr>
          <w:rFonts w:ascii="Arial" w:cs="Arial" w:eastAsia="Arial" w:hAnsi="Arial"/>
          <w:sz w:val="19"/>
          <w:szCs w:val="19"/>
          <w:color w:val="auto"/>
        </w:rPr>
      </w:pPr>
    </w:p>
    <w:p>
      <w:pPr>
        <w:ind w:left="760" w:right="240" w:hanging="581"/>
        <w:spacing w:after="0" w:line="255" w:lineRule="auto"/>
        <w:tabs>
          <w:tab w:leader="none" w:pos="76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Consists of (a) 26,587,286 shares beneficially owned by our current executive officers and directors as of December 31, 2018, of which 1,234,345 shares may be repurchased by us at the original purchase price as of such date and (b) 175,984 shares subject to options vested and exercisable within 60 days of December 31, 2018.</w:t>
      </w:r>
    </w:p>
    <w:p>
      <w:pPr>
        <w:spacing w:after="0" w:line="132"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162</w:t>
      </w:r>
    </w:p>
    <w:p>
      <w:pPr>
        <w:sectPr>
          <w:pgSz w:w="12240" w:h="15840" w:orient="portrait"/>
          <w:cols w:equalWidth="0" w:num="1">
            <w:col w:w="11740"/>
          </w:cols>
          <w:pgMar w:left="120" w:top="336" w:right="380" w:bottom="1440" w:gutter="0" w:footer="0" w:header="0"/>
        </w:sectPr>
      </w:pPr>
    </w:p>
    <w:bookmarkStart w:id="170" w:name="page171"/>
    <w:bookmarkEnd w:id="17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DESCRIPTION OF CAPITAL STOCK</w:t>
      </w:r>
    </w:p>
    <w:p>
      <w:pPr>
        <w:spacing w:after="0" w:line="244" w:lineRule="exact"/>
        <w:rPr>
          <w:sz w:val="20"/>
          <w:szCs w:val="20"/>
          <w:color w:val="auto"/>
        </w:rPr>
      </w:pPr>
    </w:p>
    <w:p>
      <w:pPr>
        <w:ind w:left="180" w:right="180" w:firstLine="465"/>
        <w:spacing w:after="0" w:line="256" w:lineRule="auto"/>
        <w:rPr>
          <w:sz w:val="20"/>
          <w:szCs w:val="20"/>
          <w:color w:val="auto"/>
        </w:rPr>
      </w:pPr>
      <w:r>
        <w:rPr>
          <w:rFonts w:ascii="Arial" w:cs="Arial" w:eastAsia="Arial" w:hAnsi="Arial"/>
          <w:sz w:val="19"/>
          <w:szCs w:val="19"/>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completion of this offering. Copies of these documents will be filed with the SEC as exhibits to our registration statement, of which this prospectus forms a part. The descriptions of the common stock and preferred stock reflect changes to our capital structure that will occur upon the completion of this offering.</w:t>
      </w:r>
    </w:p>
    <w:p>
      <w:pPr>
        <w:spacing w:after="0" w:line="204" w:lineRule="exact"/>
        <w:rPr>
          <w:sz w:val="20"/>
          <w:szCs w:val="20"/>
          <w:color w:val="auto"/>
        </w:rPr>
      </w:pPr>
    </w:p>
    <w:p>
      <w:pPr>
        <w:ind w:left="180" w:right="40" w:firstLine="465"/>
        <w:spacing w:after="0" w:line="263" w:lineRule="auto"/>
        <w:rPr>
          <w:sz w:val="20"/>
          <w:szCs w:val="20"/>
          <w:color w:val="auto"/>
        </w:rPr>
      </w:pPr>
      <w:r>
        <w:rPr>
          <w:rFonts w:ascii="Arial" w:cs="Arial" w:eastAsia="Arial" w:hAnsi="Arial"/>
          <w:sz w:val="19"/>
          <w:szCs w:val="19"/>
          <w:color w:val="auto"/>
        </w:rPr>
        <w:t>Upon the completion of this offering and the filing of our amended and restated certificate of incorporation to be effective upon completion of this offering, our authorized capital stock will consist of 200,000,000 shares of common stock, par value $0.0001 per share, and 20,000,000 shares of convertible preferred stock, par value $0.0001 per share.</w:t>
      </w:r>
    </w:p>
    <w:p>
      <w:pPr>
        <w:spacing w:after="0" w:line="194" w:lineRule="exact"/>
        <w:rPr>
          <w:sz w:val="20"/>
          <w:szCs w:val="20"/>
          <w:color w:val="auto"/>
        </w:rPr>
      </w:pPr>
    </w:p>
    <w:p>
      <w:pPr>
        <w:ind w:left="180" w:right="440" w:firstLine="465"/>
        <w:spacing w:after="0" w:line="275" w:lineRule="auto"/>
        <w:rPr>
          <w:sz w:val="20"/>
          <w:szCs w:val="20"/>
          <w:color w:val="auto"/>
        </w:rPr>
      </w:pPr>
      <w:r>
        <w:rPr>
          <w:rFonts w:ascii="Arial" w:cs="Arial" w:eastAsia="Arial" w:hAnsi="Arial"/>
          <w:sz w:val="19"/>
          <w:szCs w:val="19"/>
          <w:color w:val="auto"/>
        </w:rPr>
        <w:t>Upon the closing of this offering, all the outstanding shares of our convertible preferred stock will automatically convert into an aggregate of 45,350,215 shares of our common stock.</w:t>
      </w:r>
    </w:p>
    <w:p>
      <w:pPr>
        <w:spacing w:after="0" w:line="184" w:lineRule="exact"/>
        <w:rPr>
          <w:sz w:val="20"/>
          <w:szCs w:val="20"/>
          <w:color w:val="auto"/>
        </w:rPr>
      </w:pPr>
    </w:p>
    <w:p>
      <w:pPr>
        <w:ind w:left="180" w:right="160" w:firstLine="465"/>
        <w:spacing w:after="0" w:line="256" w:lineRule="auto"/>
        <w:rPr>
          <w:sz w:val="20"/>
          <w:szCs w:val="20"/>
          <w:color w:val="auto"/>
        </w:rPr>
      </w:pPr>
      <w:r>
        <w:rPr>
          <w:rFonts w:ascii="Arial" w:cs="Arial" w:eastAsia="Arial" w:hAnsi="Arial"/>
          <w:sz w:val="19"/>
          <w:szCs w:val="19"/>
          <w:color w:val="auto"/>
        </w:rPr>
        <w:t>Based on 13,764,829 shares of common stock outstanding as of September 30, 2018, and after giving effect to the automatic conversion of all of our outstanding convertible preferred stock into an aggregate of 45,350,215 shares of common stock upon the completion of this offering and the issuance of 9,250,000 shares of common stock in this offering, there will be 68,365,044 shares of common stock outstanding upon the closing of this offering. As of September 30, 2018, we had 103 stockholders of record. As of September 30, 2018, there were 3,048,500 shares of common stock subject to outstanding options.</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Common Stock</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Voting Rights</w:t>
      </w:r>
    </w:p>
    <w:p>
      <w:pPr>
        <w:spacing w:after="0" w:line="124"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Our certificate of incorporation and bylaws to be in effect upon the completion of this offering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30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Dividends</w:t>
      </w:r>
    </w:p>
    <w:p>
      <w:pPr>
        <w:spacing w:after="0" w:line="124" w:lineRule="exact"/>
        <w:rPr>
          <w:sz w:val="20"/>
          <w:szCs w:val="20"/>
          <w:color w:val="auto"/>
        </w:rPr>
      </w:pPr>
    </w:p>
    <w:p>
      <w:pPr>
        <w:ind w:left="180" w:right="360" w:firstLine="465"/>
        <w:spacing w:after="0" w:line="275" w:lineRule="auto"/>
        <w:rPr>
          <w:sz w:val="20"/>
          <w:szCs w:val="20"/>
          <w:color w:val="auto"/>
        </w:rPr>
      </w:pPr>
      <w:r>
        <w:rPr>
          <w:rFonts w:ascii="Arial" w:cs="Arial" w:eastAsia="Arial" w:hAnsi="Arial"/>
          <w:sz w:val="19"/>
          <w:szCs w:val="19"/>
          <w:color w:val="auto"/>
        </w:rPr>
        <w:t>Subject to preferences that may be applicable to any then-outstanding convertible preferred stock, holders of our common stock are entitled to receive dividends, if any, as may be declared from time to time by our board of directors out of legally available funds.</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Liquidation</w:t>
      </w:r>
    </w:p>
    <w:p>
      <w:pPr>
        <w:spacing w:after="0" w:line="124" w:lineRule="exact"/>
        <w:rPr>
          <w:sz w:val="20"/>
          <w:szCs w:val="20"/>
          <w:color w:val="auto"/>
        </w:rPr>
      </w:pPr>
    </w:p>
    <w:p>
      <w:pPr>
        <w:ind w:left="180" w:right="240" w:firstLine="465"/>
        <w:spacing w:after="0" w:line="263" w:lineRule="auto"/>
        <w:rPr>
          <w:sz w:val="20"/>
          <w:szCs w:val="20"/>
          <w:color w:val="auto"/>
        </w:rPr>
      </w:pPr>
      <w:r>
        <w:rPr>
          <w:rFonts w:ascii="Arial" w:cs="Arial" w:eastAsia="Arial" w:hAnsi="Arial"/>
          <w:sz w:val="19"/>
          <w:szCs w:val="19"/>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163</w:t>
      </w:r>
    </w:p>
    <w:p>
      <w:pPr>
        <w:sectPr>
          <w:pgSz w:w="12240" w:h="15840" w:orient="portrait"/>
          <w:cols w:equalWidth="0" w:num="1">
            <w:col w:w="11800"/>
          </w:cols>
          <w:pgMar w:left="120" w:top="337" w:right="320" w:bottom="1440" w:gutter="0" w:footer="0" w:header="0"/>
        </w:sectPr>
      </w:pPr>
    </w:p>
    <w:bookmarkStart w:id="171" w:name="page172"/>
    <w:bookmarkEnd w:id="17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Rights and Preferences</w:t>
      </w:r>
    </w:p>
    <w:p>
      <w:pPr>
        <w:spacing w:after="0" w:line="124" w:lineRule="exact"/>
        <w:rPr>
          <w:sz w:val="20"/>
          <w:szCs w:val="20"/>
          <w:color w:val="auto"/>
        </w:rPr>
      </w:pPr>
    </w:p>
    <w:p>
      <w:pPr>
        <w:ind w:left="180" w:right="600" w:firstLine="465"/>
        <w:spacing w:after="0" w:line="308"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Fully Paid and Nonassessable</w:t>
      </w:r>
    </w:p>
    <w:p>
      <w:pPr>
        <w:spacing w:after="0" w:line="124" w:lineRule="exact"/>
        <w:rPr>
          <w:sz w:val="20"/>
          <w:szCs w:val="20"/>
          <w:color w:val="auto"/>
        </w:rPr>
      </w:pPr>
    </w:p>
    <w:p>
      <w:pPr>
        <w:ind w:left="180" w:right="300" w:firstLine="465"/>
        <w:spacing w:after="0" w:line="275" w:lineRule="auto"/>
        <w:rPr>
          <w:sz w:val="20"/>
          <w:szCs w:val="20"/>
          <w:color w:val="auto"/>
        </w:rPr>
      </w:pPr>
      <w:r>
        <w:rPr>
          <w:rFonts w:ascii="Arial" w:cs="Arial" w:eastAsia="Arial" w:hAnsi="Arial"/>
          <w:sz w:val="19"/>
          <w:szCs w:val="19"/>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Preferred Stock</w:t>
      </w:r>
    </w:p>
    <w:p>
      <w:pPr>
        <w:spacing w:after="0" w:line="130"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Upon the closing of this offering, our board of directors will have the authority, without further action by the stockholders, to issue up to 20,000,000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Upon closing of this offering, no shares of preferred stock will be outstanding, and we have no present plan to issue any shares of preferred stock.</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Common Stock Options</w:t>
      </w:r>
    </w:p>
    <w:p>
      <w:pPr>
        <w:spacing w:after="0" w:line="130" w:lineRule="exact"/>
        <w:rPr>
          <w:sz w:val="20"/>
          <w:szCs w:val="20"/>
          <w:color w:val="auto"/>
        </w:rPr>
      </w:pPr>
    </w:p>
    <w:p>
      <w:pPr>
        <w:jc w:val="both"/>
        <w:ind w:left="180" w:right="420" w:firstLine="465"/>
        <w:spacing w:after="0" w:line="284" w:lineRule="auto"/>
        <w:rPr>
          <w:sz w:val="20"/>
          <w:szCs w:val="20"/>
          <w:color w:val="auto"/>
        </w:rPr>
      </w:pPr>
      <w:r>
        <w:rPr>
          <w:rFonts w:ascii="Arial" w:cs="Arial" w:eastAsia="Arial" w:hAnsi="Arial"/>
          <w:sz w:val="18"/>
          <w:szCs w:val="18"/>
          <w:color w:val="auto"/>
        </w:rPr>
        <w:t>As of September 30, 2018, we had outstanding options to purchase an aggregate of 3,048,500 shares of our common stock, with a weighted-average exercise price of $8.14 per share, under our 2017 Plan. After September 30, 2018, we issued options to purchase an aggregate of 2,021,584 shares of our common stock, with a weighted-average exercise price of $10.14 per share, under our 2017 Plan.</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Registration Rights</w:t>
      </w:r>
    </w:p>
    <w:p>
      <w:pPr>
        <w:spacing w:after="0" w:line="130" w:lineRule="exact"/>
        <w:rPr>
          <w:sz w:val="20"/>
          <w:szCs w:val="20"/>
          <w:color w:val="auto"/>
        </w:rPr>
      </w:pPr>
    </w:p>
    <w:p>
      <w:pPr>
        <w:jc w:val="both"/>
        <w:ind w:left="180" w:right="200" w:firstLine="465"/>
        <w:spacing w:after="0" w:line="263" w:lineRule="auto"/>
        <w:rPr>
          <w:sz w:val="20"/>
          <w:szCs w:val="20"/>
          <w:color w:val="auto"/>
        </w:rPr>
      </w:pPr>
      <w:r>
        <w:rPr>
          <w:rFonts w:ascii="Arial" w:cs="Arial" w:eastAsia="Arial" w:hAnsi="Arial"/>
          <w:sz w:val="19"/>
          <w:szCs w:val="19"/>
          <w:color w:val="auto"/>
        </w:rPr>
        <w:t>After the completion of this offering, under our registration rights agreement, as amended, the holders of 59,809,220 shares of common stock or their transferees, have the right to require us to register the offer and sale of their shares, or to include their shares in any registration statement we file, in each case as described below.</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Demand Registration Rights</w:t>
      </w:r>
    </w:p>
    <w:p>
      <w:pPr>
        <w:spacing w:after="0" w:line="124" w:lineRule="exact"/>
        <w:rPr>
          <w:sz w:val="20"/>
          <w:szCs w:val="20"/>
          <w:color w:val="auto"/>
        </w:rPr>
      </w:pPr>
    </w:p>
    <w:p>
      <w:pPr>
        <w:ind w:left="180" w:right="80" w:firstLine="465"/>
        <w:spacing w:after="0" w:line="253" w:lineRule="auto"/>
        <w:rPr>
          <w:sz w:val="20"/>
          <w:szCs w:val="20"/>
          <w:color w:val="auto"/>
        </w:rPr>
      </w:pPr>
      <w:r>
        <w:rPr>
          <w:rFonts w:ascii="Arial" w:cs="Arial" w:eastAsia="Arial" w:hAnsi="Arial"/>
          <w:sz w:val="19"/>
          <w:szCs w:val="19"/>
          <w:color w:val="auto"/>
        </w:rPr>
        <w:t>After the completion of this offering, the holders of up to 59,809,220 shares of our common stock will be entitled to certain demand registration rights. At any time beginning 180 days after the effective date of this offering, the holders of at least 25% of the shares (or a lesser percent for which the anticipated aggregate offering price would be at least $15 million) having registration rights then outstanding can request that we file a registration statement to register the offer and sale of their shares. We are only obligated to effect up to two such registrations. Each such request for registration must cover securities the anticipated aggregate public offering price of which, before deducting underwriting discounts and commissions, is at least $15 million. These demand registration rights are subject to specified conditions and limitations, including the right of the underwriters to limit the number of shares included in any such registration under certain circumstances. If we determine that it would be seriously detrimental to us and our stockholders to effect such a demand registration, we have the right to defer such registration, not more than once in any twelve month period, for a period of up to 60 days.</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164</w:t>
      </w:r>
    </w:p>
    <w:p>
      <w:pPr>
        <w:sectPr>
          <w:pgSz w:w="12240" w:h="15840" w:orient="portrait"/>
          <w:cols w:equalWidth="0" w:num="1">
            <w:col w:w="11820"/>
          </w:cols>
          <w:pgMar w:left="120" w:top="336" w:right="300" w:bottom="1440" w:gutter="0" w:footer="0" w:header="0"/>
        </w:sectPr>
      </w:pPr>
    </w:p>
    <w:bookmarkStart w:id="172" w:name="page173"/>
    <w:bookmarkEnd w:id="17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Form S-3 Registration Rights</w:t>
      </w:r>
    </w:p>
    <w:p>
      <w:pPr>
        <w:spacing w:after="0" w:line="124" w:lineRule="exact"/>
        <w:rPr>
          <w:sz w:val="20"/>
          <w:szCs w:val="20"/>
          <w:color w:val="auto"/>
        </w:rPr>
      </w:pPr>
    </w:p>
    <w:p>
      <w:pPr>
        <w:ind w:left="180" w:right="60" w:firstLine="465"/>
        <w:spacing w:after="0" w:line="270" w:lineRule="auto"/>
        <w:rPr>
          <w:sz w:val="20"/>
          <w:szCs w:val="20"/>
          <w:color w:val="auto"/>
        </w:rPr>
      </w:pPr>
      <w:r>
        <w:rPr>
          <w:rFonts w:ascii="Arial" w:cs="Arial" w:eastAsia="Arial" w:hAnsi="Arial"/>
          <w:sz w:val="18"/>
          <w:szCs w:val="18"/>
          <w:color w:val="auto"/>
        </w:rPr>
        <w:t>After the completion of this offering, the holders of up to 59,809,220 shares of our common stock will be entitled to certain Form S-3 registration rights. At any time when we are eligible to file a registration statement on Form S-3, the holders of the shares having these rights then outstanding can request that we register the offer and sale of their shares of our common stock on a registration statement on Form S-3 so long as the request covers securities the anticipated aggregate public offering price of which is at least $3 million. These stockholders may make an unlimited number of requests for registration on a registration statement on Form S-3. However, we will not be required to effect a registration on Form S-3 if we have effected two such registrations within the twelve month period preceding the date of the request. Additionally, if we determine that it would be seriously detrimental to us and our stockholders to effect such a demand registration, we have the right to defer such registration, not more than once in any twelve month period, for a period of up to 60 days.</w:t>
      </w:r>
    </w:p>
    <w:p>
      <w:pPr>
        <w:spacing w:after="0" w:line="30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Piggyback Registration Rights</w:t>
      </w:r>
    </w:p>
    <w:p>
      <w:pPr>
        <w:spacing w:after="0" w:line="124" w:lineRule="exact"/>
        <w:rPr>
          <w:sz w:val="20"/>
          <w:szCs w:val="20"/>
          <w:color w:val="auto"/>
        </w:rPr>
      </w:pPr>
    </w:p>
    <w:p>
      <w:pPr>
        <w:ind w:left="180" w:right="20" w:firstLine="465"/>
        <w:spacing w:after="0" w:line="287" w:lineRule="auto"/>
        <w:rPr>
          <w:sz w:val="20"/>
          <w:szCs w:val="20"/>
          <w:color w:val="auto"/>
        </w:rPr>
      </w:pPr>
      <w:r>
        <w:rPr>
          <w:rFonts w:ascii="Arial" w:cs="Arial" w:eastAsia="Arial" w:hAnsi="Arial"/>
          <w:sz w:val="17"/>
          <w:szCs w:val="17"/>
          <w:color w:val="auto"/>
        </w:rPr>
        <w:t>After the completion of this offering, the holders of up to 59,809,220 shares of our common stock will be entitled to certain “piggyback” registration rights. If we propose to register the offer and sale of shares of our common stock under the Securities Act, all holders of these shares then outstanding can request that we include their shares in such registration, subject to certain marketing and other limitations, including the right of the underwriters to limit the number of shares included in any such registration statement under certain circumstances. As a result, whenever we propose to file a registration statement under the Securities Act, other than with respect to (1) a registration related to any employee benefit plan or a corporate reorganization or other transaction covered by Rule 145 promulgated under the Securities Act, (2) a registration in which the only stock being registered is common stock issuable upon conversion of debt securities also being registered, or (3) a registration on any form that does not include substantially the same information as would be required to be included in a registration statement covering the sale of our common stock, the holders of these shares are entitled to notice of the registration and have the right, subject to certain limitations, to include their shares in the registration.</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Expenses of Registration</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will pay all expenses relating to any demand registrations, Form S-3 registrations, and piggyback registrations, subject to specified exceptions.</w:t>
      </w:r>
    </w:p>
    <w:p>
      <w:pPr>
        <w:spacing w:after="0" w:line="37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Termination</w:t>
      </w:r>
    </w:p>
    <w:p>
      <w:pPr>
        <w:spacing w:after="0" w:line="124" w:lineRule="exact"/>
        <w:rPr>
          <w:sz w:val="20"/>
          <w:szCs w:val="20"/>
          <w:color w:val="auto"/>
        </w:rPr>
      </w:pPr>
    </w:p>
    <w:p>
      <w:pPr>
        <w:ind w:left="180" w:right="280" w:firstLine="465"/>
        <w:spacing w:after="0" w:line="304" w:lineRule="auto"/>
        <w:rPr>
          <w:sz w:val="20"/>
          <w:szCs w:val="20"/>
          <w:color w:val="auto"/>
        </w:rPr>
      </w:pPr>
      <w:r>
        <w:rPr>
          <w:rFonts w:ascii="Arial" w:cs="Arial" w:eastAsia="Arial" w:hAnsi="Arial"/>
          <w:sz w:val="18"/>
          <w:szCs w:val="18"/>
          <w:color w:val="auto"/>
        </w:rPr>
        <w:t>The registration rights terminate upon the earliest of (1) the date that is five years after the closing of this offering and (2) a deemed liquidation event (as defined in our amended and restated certificate of incorporation, in effect prior to the completion of this offering).</w:t>
      </w:r>
    </w:p>
    <w:p>
      <w:pPr>
        <w:spacing w:after="0" w:line="268" w:lineRule="exact"/>
        <w:rPr>
          <w:sz w:val="20"/>
          <w:szCs w:val="20"/>
          <w:color w:val="auto"/>
        </w:rPr>
      </w:pPr>
    </w:p>
    <w:p>
      <w:pPr>
        <w:ind w:left="180" w:right="40"/>
        <w:spacing w:after="0" w:line="282" w:lineRule="auto"/>
        <w:rPr>
          <w:sz w:val="20"/>
          <w:szCs w:val="20"/>
          <w:color w:val="auto"/>
        </w:rPr>
      </w:pPr>
      <w:r>
        <w:rPr>
          <w:rFonts w:ascii="Arial" w:cs="Arial" w:eastAsia="Arial" w:hAnsi="Arial"/>
          <w:sz w:val="19"/>
          <w:szCs w:val="19"/>
          <w:b w:val="1"/>
          <w:bCs w:val="1"/>
          <w:color w:val="auto"/>
        </w:rPr>
        <w:t>Anti-Takeover Effects of Certain Provisions of Delaware Law, Our Amended and Restated Certificate of Incorporation and Our Amended and Restated Bylaws</w:t>
      </w:r>
    </w:p>
    <w:p>
      <w:pPr>
        <w:spacing w:after="0" w:line="63" w:lineRule="exact"/>
        <w:rPr>
          <w:sz w:val="20"/>
          <w:szCs w:val="20"/>
          <w:color w:val="auto"/>
        </w:rPr>
      </w:pPr>
    </w:p>
    <w:p>
      <w:pPr>
        <w:jc w:val="both"/>
        <w:ind w:left="180" w:right="500" w:firstLine="465"/>
        <w:spacing w:after="0" w:line="259" w:lineRule="auto"/>
        <w:rPr>
          <w:sz w:val="20"/>
          <w:szCs w:val="20"/>
          <w:color w:val="auto"/>
        </w:rPr>
      </w:pPr>
      <w:r>
        <w:rPr>
          <w:rFonts w:ascii="Arial" w:cs="Arial" w:eastAsia="Arial" w:hAnsi="Arial"/>
          <w:sz w:val="19"/>
          <w:szCs w:val="19"/>
          <w:color w:val="auto"/>
        </w:rPr>
        <w:t>Certain provisions of Delaware law and certain provisions that will be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Preferred Stock</w:t>
      </w:r>
    </w:p>
    <w:p>
      <w:pPr>
        <w:spacing w:after="0" w:line="124" w:lineRule="exact"/>
        <w:rPr>
          <w:sz w:val="20"/>
          <w:szCs w:val="20"/>
          <w:color w:val="auto"/>
        </w:rPr>
      </w:pPr>
    </w:p>
    <w:p>
      <w:pPr>
        <w:ind w:left="180" w:right="140" w:firstLine="465"/>
        <w:spacing w:after="0" w:line="275" w:lineRule="auto"/>
        <w:rPr>
          <w:sz w:val="20"/>
          <w:szCs w:val="20"/>
          <w:color w:val="auto"/>
        </w:rPr>
      </w:pPr>
      <w:r>
        <w:rPr>
          <w:rFonts w:ascii="Arial" w:cs="Arial" w:eastAsia="Arial" w:hAnsi="Arial"/>
          <w:sz w:val="19"/>
          <w:szCs w:val="19"/>
          <w:color w:val="auto"/>
        </w:rPr>
        <w:t>Our amended and restated certificate of incorporation will contain provisions that permit our board of directors to issue, without any further vote or action by the stockholders, shares of preferred stock in one or more</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165</w:t>
      </w:r>
    </w:p>
    <w:p>
      <w:pPr>
        <w:sectPr>
          <w:pgSz w:w="12240" w:h="15840" w:orient="portrait"/>
          <w:cols w:equalWidth="0" w:num="1">
            <w:col w:w="11780"/>
          </w:cols>
          <w:pgMar w:left="120" w:top="337" w:right="340" w:bottom="1440" w:gutter="0" w:footer="0" w:header="0"/>
        </w:sectPr>
      </w:pPr>
    </w:p>
    <w:bookmarkStart w:id="173" w:name="page174"/>
    <w:bookmarkEnd w:id="17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20"/>
        <w:spacing w:after="0" w:line="263" w:lineRule="auto"/>
        <w:rPr>
          <w:sz w:val="20"/>
          <w:szCs w:val="20"/>
          <w:color w:val="auto"/>
        </w:rPr>
      </w:pPr>
      <w:r>
        <w:rPr>
          <w:rFonts w:ascii="Arial" w:cs="Arial" w:eastAsia="Arial" w:hAnsi="Arial"/>
          <w:sz w:val="19"/>
          <w:szCs w:val="19"/>
          <w:color w:val="auto"/>
        </w:rPr>
        <w:t>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Classified Board</w:t>
      </w:r>
    </w:p>
    <w:p>
      <w:pPr>
        <w:spacing w:after="0" w:line="124" w:lineRule="exact"/>
        <w:rPr>
          <w:sz w:val="20"/>
          <w:szCs w:val="20"/>
          <w:color w:val="auto"/>
        </w:rPr>
      </w:pPr>
    </w:p>
    <w:p>
      <w:pPr>
        <w:ind w:left="180" w:right="180" w:firstLine="465"/>
        <w:spacing w:after="0" w:line="255" w:lineRule="auto"/>
        <w:rPr>
          <w:sz w:val="20"/>
          <w:szCs w:val="20"/>
          <w:color w:val="auto"/>
        </w:rPr>
      </w:pPr>
      <w:r>
        <w:rPr>
          <w:rFonts w:ascii="Arial" w:cs="Arial" w:eastAsia="Arial" w:hAnsi="Arial"/>
          <w:sz w:val="19"/>
          <w:szCs w:val="19"/>
          <w:color w:val="auto"/>
        </w:rPr>
        <w:t>Our amended and restated certificate of incorporation will provide that our board of directors is divided into three classes, designated Class I, Class II and Class III. Each class will be an equal number of directors, as nearly as possible, consisting of one-third of the total number of directors constituting the entire board of directors. The term of initial Class I directors shall terminate on the date of the 2019 annual meeting, the term of the initial Class II directors shall terminate on the date of the 2020 annual meeting, and the term of the initial Class III directors shall terminate on the date of the 2021 annual meeting. At each annual meeting of stockholders beginning in 2019, successors to the class of directors whose term expires at that annual meeting will be elected for a three-year term.</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Removal of Directors</w:t>
      </w:r>
    </w:p>
    <w:p>
      <w:pPr>
        <w:spacing w:after="0" w:line="124" w:lineRule="exact"/>
        <w:rPr>
          <w:sz w:val="20"/>
          <w:szCs w:val="20"/>
          <w:color w:val="auto"/>
        </w:rPr>
      </w:pPr>
    </w:p>
    <w:p>
      <w:pPr>
        <w:ind w:left="180" w:firstLine="465"/>
        <w:spacing w:after="0" w:line="275" w:lineRule="auto"/>
        <w:rPr>
          <w:sz w:val="20"/>
          <w:szCs w:val="20"/>
          <w:color w:val="auto"/>
        </w:rPr>
      </w:pPr>
      <w:r>
        <w:rPr>
          <w:rFonts w:ascii="Arial" w:cs="Arial" w:eastAsia="Arial" w:hAnsi="Arial"/>
          <w:sz w:val="19"/>
          <w:szCs w:val="19"/>
          <w:color w:val="auto"/>
        </w:rPr>
        <w:t>Our amended and restated certificate of incorporation will provide that stockholders may only remove a director for cause by a vote of no less than a majority of the shares present in person or by proxy at the meeting and entitled to vote.</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Director Vacancies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Our amended and restated certificate of incorporation will authorize only our board of directors to fill vacant directorships.</w:t>
      </w:r>
    </w:p>
    <w:p>
      <w:pPr>
        <w:spacing w:after="0" w:line="35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No Cumulative Voting</w:t>
      </w:r>
    </w:p>
    <w:p>
      <w:pPr>
        <w:spacing w:after="0" w:line="124" w:lineRule="exact"/>
        <w:rPr>
          <w:sz w:val="20"/>
          <w:szCs w:val="20"/>
          <w:color w:val="auto"/>
        </w:rPr>
      </w:pPr>
    </w:p>
    <w:p>
      <w:pPr>
        <w:ind w:left="180" w:right="460" w:firstLine="465"/>
        <w:spacing w:after="0" w:line="275" w:lineRule="auto"/>
        <w:rPr>
          <w:sz w:val="20"/>
          <w:szCs w:val="20"/>
          <w:color w:val="auto"/>
        </w:rPr>
      </w:pPr>
      <w:r>
        <w:rPr>
          <w:rFonts w:ascii="Arial" w:cs="Arial" w:eastAsia="Arial" w:hAnsi="Arial"/>
          <w:sz w:val="19"/>
          <w:szCs w:val="19"/>
          <w:color w:val="auto"/>
        </w:rPr>
        <w:t>Our amended and restated certificate of incorporation will provide that stockholders do not have the right to cumulate votes in the election of directors.</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Special Meetings of Stockholders</w:t>
      </w:r>
    </w:p>
    <w:p>
      <w:pPr>
        <w:spacing w:after="0" w:line="124" w:lineRule="exact"/>
        <w:rPr>
          <w:sz w:val="20"/>
          <w:szCs w:val="20"/>
          <w:color w:val="auto"/>
        </w:rPr>
      </w:pPr>
    </w:p>
    <w:p>
      <w:pPr>
        <w:ind w:left="180" w:right="180" w:firstLine="465"/>
        <w:spacing w:after="0" w:line="263" w:lineRule="auto"/>
        <w:rPr>
          <w:sz w:val="20"/>
          <w:szCs w:val="20"/>
          <w:color w:val="auto"/>
        </w:rPr>
      </w:pPr>
      <w:r>
        <w:rPr>
          <w:rFonts w:ascii="Arial" w:cs="Arial" w:eastAsia="Arial" w:hAnsi="Arial"/>
          <w:sz w:val="19"/>
          <w:szCs w:val="19"/>
          <w:color w:val="auto"/>
        </w:rPr>
        <w:t>Our amended and restated certificate of incorporation and amended and restated bylaws will provide that, except as otherwise required by law, special meetings of the stockholders may be called only by the Chairperson of our board of directors, the Chief Executive Officer, the President, or our board of directors acting pursuant to a resolution adopted by a majority of the board of directors.</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Advance Notice Procedures for Director Nominations</w:t>
      </w:r>
    </w:p>
    <w:p>
      <w:pPr>
        <w:spacing w:after="0" w:line="124" w:lineRule="exact"/>
        <w:rPr>
          <w:sz w:val="20"/>
          <w:szCs w:val="20"/>
          <w:color w:val="auto"/>
        </w:rPr>
      </w:pPr>
    </w:p>
    <w:p>
      <w:pPr>
        <w:ind w:left="180" w:right="100" w:firstLine="465"/>
        <w:spacing w:after="0" w:line="289" w:lineRule="auto"/>
        <w:rPr>
          <w:sz w:val="20"/>
          <w:szCs w:val="20"/>
          <w:color w:val="auto"/>
        </w:rPr>
      </w:pPr>
      <w:r>
        <w:rPr>
          <w:rFonts w:ascii="Arial" w:cs="Arial" w:eastAsia="Arial" w:hAnsi="Arial"/>
          <w:sz w:val="17"/>
          <w:szCs w:val="17"/>
          <w:color w:val="auto"/>
        </w:rPr>
        <w:t>Our bylaws will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166</w:t>
      </w:r>
    </w:p>
    <w:p>
      <w:pPr>
        <w:sectPr>
          <w:pgSz w:w="12240" w:h="15840" w:orient="portrait"/>
          <w:cols w:equalWidth="0" w:num="1">
            <w:col w:w="11820"/>
          </w:cols>
          <w:pgMar w:left="120" w:top="336" w:right="300" w:bottom="1440" w:gutter="0" w:footer="0" w:header="0"/>
        </w:sectPr>
      </w:pPr>
    </w:p>
    <w:bookmarkStart w:id="174" w:name="page175"/>
    <w:bookmarkEnd w:id="17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Action by Written Consent</w:t>
      </w:r>
    </w:p>
    <w:p>
      <w:pPr>
        <w:spacing w:after="0" w:line="124" w:lineRule="exact"/>
        <w:rPr>
          <w:sz w:val="20"/>
          <w:szCs w:val="20"/>
          <w:color w:val="auto"/>
        </w:rPr>
      </w:pPr>
    </w:p>
    <w:p>
      <w:pPr>
        <w:ind w:left="180" w:right="900" w:firstLine="465"/>
        <w:spacing w:after="0" w:line="336" w:lineRule="auto"/>
        <w:rPr>
          <w:sz w:val="20"/>
          <w:szCs w:val="20"/>
          <w:color w:val="auto"/>
        </w:rPr>
      </w:pPr>
      <w:r>
        <w:rPr>
          <w:rFonts w:ascii="Arial" w:cs="Arial" w:eastAsia="Arial" w:hAnsi="Arial"/>
          <w:sz w:val="17"/>
          <w:szCs w:val="17"/>
          <w:color w:val="auto"/>
        </w:rPr>
        <w:t>Our amended and restated certificate of incorporation and amended and restated bylaws will provide that any action to be taken by the stockholders must be effected at a duly called annual or special meeting of stockholders and may not be effected by written consent.</w:t>
      </w:r>
    </w:p>
    <w:p>
      <w:pPr>
        <w:spacing w:after="0" w:line="251"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Amending our Certificate of Incorporation and Bylaws</w:t>
      </w:r>
    </w:p>
    <w:p>
      <w:pPr>
        <w:spacing w:after="0" w:line="124"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Our amended and restated certificate of incorporation may be amended or altered in any manner provided by the DGCL. Our amended and restated bylaws may be adopted, amended, altered, or repealed by stockholders only upon approval of at least majority of the voting power of all the then outstanding shares of the common stock, except for any amendment of certain provisions set forth in the bylaws, which would require the approval of a two-thirds majority of our then outstanding common stock. Additionally, our amended and restated certificate of incorporation will provide that our bylaws may be amended, altered, or repealed by the board of directors.</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Authorized but Unissued Shares</w:t>
      </w:r>
    </w:p>
    <w:p>
      <w:pPr>
        <w:spacing w:after="0" w:line="124" w:lineRule="exact"/>
        <w:rPr>
          <w:sz w:val="20"/>
          <w:szCs w:val="20"/>
          <w:color w:val="auto"/>
        </w:rPr>
      </w:pPr>
    </w:p>
    <w:p>
      <w:pPr>
        <w:ind w:left="180" w:right="40" w:firstLine="465"/>
        <w:spacing w:after="0" w:line="298" w:lineRule="auto"/>
        <w:rPr>
          <w:sz w:val="20"/>
          <w:szCs w:val="20"/>
          <w:color w:val="auto"/>
        </w:rPr>
      </w:pPr>
      <w:r>
        <w:rPr>
          <w:rFonts w:ascii="Arial" w:cs="Arial" w:eastAsia="Arial" w:hAnsi="Arial"/>
          <w:sz w:val="17"/>
          <w:szCs w:val="17"/>
          <w:color w:val="auto"/>
        </w:rPr>
        <w:t>Our authorized but unissued shares of common stock and preferred stock will be available for future issuances without stockholder approval, except as required by the listing standards of NASDAQ,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28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Exclusive Jurisdiction</w:t>
      </w:r>
    </w:p>
    <w:p>
      <w:pPr>
        <w:spacing w:after="0" w:line="124" w:lineRule="exact"/>
        <w:rPr>
          <w:sz w:val="20"/>
          <w:szCs w:val="20"/>
          <w:color w:val="auto"/>
        </w:rPr>
      </w:pPr>
    </w:p>
    <w:p>
      <w:pPr>
        <w:ind w:left="180" w:right="20" w:firstLine="465"/>
        <w:spacing w:after="0" w:line="283" w:lineRule="auto"/>
        <w:rPr>
          <w:sz w:val="20"/>
          <w:szCs w:val="20"/>
          <w:color w:val="auto"/>
        </w:rPr>
      </w:pPr>
      <w:r>
        <w:rPr>
          <w:rFonts w:ascii="Arial" w:cs="Arial" w:eastAsia="Arial" w:hAnsi="Arial"/>
          <w:sz w:val="17"/>
          <w:szCs w:val="17"/>
          <w:color w:val="auto"/>
        </w:rPr>
        <w:t>Our amended and restated bylaws will provide that, unless we consent to the selection of an alternative forum, the Court of Chancery of the State of Delaware, or if the Court of Chancery does not have jurisdiction, the federal district court for the District of Delaware, is the exclusive forum for (i) any derivative action or proceeding brought on behalf of us, (ii) any action asserting a claim of breach of a fiduciary duty owed by any director, officer, or other employee to the us or our stockholders, (iii) any action arising pursuant to any provision of the DGCL or our certificate of incorporation or bylaws (as either may be amended from time to time), or (iv) any action asserting a claim governed by the internal affairs doctrine, except, in each case,</w:t>
      </w:r>
    </w:p>
    <w:p>
      <w:pPr>
        <w:spacing w:after="0" w:line="2" w:lineRule="exact"/>
        <w:rPr>
          <w:sz w:val="20"/>
          <w:szCs w:val="20"/>
          <w:color w:val="auto"/>
        </w:rPr>
      </w:pPr>
    </w:p>
    <w:p>
      <w:pPr>
        <w:ind w:left="180" w:hanging="1"/>
        <w:spacing w:after="0" w:line="252" w:lineRule="auto"/>
        <w:tabs>
          <w:tab w:leader="none" w:pos="491" w:val="left"/>
        </w:tabs>
        <w:numPr>
          <w:ilvl w:val="0"/>
          <w:numId w:val="109"/>
        </w:numPr>
        <w:rPr>
          <w:rFonts w:ascii="Arial" w:cs="Arial" w:eastAsia="Arial" w:hAnsi="Arial"/>
          <w:sz w:val="19"/>
          <w:szCs w:val="19"/>
          <w:color w:val="auto"/>
        </w:rPr>
      </w:pPr>
      <w:r>
        <w:rPr>
          <w:rFonts w:ascii="Arial" w:cs="Arial" w:eastAsia="Arial" w:hAnsi="Arial"/>
          <w:sz w:val="19"/>
          <w:szCs w:val="19"/>
          <w:color w:val="auto"/>
        </w:rPr>
        <w:t>any claim as to which such court determines that there is an indispensable party not subject to the jurisdiction of such court (and the indispensable party does not consent to the personal jurisdiction of such court within 10 days following such determination), (B) which is vested in the exclusive jurisdiction of a court or forum other than such court, or (C) for which such court does not have subject matter jurisdiction. Although our amended and restated bylaws will contain the exclusive of forum provisions described above, it is possible that a court could find that such provision is inapplicable for a particular claim or action or that such provision is unenforceable, and our stockholders will not be deemed to have waived our compliance with the federal securities laws and the rules and regulations thereunder.</w:t>
      </w:r>
    </w:p>
    <w:p>
      <w:pPr>
        <w:spacing w:after="0" w:line="32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Business Combinations with Interested Stockholders</w:t>
      </w:r>
    </w:p>
    <w:p>
      <w:pPr>
        <w:spacing w:after="0" w:line="124" w:lineRule="exact"/>
        <w:rPr>
          <w:sz w:val="20"/>
          <w:szCs w:val="20"/>
          <w:color w:val="auto"/>
        </w:rPr>
      </w:pPr>
    </w:p>
    <w:p>
      <w:pPr>
        <w:ind w:left="180" w:right="180" w:firstLine="465"/>
        <w:spacing w:after="0" w:line="275" w:lineRule="auto"/>
        <w:rPr>
          <w:sz w:val="20"/>
          <w:szCs w:val="20"/>
          <w:color w:val="auto"/>
        </w:rPr>
      </w:pPr>
      <w:r>
        <w:rPr>
          <w:rFonts w:ascii="Arial" w:cs="Arial" w:eastAsia="Arial" w:hAnsi="Arial"/>
          <w:sz w:val="19"/>
          <w:szCs w:val="19"/>
          <w:color w:val="auto"/>
        </w:rPr>
        <w:t>We are governed by Section 203 of the DGCL. Subject to certain exceptions, Section 203 of the DGCL prohibits a public Delaware corporation from engaging in a business combination (as defined in such section)</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167</w:t>
      </w:r>
    </w:p>
    <w:p>
      <w:pPr>
        <w:sectPr>
          <w:pgSz w:w="12240" w:h="15840" w:orient="portrait"/>
          <w:cols w:equalWidth="0" w:num="1">
            <w:col w:w="11760"/>
          </w:cols>
          <w:pgMar w:left="120" w:top="336" w:right="360" w:bottom="1440" w:gutter="0" w:footer="0" w:header="0"/>
        </w:sectPr>
      </w:pPr>
    </w:p>
    <w:bookmarkStart w:id="175" w:name="page176"/>
    <w:bookmarkEnd w:id="17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40"/>
        <w:spacing w:after="0" w:line="268" w:lineRule="auto"/>
        <w:rPr>
          <w:sz w:val="20"/>
          <w:szCs w:val="20"/>
          <w:color w:val="auto"/>
        </w:rPr>
      </w:pPr>
      <w:r>
        <w:rPr>
          <w:rFonts w:ascii="Arial" w:cs="Arial" w:eastAsia="Arial" w:hAnsi="Arial"/>
          <w:sz w:val="18"/>
          <w:szCs w:val="18"/>
          <w:color w:val="auto"/>
        </w:rPr>
        <w:t>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96" w:lineRule="exact"/>
        <w:rPr>
          <w:sz w:val="20"/>
          <w:szCs w:val="20"/>
          <w:color w:val="auto"/>
        </w:rPr>
      </w:pPr>
    </w:p>
    <w:p>
      <w:pPr>
        <w:jc w:val="both"/>
        <w:ind w:left="180" w:firstLine="465"/>
        <w:spacing w:after="0" w:line="259" w:lineRule="auto"/>
        <w:rPr>
          <w:sz w:val="20"/>
          <w:szCs w:val="20"/>
          <w:color w:val="auto"/>
        </w:rPr>
      </w:pPr>
      <w:r>
        <w:rPr>
          <w:rFonts w:ascii="Arial" w:cs="Arial" w:eastAsia="Arial" w:hAnsi="Arial"/>
          <w:sz w:val="19"/>
          <w:szCs w:val="19"/>
          <w:color w:val="auto"/>
        </w:rPr>
        <w:t>Our amended and restated certificate of incorporation and our amended and restated bylaws will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98" w:lineRule="exact"/>
        <w:rPr>
          <w:sz w:val="20"/>
          <w:szCs w:val="20"/>
          <w:color w:val="auto"/>
        </w:rPr>
      </w:pPr>
    </w:p>
    <w:p>
      <w:pPr>
        <w:ind w:left="180" w:right="100" w:firstLine="465"/>
        <w:spacing w:after="0" w:line="256" w:lineRule="auto"/>
        <w:rPr>
          <w:sz w:val="20"/>
          <w:szCs w:val="20"/>
          <w:color w:val="auto"/>
        </w:rPr>
      </w:pPr>
      <w:r>
        <w:rPr>
          <w:rFonts w:ascii="Arial" w:cs="Arial" w:eastAsia="Arial" w:hAnsi="Arial"/>
          <w:sz w:val="19"/>
          <w:szCs w:val="19"/>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Listing</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We have applied to list our common stock on the NASDAQ Global Select Market under the symbol “ALEC.”</w:t>
      </w:r>
    </w:p>
    <w:p>
      <w:pPr>
        <w:spacing w:after="0" w:line="35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Transfer Agent and Registrar</w:t>
      </w:r>
    </w:p>
    <w:p>
      <w:pPr>
        <w:spacing w:after="0" w:line="124" w:lineRule="exact"/>
        <w:rPr>
          <w:sz w:val="20"/>
          <w:szCs w:val="20"/>
          <w:color w:val="auto"/>
        </w:rPr>
      </w:pPr>
    </w:p>
    <w:p>
      <w:pPr>
        <w:ind w:left="180" w:right="420" w:firstLine="465"/>
        <w:spacing w:after="0" w:line="275" w:lineRule="auto"/>
        <w:rPr>
          <w:sz w:val="20"/>
          <w:szCs w:val="20"/>
          <w:color w:val="auto"/>
        </w:rPr>
      </w:pPr>
      <w:r>
        <w:rPr>
          <w:rFonts w:ascii="Arial" w:cs="Arial" w:eastAsia="Arial" w:hAnsi="Arial"/>
          <w:sz w:val="19"/>
          <w:szCs w:val="19"/>
          <w:color w:val="auto"/>
        </w:rPr>
        <w:t>The transfer agent and registrar for our common stock is American Stock Transfer &amp; Trust Company, LLC. The transfer agent and registrar’s address is 6201 15th Avenue, Brooklyn, New York 11219.</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168</w:t>
      </w:r>
    </w:p>
    <w:p>
      <w:pPr>
        <w:sectPr>
          <w:pgSz w:w="12240" w:h="15840" w:orient="portrait"/>
          <w:cols w:equalWidth="0" w:num="1">
            <w:col w:w="11800"/>
          </w:cols>
          <w:pgMar w:left="120" w:top="337" w:right="320" w:bottom="1440" w:gutter="0" w:footer="0" w:header="0"/>
        </w:sectPr>
      </w:pPr>
    </w:p>
    <w:bookmarkStart w:id="176" w:name="page177"/>
    <w:bookmarkEnd w:id="17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SHARES ELIGIBLE FOR FUTURE SALE</w:t>
      </w:r>
    </w:p>
    <w:p>
      <w:pPr>
        <w:spacing w:after="0" w:line="244" w:lineRule="exact"/>
        <w:rPr>
          <w:sz w:val="20"/>
          <w:szCs w:val="20"/>
          <w:color w:val="auto"/>
        </w:rPr>
      </w:pPr>
    </w:p>
    <w:p>
      <w:pPr>
        <w:ind w:left="180" w:right="60" w:firstLine="465"/>
        <w:spacing w:after="0" w:line="291" w:lineRule="auto"/>
        <w:rPr>
          <w:sz w:val="20"/>
          <w:szCs w:val="20"/>
          <w:color w:val="auto"/>
        </w:rPr>
      </w:pPr>
      <w:r>
        <w:rPr>
          <w:rFonts w:ascii="Arial" w:cs="Arial" w:eastAsia="Arial" w:hAnsi="Arial"/>
          <w:sz w:val="17"/>
          <w:szCs w:val="17"/>
          <w:color w:val="auto"/>
        </w:rPr>
        <w:t>Prior to this offering, there has been no public market for our common stock, and although we expect that our common stock will be approved for listing on NASDAQ, we cannot assure investors that there will be an active public market for our common stock following this offering. We cannot predict what effect, if any, sales of our shares in the public market or the availability of shares for sale will have on the market price of our common stock. Future sales of substantial amounts of common stock in the public market, including shares issued upon exercise of outstanding options, or the perception that such sales may occur, however, could adversely affect the market price of our common stock and also could adversely affect our future ability to raise capital through the sale of our common stock or other equity-related securities of ours at times and prices we believe appropriate.</w:t>
      </w:r>
    </w:p>
    <w:p>
      <w:pPr>
        <w:spacing w:after="0" w:line="175" w:lineRule="exact"/>
        <w:rPr>
          <w:sz w:val="20"/>
          <w:szCs w:val="20"/>
          <w:color w:val="auto"/>
        </w:rPr>
      </w:pPr>
    </w:p>
    <w:p>
      <w:pPr>
        <w:ind w:left="180" w:right="20" w:firstLine="465"/>
        <w:spacing w:after="0" w:line="284" w:lineRule="auto"/>
        <w:rPr>
          <w:sz w:val="20"/>
          <w:szCs w:val="20"/>
          <w:color w:val="auto"/>
        </w:rPr>
      </w:pPr>
      <w:r>
        <w:rPr>
          <w:rFonts w:ascii="Arial" w:cs="Arial" w:eastAsia="Arial" w:hAnsi="Arial"/>
          <w:sz w:val="17"/>
          <w:szCs w:val="17"/>
          <w:color w:val="auto"/>
        </w:rPr>
        <w:t>Upon completion of this offering, based on our shares outstanding as of September 30, 2018 and after giving effect to the automatic conversion of all outstanding shares of our convertible preferred stock, 68,365,044 shares of our common stock will be outstanding, or 69,752,544 shares of common stock if the underwriters exercise their option to purchase additional shares in full. All of the shares of common stock expected to be sold in this offering will be freely tradable without restriction or further registration under the Securities Act unless held by our “affiliates,” as that term is defined in</w:t>
      </w:r>
    </w:p>
    <w:p>
      <w:pPr>
        <w:spacing w:after="0" w:line="1" w:lineRule="exact"/>
        <w:rPr>
          <w:sz w:val="20"/>
          <w:szCs w:val="20"/>
          <w:color w:val="auto"/>
        </w:rPr>
      </w:pPr>
    </w:p>
    <w:p>
      <w:pPr>
        <w:jc w:val="both"/>
        <w:ind w:left="180" w:right="20"/>
        <w:spacing w:after="0" w:line="254" w:lineRule="auto"/>
        <w:rPr>
          <w:sz w:val="20"/>
          <w:szCs w:val="20"/>
          <w:color w:val="auto"/>
        </w:rPr>
      </w:pPr>
      <w:r>
        <w:rPr>
          <w:rFonts w:ascii="Arial" w:cs="Arial" w:eastAsia="Arial" w:hAnsi="Arial"/>
          <w:sz w:val="19"/>
          <w:szCs w:val="19"/>
          <w:color w:val="auto"/>
        </w:rPr>
        <w:t>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203" w:lineRule="exact"/>
        <w:rPr>
          <w:sz w:val="20"/>
          <w:szCs w:val="20"/>
          <w:color w:val="auto"/>
        </w:rPr>
      </w:pPr>
    </w:p>
    <w:p>
      <w:pPr>
        <w:jc w:val="both"/>
        <w:ind w:left="180" w:right="120" w:firstLine="465"/>
        <w:spacing w:after="0" w:line="263" w:lineRule="auto"/>
        <w:rPr>
          <w:sz w:val="20"/>
          <w:szCs w:val="20"/>
          <w:color w:val="auto"/>
        </w:rPr>
      </w:pPr>
      <w:r>
        <w:rPr>
          <w:rFonts w:ascii="Arial" w:cs="Arial" w:eastAsia="Arial" w:hAnsi="Arial"/>
          <w:sz w:val="19"/>
          <w:szCs w:val="19"/>
          <w:color w:val="auto"/>
        </w:rPr>
        <w:t>As a result of the lock-up agreements and market stand-off provisions described below and the provisions of Rules 144 or 701 and no exercise of the underwriters’ option to purchase additional shares, the shares of our common stock that will be deemed “restricted securities” will be available for sale in the public market following the completion of this offering as follows:</w:t>
      </w:r>
    </w:p>
    <w:p>
      <w:pPr>
        <w:spacing w:after="0" w:line="95" w:lineRule="exact"/>
        <w:rPr>
          <w:sz w:val="20"/>
          <w:szCs w:val="20"/>
          <w:color w:val="auto"/>
        </w:rPr>
      </w:pPr>
    </w:p>
    <w:p>
      <w:pPr>
        <w:ind w:left="1100" w:hanging="350"/>
        <w:spacing w:after="0"/>
        <w:tabs>
          <w:tab w:leader="none" w:pos="110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9,250,000 shares will be eligible for sale on the date of this prospectus; and</w:t>
      </w:r>
    </w:p>
    <w:p>
      <w:pPr>
        <w:spacing w:after="0" w:line="138" w:lineRule="exact"/>
        <w:rPr>
          <w:rFonts w:ascii="Arial" w:cs="Arial" w:eastAsia="Arial" w:hAnsi="Arial"/>
          <w:sz w:val="19"/>
          <w:szCs w:val="19"/>
          <w:color w:val="auto"/>
        </w:rPr>
      </w:pPr>
    </w:p>
    <w:p>
      <w:pPr>
        <w:ind w:left="1100" w:right="480" w:hanging="350"/>
        <w:spacing w:after="0" w:line="275" w:lineRule="auto"/>
        <w:tabs>
          <w:tab w:leader="none" w:pos="110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59,115,044 shares will be eligible for sale upon expiration of the lock-up agreements and market stand-off provisions described below, beginning more than 180 days after the date of this prospectus.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Lock-Up Agreements and Market Stand-off Agreements</w:t>
      </w:r>
    </w:p>
    <w:p>
      <w:pPr>
        <w:spacing w:after="0" w:line="130" w:lineRule="exact"/>
        <w:rPr>
          <w:sz w:val="20"/>
          <w:szCs w:val="20"/>
          <w:color w:val="auto"/>
        </w:rPr>
      </w:pPr>
    </w:p>
    <w:p>
      <w:pPr>
        <w:ind w:left="180" w:right="120" w:firstLine="465"/>
        <w:spacing w:after="0" w:line="294" w:lineRule="auto"/>
        <w:rPr>
          <w:sz w:val="20"/>
          <w:szCs w:val="20"/>
          <w:color w:val="auto"/>
        </w:rPr>
      </w:pPr>
      <w:r>
        <w:rPr>
          <w:rFonts w:ascii="Arial" w:cs="Arial" w:eastAsia="Arial" w:hAnsi="Arial"/>
          <w:sz w:val="17"/>
          <w:szCs w:val="17"/>
          <w:color w:val="auto"/>
        </w:rPr>
        <w:t>Our officers, directors, and the holders of substantially all of our capital stock, options, and warrants have entered into market stand-off agreements with us and have entered into or will enter into lock-up agreements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consent of Morgan Stanley &amp; Co. LLC, Merrill Lynch, Pierce, Fenner &amp; Smith Incorporated, and Cowen and Company, LLC. See the section titled “Underwriting” for additional information.</w:t>
      </w:r>
    </w:p>
    <w:p>
      <w:pPr>
        <w:spacing w:after="0" w:line="280"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Rule 144</w:t>
      </w:r>
    </w:p>
    <w:p>
      <w:pPr>
        <w:spacing w:after="0" w:line="130"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color w:val="auto"/>
        </w:rPr>
        <w:t>Rule 144, as currently in effect, generally provides that, once we have been subject to the public company reporting requirements of Section 13 or Section 15(d) of the Exchange Act for at least 90 days, a stockholder who is not deemed to have been one of our affiliates at any time during the preceding 90 days and who has beneficially owned the shares of our capital stock proposed to be sold for at least six months is entitled to sell such shares in reliance upon Rule 144 without complying with the volume limitation, manner of sale or notice conditions of Rule 144. If such stockholder has beneficially owned the shares of our capital stock proposed to be sold for at least one year, then such person is entitled to sell such shares in reliance upon Rule 144 without complying with any of the conditions of Rule 144.</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169</w:t>
      </w:r>
    </w:p>
    <w:p>
      <w:pPr>
        <w:sectPr>
          <w:pgSz w:w="12240" w:h="15840" w:orient="portrait"/>
          <w:cols w:equalWidth="0" w:num="1">
            <w:col w:w="11800"/>
          </w:cols>
          <w:pgMar w:left="120" w:top="336" w:right="320" w:bottom="1440" w:gutter="0" w:footer="0" w:header="0"/>
        </w:sectPr>
      </w:pPr>
    </w:p>
    <w:bookmarkStart w:id="177" w:name="page178"/>
    <w:bookmarkEnd w:id="17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right="120" w:firstLine="465"/>
        <w:spacing w:after="0" w:line="308" w:lineRule="auto"/>
        <w:rPr>
          <w:sz w:val="20"/>
          <w:szCs w:val="20"/>
          <w:color w:val="auto"/>
        </w:rPr>
      </w:pPr>
      <w:r>
        <w:rPr>
          <w:rFonts w:ascii="Arial" w:cs="Arial" w:eastAsia="Arial" w:hAnsi="Arial"/>
          <w:sz w:val="17"/>
          <w:szCs w:val="17"/>
          <w:color w:val="auto"/>
        </w:rPr>
        <w:t>Rule 144 also provides that a stockholder who is deemed to have been one of our affiliates at any time during the preceding 90 days and who has beneficially owned the shares of our common stock proposed to be sold for at least six months is entitled to sell such shares in reliance upon Rule 144 within any three month period beginning 90 days after the date of this prospectus a number of shares that does not exceed the greater of the following:</w:t>
      </w:r>
    </w:p>
    <w:p>
      <w:pPr>
        <w:spacing w:after="0" w:line="60" w:lineRule="exact"/>
        <w:rPr>
          <w:sz w:val="20"/>
          <w:szCs w:val="20"/>
          <w:color w:val="auto"/>
        </w:rPr>
      </w:pPr>
    </w:p>
    <w:p>
      <w:pPr>
        <w:ind w:left="1100" w:right="120" w:hanging="350"/>
        <w:spacing w:after="0" w:line="275" w:lineRule="auto"/>
        <w:tabs>
          <w:tab w:leader="none" w:pos="110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1% of the number of shares of our capital stock then outstanding, which will equal 683,650 shares immediately after the completion of this offering, assuming no exercise by the underwriters of their option to purchase additional shares; or</w:t>
      </w:r>
    </w:p>
    <w:p>
      <w:pPr>
        <w:spacing w:after="0" w:line="84" w:lineRule="exact"/>
        <w:rPr>
          <w:rFonts w:ascii="Arial" w:cs="Arial" w:eastAsia="Arial" w:hAnsi="Arial"/>
          <w:sz w:val="19"/>
          <w:szCs w:val="19"/>
          <w:color w:val="auto"/>
        </w:rPr>
      </w:pPr>
    </w:p>
    <w:p>
      <w:pPr>
        <w:ind w:left="1100" w:right="140" w:hanging="350"/>
        <w:spacing w:after="0" w:line="275" w:lineRule="auto"/>
        <w:tabs>
          <w:tab w:leader="none" w:pos="110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average weekly trading volume of our common stock during the four calendar weeks preceding the filing of a notice on Form 144 with respect to such sale.</w:t>
      </w:r>
    </w:p>
    <w:p>
      <w:pPr>
        <w:spacing w:after="0" w:line="184" w:lineRule="exact"/>
        <w:rPr>
          <w:sz w:val="20"/>
          <w:szCs w:val="20"/>
          <w:color w:val="auto"/>
        </w:rPr>
      </w:pPr>
    </w:p>
    <w:p>
      <w:pPr>
        <w:ind w:left="180" w:firstLine="465"/>
        <w:spacing w:after="0" w:line="275" w:lineRule="auto"/>
        <w:rPr>
          <w:sz w:val="20"/>
          <w:szCs w:val="20"/>
          <w:color w:val="auto"/>
        </w:rPr>
      </w:pPr>
      <w:r>
        <w:rPr>
          <w:rFonts w:ascii="Arial" w:cs="Arial" w:eastAsia="Arial" w:hAnsi="Arial"/>
          <w:sz w:val="19"/>
          <w:szCs w:val="19"/>
          <w:color w:val="auto"/>
        </w:rPr>
        <w:t>Sales of our capital stock made in reliance upon Rule 144 by a stockholder who is deemed to have been one of our affiliates at any time during the preceding 90 days are also subject to the current public information, manner of sale and notice conditions of Rule 144.</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Rule 701</w:t>
      </w:r>
    </w:p>
    <w:p>
      <w:pPr>
        <w:spacing w:after="0" w:line="130"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color w:val="auto"/>
        </w:rPr>
        <w:t>Rule 701 generally provides that, once we have been subject to the public company reporting requirements of Section 13 or Section 15(d) of the Exchange Act for at least 90 days, a stockholder who purchased shares of our common stock pursuant to a written compensatory benefit plan or contract and who is not deemed to have been one of our affiliates at any time during the preceding 90 days may sell such shares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 However, all stockholders who purchased shares of our common stock pursuant to a written compensatory benefit plan or contract are required to wait until 90 days after the date of this prospectus before selling such shares pursuant to Rule 701.</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Registration Rights</w:t>
      </w:r>
    </w:p>
    <w:p>
      <w:pPr>
        <w:spacing w:after="0" w:line="130" w:lineRule="exact"/>
        <w:rPr>
          <w:sz w:val="20"/>
          <w:szCs w:val="20"/>
          <w:color w:val="auto"/>
        </w:rPr>
      </w:pPr>
    </w:p>
    <w:p>
      <w:pPr>
        <w:ind w:left="180" w:right="100" w:firstLine="465"/>
        <w:spacing w:after="0" w:line="256" w:lineRule="auto"/>
        <w:rPr>
          <w:sz w:val="20"/>
          <w:szCs w:val="20"/>
          <w:color w:val="auto"/>
        </w:rPr>
      </w:pPr>
      <w:r>
        <w:rPr>
          <w:rFonts w:ascii="Arial" w:cs="Arial" w:eastAsia="Arial" w:hAnsi="Arial"/>
          <w:sz w:val="19"/>
          <w:szCs w:val="19"/>
          <w:color w:val="auto"/>
        </w:rPr>
        <w:t>After the completion of this offering, the holders of up to 59,809,220 shares of our common stock will be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 Securities Act immediately upon the effectiveness of such registration, subject to the Rule 144 limitations applicable to affiliates. See the section titled “Description of Capital Stock—Registration Rights” for a description of these registration rights.</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Registration Statement</w:t>
      </w:r>
    </w:p>
    <w:p>
      <w:pPr>
        <w:spacing w:after="0" w:line="130" w:lineRule="exact"/>
        <w:rPr>
          <w:sz w:val="20"/>
          <w:szCs w:val="20"/>
          <w:color w:val="auto"/>
        </w:rPr>
      </w:pPr>
    </w:p>
    <w:p>
      <w:pPr>
        <w:ind w:left="180" w:right="20" w:firstLine="465"/>
        <w:spacing w:after="0" w:line="255" w:lineRule="auto"/>
        <w:rPr>
          <w:sz w:val="20"/>
          <w:szCs w:val="20"/>
          <w:color w:val="auto"/>
        </w:rPr>
      </w:pPr>
      <w:r>
        <w:rPr>
          <w:rFonts w:ascii="Arial" w:cs="Arial" w:eastAsia="Arial" w:hAnsi="Arial"/>
          <w:sz w:val="19"/>
          <w:szCs w:val="19"/>
          <w:color w:val="auto"/>
        </w:rPr>
        <w:t>After the completion of this offering, we intend to file a registration statement on Form S-8 under the Securities Act to register all of the shares of our common stock subject to equity awards outstanding or reserved for issuance under our equity compensation plans. The shares of our common stock covered by such registration statement will be eligible for sale in the public market without restriction under the Securities Act immediately upon the effectiveness of such registration statement, subject to vesting restrictions, the conditions of Rule 144 applicable to affiliates, and any applicable market stand-off agreements and lock-up agreements. See the section titled “Executive Compensation—Employee Benefit and Stock Plans” for a description of our equity compensation plans.</w:t>
      </w:r>
    </w:p>
    <w:p>
      <w:pPr>
        <w:spacing w:after="0" w:line="13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170</w:t>
      </w:r>
    </w:p>
    <w:p>
      <w:pPr>
        <w:sectPr>
          <w:pgSz w:w="12240" w:h="15840" w:orient="portrait"/>
          <w:cols w:equalWidth="0" w:num="1">
            <w:col w:w="11780"/>
          </w:cols>
          <w:pgMar w:left="120" w:top="337" w:right="340" w:bottom="1440" w:gutter="0" w:footer="0" w:header="0"/>
        </w:sectPr>
      </w:pPr>
    </w:p>
    <w:bookmarkStart w:id="178" w:name="page179"/>
    <w:bookmarkEnd w:id="17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MATERIAL U.S. FEDERAL INCOME AND ESTATE TAX CONSIDERATIONS FOR NON-U.S. HOLDERS OF OUR COMMON STOCK</w:t>
      </w:r>
    </w:p>
    <w:p>
      <w:pPr>
        <w:spacing w:after="0" w:line="244" w:lineRule="exact"/>
        <w:rPr>
          <w:sz w:val="20"/>
          <w:szCs w:val="20"/>
          <w:color w:val="auto"/>
        </w:rPr>
      </w:pPr>
    </w:p>
    <w:p>
      <w:pPr>
        <w:ind w:left="180" w:right="20" w:firstLine="465"/>
        <w:spacing w:after="0" w:line="254" w:lineRule="auto"/>
        <w:rPr>
          <w:sz w:val="20"/>
          <w:szCs w:val="20"/>
          <w:color w:val="auto"/>
        </w:rPr>
      </w:pPr>
      <w:r>
        <w:rPr>
          <w:rFonts w:ascii="Arial" w:cs="Arial" w:eastAsia="Arial" w:hAnsi="Arial"/>
          <w:sz w:val="19"/>
          <w:szCs w:val="19"/>
          <w:color w:val="auto"/>
        </w:rPr>
        <w:t>The following is a summary of the material U.S. federal income tax consequences of the ownership and disposition of our common stock acquired in this offering by a “non-U.S. holder” (as defined below), but does not purport to be a complete analysis of all the potential tax considerations relating thereto. This summary is based upon the provisions of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(IRS), with respect to the statements made and the conclusions reached in the following summary, and there can be no assurance that the IRS or a court will agree with such statements and conclusions.</w:t>
      </w:r>
    </w:p>
    <w:p>
      <w:pPr>
        <w:spacing w:after="0" w:line="207" w:lineRule="exact"/>
        <w:rPr>
          <w:sz w:val="20"/>
          <w:szCs w:val="20"/>
          <w:color w:val="auto"/>
        </w:rPr>
      </w:pPr>
    </w:p>
    <w:p>
      <w:pPr>
        <w:ind w:left="180" w:right="40" w:firstLine="465"/>
        <w:spacing w:after="0" w:line="284" w:lineRule="auto"/>
        <w:rPr>
          <w:sz w:val="20"/>
          <w:szCs w:val="20"/>
          <w:color w:val="auto"/>
        </w:rPr>
      </w:pPr>
      <w:r>
        <w:rPr>
          <w:rFonts w:ascii="Arial" w:cs="Arial" w:eastAsia="Arial" w:hAnsi="Arial"/>
          <w:sz w:val="18"/>
          <w:szCs w:val="18"/>
          <w:color w:val="auto"/>
        </w:rPr>
        <w:t>This summary also does not address the tax considerations arising under the laws of any non-U.S., state, or local jurisdiction or under U.S. federal gift and estate tax rules, except to the limited extent set forth below. In addition, this discussion does not address tax considerations applicable to an investor’s particular circumstances or to investors that may be subject to special tax rules, including, without limitation:</w:t>
      </w:r>
    </w:p>
    <w:p>
      <w:pPr>
        <w:spacing w:after="0" w:line="78" w:lineRule="exact"/>
        <w:rPr>
          <w:sz w:val="20"/>
          <w:szCs w:val="20"/>
          <w:color w:val="auto"/>
        </w:rPr>
      </w:pPr>
    </w:p>
    <w:p>
      <w:pPr>
        <w:ind w:left="1100" w:hanging="350"/>
        <w:spacing w:after="0"/>
        <w:tabs>
          <w:tab w:leader="none" w:pos="110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banks, insurance companies, regulated investment companies, real estate investment trusts, or other financial institutions;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persons subject to the alternative minimum tax or the tax on net investment income;</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tax-exempt organizations;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pension plans and tax-qualified retirement plans;</w:t>
      </w:r>
    </w:p>
    <w:p>
      <w:pPr>
        <w:spacing w:after="0" w:line="138" w:lineRule="exact"/>
        <w:rPr>
          <w:rFonts w:ascii="Arial" w:cs="Arial" w:eastAsia="Arial" w:hAnsi="Arial"/>
          <w:sz w:val="19"/>
          <w:szCs w:val="19"/>
          <w:color w:val="auto"/>
        </w:rPr>
      </w:pPr>
    </w:p>
    <w:p>
      <w:pPr>
        <w:ind w:left="1100" w:right="460" w:hanging="350"/>
        <w:spacing w:after="0" w:line="275" w:lineRule="auto"/>
        <w:tabs>
          <w:tab w:leader="none" w:pos="110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controlled foreign corporations, passive foreign investment companies and corporations that accumulate earnings to avoid U.S. federal income tax;</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brokers or dealers in securities or currencies;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traders in securities that elect to use a mark-to-market method of accounting for their securities holdings;</w:t>
      </w:r>
    </w:p>
    <w:p>
      <w:pPr>
        <w:spacing w:after="0" w:line="138" w:lineRule="exact"/>
        <w:rPr>
          <w:rFonts w:ascii="Arial" w:cs="Arial" w:eastAsia="Arial" w:hAnsi="Arial"/>
          <w:sz w:val="19"/>
          <w:szCs w:val="19"/>
          <w:color w:val="auto"/>
        </w:rPr>
      </w:pPr>
    </w:p>
    <w:p>
      <w:pPr>
        <w:ind w:left="1100" w:hanging="350"/>
        <w:spacing w:after="0"/>
        <w:tabs>
          <w:tab w:leader="none" w:pos="11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capital stock (except to the extent specifically set forth below);</w:t>
      </w:r>
    </w:p>
    <w:p>
      <w:pPr>
        <w:spacing w:after="0" w:line="149" w:lineRule="exact"/>
        <w:rPr>
          <w:rFonts w:ascii="Arial" w:cs="Arial" w:eastAsia="Arial" w:hAnsi="Arial"/>
          <w:sz w:val="18"/>
          <w:szCs w:val="18"/>
          <w:color w:val="auto"/>
        </w:rPr>
      </w:pPr>
    </w:p>
    <w:p>
      <w:pPr>
        <w:ind w:left="1100" w:hanging="350"/>
        <w:spacing w:after="0"/>
        <w:tabs>
          <w:tab w:leader="none" w:pos="110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certain former citizens or long-term residents of the United States;</w:t>
      </w:r>
    </w:p>
    <w:p>
      <w:pPr>
        <w:spacing w:after="0" w:line="138" w:lineRule="exact"/>
        <w:rPr>
          <w:rFonts w:ascii="Arial" w:cs="Arial" w:eastAsia="Arial" w:hAnsi="Arial"/>
          <w:sz w:val="19"/>
          <w:szCs w:val="19"/>
          <w:color w:val="auto"/>
        </w:rPr>
      </w:pPr>
    </w:p>
    <w:p>
      <w:pPr>
        <w:ind w:left="1100" w:right="400" w:hanging="350"/>
        <w:spacing w:after="0" w:line="275" w:lineRule="auto"/>
        <w:tabs>
          <w:tab w:leader="none" w:pos="110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persons who hold our common stock as a position in a hedging transaction, “straddle,” “conversion transaction,” or other risk reduction transaction;</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persons who hold or receive our common stock pursuant to the exercise of any option or otherwise as compensation;</w:t>
      </w:r>
    </w:p>
    <w:p>
      <w:pPr>
        <w:spacing w:after="0" w:line="138" w:lineRule="exact"/>
        <w:rPr>
          <w:rFonts w:ascii="Arial" w:cs="Arial" w:eastAsia="Arial" w:hAnsi="Arial"/>
          <w:sz w:val="19"/>
          <w:szCs w:val="19"/>
          <w:color w:val="auto"/>
        </w:rPr>
      </w:pPr>
    </w:p>
    <w:p>
      <w:pPr>
        <w:ind w:left="1100" w:right="180" w:hanging="350"/>
        <w:spacing w:after="0" w:line="275" w:lineRule="auto"/>
        <w:tabs>
          <w:tab w:leader="none" w:pos="110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persons who do not hold our common stock as a capital asset within the meaning of Section 1221 of the Code (generally, property held for investment); or</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persons deemed to sell our common stock under the constructive sale provisions of the Code.</w:t>
      </w:r>
    </w:p>
    <w:p>
      <w:pPr>
        <w:spacing w:after="0" w:line="238" w:lineRule="exact"/>
        <w:rPr>
          <w:sz w:val="20"/>
          <w:szCs w:val="20"/>
          <w:color w:val="auto"/>
        </w:rPr>
      </w:pPr>
    </w:p>
    <w:p>
      <w:pPr>
        <w:ind w:left="180" w:firstLine="465"/>
        <w:spacing w:after="0" w:line="277" w:lineRule="auto"/>
        <w:rPr>
          <w:sz w:val="20"/>
          <w:szCs w:val="20"/>
          <w:color w:val="auto"/>
        </w:rPr>
      </w:pPr>
      <w:r>
        <w:rPr>
          <w:rFonts w:ascii="Arial" w:cs="Arial" w:eastAsia="Arial" w:hAnsi="Arial"/>
          <w:sz w:val="18"/>
          <w:szCs w:val="18"/>
          <w:color w:val="auto"/>
        </w:rPr>
        <w:t>In addition, if a partnership, entity or arrangement classified as a partnership or flow-through entity for U.S. federal income tax purposes holds our common stock, the tax treatment of a partner generally will depend on the status of the partner and upon the activities of the partnership or other entity. A partner in a partnership or other such entity that will hold our common stock should consult his, her, or its own tax advisor regarding the tax consequences of the ownership and disposition of our common stock through a partnership or other such entity, as applicable.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171</w:t>
      </w:r>
    </w:p>
    <w:p>
      <w:pPr>
        <w:sectPr>
          <w:pgSz w:w="12240" w:h="15840" w:orient="portrait"/>
          <w:cols w:equalWidth="0" w:num="1">
            <w:col w:w="11800"/>
          </w:cols>
          <w:pgMar w:left="120" w:top="336" w:right="320" w:bottom="1440" w:gutter="0" w:footer="0" w:header="0"/>
        </w:sectPr>
      </w:pPr>
    </w:p>
    <w:bookmarkStart w:id="179" w:name="page180"/>
    <w:bookmarkEnd w:id="17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right="20" w:firstLine="465"/>
        <w:spacing w:after="0" w:line="312" w:lineRule="auto"/>
        <w:rPr>
          <w:sz w:val="20"/>
          <w:szCs w:val="20"/>
          <w:color w:val="auto"/>
        </w:rPr>
      </w:pPr>
      <w:r>
        <w:rPr>
          <w:rFonts w:ascii="Arial" w:cs="Arial" w:eastAsia="Arial" w:hAnsi="Arial"/>
          <w:sz w:val="17"/>
          <w:szCs w:val="17"/>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Non-U.S. Holder Defined</w:t>
      </w:r>
    </w:p>
    <w:p>
      <w:pPr>
        <w:spacing w:after="0" w:line="130" w:lineRule="exact"/>
        <w:rPr>
          <w:sz w:val="20"/>
          <w:szCs w:val="20"/>
          <w:color w:val="auto"/>
        </w:rPr>
      </w:pPr>
    </w:p>
    <w:p>
      <w:pPr>
        <w:ind w:left="180" w:right="180" w:firstLine="465"/>
        <w:spacing w:after="0" w:line="275" w:lineRule="auto"/>
        <w:rPr>
          <w:sz w:val="20"/>
          <w:szCs w:val="20"/>
          <w:color w:val="auto"/>
        </w:rPr>
      </w:pPr>
      <w:r>
        <w:rPr>
          <w:rFonts w:ascii="Arial" w:cs="Arial" w:eastAsia="Arial" w:hAnsi="Arial"/>
          <w:sz w:val="19"/>
          <w:szCs w:val="19"/>
          <w:color w:val="auto"/>
        </w:rPr>
        <w:t>For purposes of this discussion, you are a “non-U.S. holder” if you are a beneficial owner of our common stock that, for U.S. federal income tax purposes, is not a partnership or:</w:t>
      </w:r>
    </w:p>
    <w:p>
      <w:pPr>
        <w:spacing w:after="0" w:line="84" w:lineRule="exact"/>
        <w:rPr>
          <w:sz w:val="20"/>
          <w:szCs w:val="20"/>
          <w:color w:val="auto"/>
        </w:rPr>
      </w:pPr>
    </w:p>
    <w:p>
      <w:pPr>
        <w:ind w:left="1100" w:hanging="350"/>
        <w:spacing w:after="0"/>
        <w:tabs>
          <w:tab w:leader="none" w:pos="110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an individual who is a citizen or resident of the United States;</w:t>
      </w:r>
    </w:p>
    <w:p>
      <w:pPr>
        <w:spacing w:after="0" w:line="138" w:lineRule="exact"/>
        <w:rPr>
          <w:rFonts w:ascii="Arial" w:cs="Arial" w:eastAsia="Arial" w:hAnsi="Arial"/>
          <w:sz w:val="19"/>
          <w:szCs w:val="19"/>
          <w:color w:val="auto"/>
        </w:rPr>
      </w:pPr>
    </w:p>
    <w:p>
      <w:pPr>
        <w:ind w:left="1100" w:right="140" w:hanging="350"/>
        <w:spacing w:after="0" w:line="275" w:lineRule="auto"/>
        <w:tabs>
          <w:tab w:leader="none" w:pos="110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84" w:lineRule="exact"/>
        <w:rPr>
          <w:rFonts w:ascii="Arial" w:cs="Arial" w:eastAsia="Arial" w:hAnsi="Arial"/>
          <w:sz w:val="19"/>
          <w:szCs w:val="19"/>
          <w:color w:val="auto"/>
        </w:rPr>
      </w:pPr>
    </w:p>
    <w:p>
      <w:pPr>
        <w:ind w:left="1100" w:hanging="350"/>
        <w:spacing w:after="0"/>
        <w:tabs>
          <w:tab w:leader="none" w:pos="110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an estate whose income is subject to U.S. federal income tax regardless of its source; or</w:t>
      </w:r>
    </w:p>
    <w:p>
      <w:pPr>
        <w:spacing w:after="0" w:line="138" w:lineRule="exact"/>
        <w:rPr>
          <w:rFonts w:ascii="Arial" w:cs="Arial" w:eastAsia="Arial" w:hAnsi="Arial"/>
          <w:sz w:val="19"/>
          <w:szCs w:val="19"/>
          <w:color w:val="auto"/>
        </w:rPr>
      </w:pPr>
    </w:p>
    <w:p>
      <w:pPr>
        <w:jc w:val="both"/>
        <w:ind w:left="1100" w:right="320" w:hanging="350"/>
        <w:spacing w:after="0" w:line="263" w:lineRule="auto"/>
        <w:tabs>
          <w:tab w:leader="none" w:pos="110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Distributions</w:t>
      </w:r>
    </w:p>
    <w:p>
      <w:pPr>
        <w:spacing w:after="0" w:line="130" w:lineRule="exact"/>
        <w:rPr>
          <w:sz w:val="20"/>
          <w:szCs w:val="20"/>
          <w:color w:val="auto"/>
        </w:rPr>
      </w:pPr>
    </w:p>
    <w:p>
      <w:pPr>
        <w:ind w:left="180" w:right="140" w:firstLine="465"/>
        <w:spacing w:after="0" w:line="255" w:lineRule="auto"/>
        <w:rPr>
          <w:sz w:val="20"/>
          <w:szCs w:val="20"/>
          <w:color w:val="auto"/>
        </w:rPr>
      </w:pPr>
      <w:r>
        <w:rPr>
          <w:rFonts w:ascii="Arial" w:cs="Arial" w:eastAsia="Arial" w:hAnsi="Arial"/>
          <w:sz w:val="19"/>
          <w:szCs w:val="19"/>
          <w:color w:val="auto"/>
        </w:rPr>
        <w:t>As described in the section titled “Dividend Policy,” we have never declared or paid cash dividends on our common stock, and we do not anticipate paying any dividends on our common stock following the completion of this offering.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w:t>
      </w:r>
    </w:p>
    <w:p>
      <w:pPr>
        <w:spacing w:after="0" w:line="204" w:lineRule="exact"/>
        <w:rPr>
          <w:sz w:val="20"/>
          <w:szCs w:val="20"/>
          <w:color w:val="auto"/>
        </w:rPr>
      </w:pPr>
    </w:p>
    <w:p>
      <w:pPr>
        <w:ind w:left="180" w:right="20" w:firstLine="465"/>
        <w:spacing w:after="0" w:line="288" w:lineRule="auto"/>
        <w:rPr>
          <w:sz w:val="20"/>
          <w:szCs w:val="20"/>
          <w:color w:val="auto"/>
        </w:rPr>
      </w:pPr>
      <w:r>
        <w:rPr>
          <w:rFonts w:ascii="Arial" w:cs="Arial" w:eastAsia="Arial" w:hAnsi="Arial"/>
          <w:sz w:val="17"/>
          <w:szCs w:val="17"/>
          <w:color w:val="auto"/>
        </w:rPr>
        <w:t>Subject to the discussions below on effectively connected income and Foreign Account Tax Compliance Act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with an IRS Form W-8BEN or W-8BEN-E or other appropriate version of IRS Form W-8 certifying qualification for the reduced rate. A non-U.S. holder of shares of our common stock eligible for a reduced rate of U.S. federal withholding tax pursuant to an income tax treaty may obtain a refund of any excess amounts withheld by filing an appropriate claim for refund with the IRS. If the non-U.S. holder holds our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77" w:lineRule="exact"/>
        <w:rPr>
          <w:sz w:val="20"/>
          <w:szCs w:val="20"/>
          <w:color w:val="auto"/>
        </w:rPr>
      </w:pPr>
    </w:p>
    <w:p>
      <w:pPr>
        <w:ind w:left="180" w:firstLine="465"/>
        <w:spacing w:after="0" w:line="289" w:lineRule="auto"/>
        <w:rPr>
          <w:sz w:val="20"/>
          <w:szCs w:val="20"/>
          <w:color w:val="auto"/>
        </w:rPr>
      </w:pPr>
      <w:r>
        <w:rPr>
          <w:rFonts w:ascii="Arial" w:cs="Arial" w:eastAsia="Arial" w:hAnsi="Arial"/>
          <w:sz w:val="17"/>
          <w:szCs w:val="17"/>
          <w:color w:val="auto"/>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 below on backup withholding and FATCA withholding. In order to obtain this exemption, you must provide us with a properly executed IRS Form W-8ECI or other applicable IRS Form W-8 properly certifying such exemption. Such effectively connected dividends, although not subject to U.S. federal withholding tax, are taxed at the same graduated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172</w:t>
      </w:r>
    </w:p>
    <w:p>
      <w:pPr>
        <w:sectPr>
          <w:pgSz w:w="12240" w:h="15840" w:orient="portrait"/>
          <w:cols w:equalWidth="0" w:num="1">
            <w:col w:w="11800"/>
          </w:cols>
          <w:pgMar w:left="120" w:top="336" w:right="320" w:bottom="1440" w:gutter="0" w:footer="0" w:header="0"/>
        </w:sectPr>
      </w:pPr>
    </w:p>
    <w:bookmarkStart w:id="180" w:name="page181"/>
    <w:bookmarkEnd w:id="18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spacing w:after="0" w:line="263" w:lineRule="auto"/>
        <w:rPr>
          <w:sz w:val="20"/>
          <w:szCs w:val="20"/>
          <w:color w:val="auto"/>
        </w:rPr>
      </w:pPr>
      <w:r>
        <w:rPr>
          <w:rFonts w:ascii="Arial" w:cs="Arial" w:eastAsia="Arial" w:hAnsi="Arial"/>
          <w:sz w:val="19"/>
          <w:szCs w:val="19"/>
          <w:color w:val="auto"/>
        </w:rPr>
        <w:t>lower rate as may be specified by an applicable income tax treaty between the United States and your country of residence. You should consult your tax advisor regarding the tax consequences of the ownership and disposition of our common stock, including any applicable tax treaties that may provide for different rules.</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Gain on Disposition of Common Stock</w:t>
      </w:r>
    </w:p>
    <w:p>
      <w:pPr>
        <w:spacing w:after="0" w:line="130" w:lineRule="exact"/>
        <w:rPr>
          <w:sz w:val="20"/>
          <w:szCs w:val="20"/>
          <w:color w:val="auto"/>
        </w:rPr>
      </w:pPr>
    </w:p>
    <w:p>
      <w:pPr>
        <w:ind w:left="180" w:right="340" w:firstLine="465"/>
        <w:spacing w:after="0" w:line="275" w:lineRule="auto"/>
        <w:rPr>
          <w:sz w:val="20"/>
          <w:szCs w:val="20"/>
          <w:color w:val="auto"/>
        </w:rPr>
      </w:pPr>
      <w:r>
        <w:rPr>
          <w:rFonts w:ascii="Arial" w:cs="Arial" w:eastAsia="Arial" w:hAnsi="Arial"/>
          <w:sz w:val="19"/>
          <w:szCs w:val="19"/>
          <w:color w:val="auto"/>
        </w:rPr>
        <w:t>Subject to the discussion below regarding backup withholding and FATCA withholding, you generally will not be required to pay U.S. federal income tax on any gain realized upon the sale or other disposition of our common stock unless:</w:t>
      </w:r>
    </w:p>
    <w:p>
      <w:pPr>
        <w:spacing w:after="0" w:line="84" w:lineRule="exact"/>
        <w:rPr>
          <w:sz w:val="20"/>
          <w:szCs w:val="20"/>
          <w:color w:val="auto"/>
        </w:rPr>
      </w:pPr>
    </w:p>
    <w:p>
      <w:pPr>
        <w:ind w:left="1100" w:right="140" w:hanging="350"/>
        <w:spacing w:after="0" w:line="275" w:lineRule="auto"/>
        <w:tabs>
          <w:tab w:leader="none" w:pos="110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84" w:lineRule="exact"/>
        <w:rPr>
          <w:rFonts w:ascii="Arial" w:cs="Arial" w:eastAsia="Arial" w:hAnsi="Arial"/>
          <w:sz w:val="19"/>
          <w:szCs w:val="19"/>
          <w:color w:val="auto"/>
        </w:rPr>
      </w:pPr>
    </w:p>
    <w:p>
      <w:pPr>
        <w:ind w:left="1100" w:right="260" w:hanging="350"/>
        <w:spacing w:after="0" w:line="275" w:lineRule="auto"/>
        <w:tabs>
          <w:tab w:leader="none" w:pos="110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you are an individual who is present in the United States for a period or periods aggregating 183 days or more during the calendar year in which the sale or disposition occurs and certain other conditions are met; or</w:t>
      </w:r>
    </w:p>
    <w:p>
      <w:pPr>
        <w:spacing w:after="0" w:line="84" w:lineRule="exact"/>
        <w:rPr>
          <w:rFonts w:ascii="Arial" w:cs="Arial" w:eastAsia="Arial" w:hAnsi="Arial"/>
          <w:sz w:val="19"/>
          <w:szCs w:val="19"/>
          <w:color w:val="auto"/>
        </w:rPr>
      </w:pPr>
    </w:p>
    <w:p>
      <w:pPr>
        <w:ind w:left="1100" w:right="600" w:hanging="350"/>
        <w:spacing w:after="0" w:line="263" w:lineRule="auto"/>
        <w:tabs>
          <w:tab w:leader="none" w:pos="110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w:t>
      </w:r>
    </w:p>
    <w:p>
      <w:pPr>
        <w:spacing w:after="0" w:line="194"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relative to the fair market value of our U.S. and worldwide real property plus our other business assets, there can be no assurance that we will not become a USRPHC in the future. Even if we become a USRPHC, however, as long as our common stock is regularly traded on an established securities market, your common stock will be treated as U.S. real property interests only if you actually (directly or indirectly) or constructively hold more than five percent of such regularly traded common stock at any time during the shorter of the five-year period preceding your disposition of, or your holding period for, our common stock.</w:t>
      </w:r>
    </w:p>
    <w:p>
      <w:pPr>
        <w:spacing w:after="0" w:line="207" w:lineRule="exact"/>
        <w:rPr>
          <w:sz w:val="20"/>
          <w:szCs w:val="20"/>
          <w:color w:val="auto"/>
        </w:rPr>
      </w:pPr>
    </w:p>
    <w:p>
      <w:pPr>
        <w:ind w:left="180" w:right="40" w:firstLine="465"/>
        <w:spacing w:after="0" w:line="254" w:lineRule="auto"/>
        <w:rPr>
          <w:sz w:val="20"/>
          <w:szCs w:val="20"/>
          <w:color w:val="auto"/>
        </w:rPr>
      </w:pPr>
      <w:r>
        <w:rPr>
          <w:rFonts w:ascii="Arial" w:cs="Arial" w:eastAsia="Arial" w:hAnsi="Arial"/>
          <w:sz w:val="19"/>
          <w:szCs w:val="19"/>
          <w:color w:val="auto"/>
        </w:rPr>
        <w:t>If you are a non-U.S. holder described in the first bullet above, you will be required to pay tax on the gain derived from the sale (net of certain deductions and credits) under regular graduated U.S. federal income tax rates,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Federal Estate Tax</w:t>
      </w:r>
    </w:p>
    <w:p>
      <w:pPr>
        <w:spacing w:after="0" w:line="130" w:lineRule="exact"/>
        <w:rPr>
          <w:sz w:val="20"/>
          <w:szCs w:val="20"/>
          <w:color w:val="auto"/>
        </w:rPr>
      </w:pPr>
    </w:p>
    <w:p>
      <w:pPr>
        <w:jc w:val="both"/>
        <w:ind w:left="180" w:right="80" w:firstLine="465"/>
        <w:spacing w:after="0" w:line="263" w:lineRule="auto"/>
        <w:rPr>
          <w:sz w:val="20"/>
          <w:szCs w:val="20"/>
          <w:color w:val="auto"/>
        </w:rPr>
      </w:pPr>
      <w:r>
        <w:rPr>
          <w:rFonts w:ascii="Arial" w:cs="Arial" w:eastAsia="Arial" w:hAnsi="Arial"/>
          <w:sz w:val="19"/>
          <w:szCs w:val="19"/>
          <w:color w:val="auto"/>
        </w:rPr>
        <w:t>Our common stock beneficially owned by an individual who is not a citizen or resident of the United States (as defined for U.S. federal estate tax purposes) at the time of their death will generally be includable in the decedent’s gross estate for U.S. federal estate tax purposes. Such stock, therefore, may be subject to U.S. federal estate tax, unless an applicable estate tax treaty provides otherwise.</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Backup Withholding and Information Reporting</w:t>
      </w:r>
    </w:p>
    <w:p>
      <w:pPr>
        <w:spacing w:after="0" w:line="130" w:lineRule="exact"/>
        <w:rPr>
          <w:sz w:val="20"/>
          <w:szCs w:val="20"/>
          <w:color w:val="auto"/>
        </w:rPr>
      </w:pPr>
    </w:p>
    <w:p>
      <w:pPr>
        <w:ind w:left="180" w:right="40" w:firstLine="465"/>
        <w:spacing w:after="0" w:line="275" w:lineRule="auto"/>
        <w:rPr>
          <w:sz w:val="20"/>
          <w:szCs w:val="20"/>
          <w:color w:val="auto"/>
        </w:rPr>
      </w:pPr>
      <w:r>
        <w:rPr>
          <w:rFonts w:ascii="Arial" w:cs="Arial" w:eastAsia="Arial" w:hAnsi="Arial"/>
          <w:sz w:val="19"/>
          <w:szCs w:val="19"/>
          <w:color w:val="auto"/>
        </w:rPr>
        <w:t>Generally, we must report annually to the IRS the amount of dividends paid to you, your name and address and the amount of tax withheld, if any. A similar report will be sent to you. Pursuant to applicable income tax</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173</w:t>
      </w:r>
    </w:p>
    <w:p>
      <w:pPr>
        <w:sectPr>
          <w:pgSz w:w="12240" w:h="15840" w:orient="portrait"/>
          <w:cols w:equalWidth="0" w:num="1">
            <w:col w:w="11800"/>
          </w:cols>
          <w:pgMar w:left="120" w:top="336" w:right="320" w:bottom="1440" w:gutter="0" w:footer="0" w:header="0"/>
        </w:sectPr>
      </w:pPr>
    </w:p>
    <w:bookmarkStart w:id="181" w:name="page182"/>
    <w:bookmarkEnd w:id="18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treaties or other agreements, the IRS may make these reports available to tax authorities in your country of residence.</w:t>
      </w:r>
    </w:p>
    <w:p>
      <w:pPr>
        <w:spacing w:after="0" w:line="238" w:lineRule="exact"/>
        <w:rPr>
          <w:sz w:val="20"/>
          <w:szCs w:val="20"/>
          <w:color w:val="auto"/>
        </w:rPr>
      </w:pPr>
    </w:p>
    <w:p>
      <w:pPr>
        <w:ind w:left="180" w:firstLine="465"/>
        <w:spacing w:after="0" w:line="298" w:lineRule="auto"/>
        <w:rPr>
          <w:sz w:val="20"/>
          <w:szCs w:val="20"/>
          <w:color w:val="auto"/>
        </w:rPr>
      </w:pPr>
      <w:r>
        <w:rPr>
          <w:rFonts w:ascii="Arial" w:cs="Arial" w:eastAsia="Arial" w:hAnsi="Arial"/>
          <w:sz w:val="17"/>
          <w:szCs w:val="17"/>
          <w:color w:val="auto"/>
        </w:rPr>
        <w:t>Payments of dividends on or of proceeds from the disposition of our common stock made to you may be subject to information reporting and backup withholding at a current rate of 24% unless you establish an exemption, for example, by properly certifying your non-U.S. status on a properly completed IRS Form W-8BEN or W-8BEN-E or another appropriate version of IRS Form W-8. Notwithstanding the foregoing, backup withholding and information reporting may apply if either we or our paying agent has actual knowledge, or reason to know, that you are a U.S. person.</w:t>
      </w:r>
    </w:p>
    <w:p>
      <w:pPr>
        <w:spacing w:after="0" w:line="170" w:lineRule="exact"/>
        <w:rPr>
          <w:sz w:val="20"/>
          <w:szCs w:val="20"/>
          <w:color w:val="auto"/>
        </w:rPr>
      </w:pPr>
    </w:p>
    <w:p>
      <w:pPr>
        <w:ind w:left="180" w:right="40" w:firstLine="465"/>
        <w:spacing w:after="0" w:line="263" w:lineRule="auto"/>
        <w:rPr>
          <w:sz w:val="20"/>
          <w:szCs w:val="20"/>
          <w:color w:val="auto"/>
        </w:rPr>
      </w:pPr>
      <w:r>
        <w:rPr>
          <w:rFonts w:ascii="Arial" w:cs="Arial" w:eastAsia="Arial" w:hAnsi="Arial"/>
          <w:sz w:val="19"/>
          <w:szCs w:val="19"/>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Foreign Account Tax Compliance Act</w:t>
      </w:r>
    </w:p>
    <w:p>
      <w:pPr>
        <w:spacing w:after="0" w:line="130" w:lineRule="exact"/>
        <w:rPr>
          <w:sz w:val="20"/>
          <w:szCs w:val="20"/>
          <w:color w:val="auto"/>
        </w:rPr>
      </w:pPr>
    </w:p>
    <w:p>
      <w:pPr>
        <w:ind w:left="180" w:right="60" w:firstLine="465"/>
        <w:spacing w:after="0" w:line="287" w:lineRule="auto"/>
        <w:rPr>
          <w:sz w:val="20"/>
          <w:szCs w:val="20"/>
          <w:color w:val="auto"/>
        </w:rPr>
      </w:pPr>
      <w:r>
        <w:rPr>
          <w:rFonts w:ascii="Arial" w:cs="Arial" w:eastAsia="Arial" w:hAnsi="Arial"/>
          <w:sz w:val="17"/>
          <w:szCs w:val="17"/>
          <w:color w:val="auto"/>
        </w:rPr>
        <w:t>Provisions of the Code commonly referred to as FATCA, Treasury Regulations issued thereunder and official IRS guidance generally impose a U.S. federal withholding tax of 30% on dividends on, and the 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78" w:lineRule="exact"/>
        <w:rPr>
          <w:sz w:val="20"/>
          <w:szCs w:val="20"/>
          <w:color w:val="auto"/>
        </w:rPr>
      </w:pPr>
    </w:p>
    <w:p>
      <w:pPr>
        <w:ind w:left="180" w:right="80" w:firstLine="465"/>
        <w:spacing w:after="0" w:line="291" w:lineRule="auto"/>
        <w:rPr>
          <w:sz w:val="20"/>
          <w:szCs w:val="20"/>
          <w:color w:val="auto"/>
        </w:rPr>
      </w:pPr>
      <w:r>
        <w:rPr>
          <w:rFonts w:ascii="Arial" w:cs="Arial" w:eastAsia="Arial" w:hAnsi="Arial"/>
          <w:sz w:val="17"/>
          <w:szCs w:val="17"/>
          <w:color w:val="auto"/>
        </w:rPr>
        <w:t>The withholding obligations under FATCA generally apply to dividends on our common stock and to the payment of gross proceeds of a sale or other disposition of our common stock made on or after January 1, 2019. The withholding tax will apply regardless of whether the payment otherwise would be exempt from U.S. nonresident and backup withholding tax, including under the other exemptions described above. Under certain circumstances, a non-U.S. holder might be eligible for refunds or credits of such taxes. An intergovernmental agreement between the United States and an applicable foreign country may modify the requirements described in this section. Prospective investors should consult with their own tax advisors regarding the application of FATCA withholding to their investment in, and ownership and disposition of, our common stock.</w:t>
      </w:r>
    </w:p>
    <w:p>
      <w:pPr>
        <w:spacing w:after="0" w:line="169" w:lineRule="exact"/>
        <w:rPr>
          <w:sz w:val="20"/>
          <w:szCs w:val="20"/>
          <w:color w:val="auto"/>
        </w:rPr>
      </w:pPr>
    </w:p>
    <w:p>
      <w:pPr>
        <w:ind w:left="180" w:firstLine="465"/>
        <w:spacing w:after="0" w:line="261" w:lineRule="auto"/>
        <w:rPr>
          <w:sz w:val="20"/>
          <w:szCs w:val="20"/>
          <w:color w:val="auto"/>
        </w:rPr>
      </w:pPr>
      <w:r>
        <w:rPr>
          <w:rFonts w:ascii="Arial" w:cs="Arial" w:eastAsia="Arial" w:hAnsi="Arial"/>
          <w:sz w:val="19"/>
          <w:szCs w:val="19"/>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174</w:t>
      </w:r>
    </w:p>
    <w:p>
      <w:pPr>
        <w:sectPr>
          <w:pgSz w:w="12240" w:h="15840" w:orient="portrait"/>
          <w:cols w:equalWidth="0" w:num="1">
            <w:col w:w="11760"/>
          </w:cols>
          <w:pgMar w:left="120" w:top="336" w:right="360" w:bottom="1440" w:gutter="0" w:footer="0" w:header="0"/>
        </w:sectPr>
      </w:pPr>
    </w:p>
    <w:bookmarkStart w:id="182" w:name="page183"/>
    <w:bookmarkEnd w:id="18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UNDERWRITING</w:t>
      </w:r>
    </w:p>
    <w:p>
      <w:pPr>
        <w:spacing w:after="0" w:line="244" w:lineRule="exact"/>
        <w:rPr>
          <w:sz w:val="20"/>
          <w:szCs w:val="20"/>
          <w:color w:val="auto"/>
        </w:rPr>
      </w:pPr>
    </w:p>
    <w:p>
      <w:pPr>
        <w:ind w:left="180" w:right="240" w:firstLine="465"/>
        <w:spacing w:after="0" w:line="259" w:lineRule="auto"/>
        <w:rPr>
          <w:sz w:val="20"/>
          <w:szCs w:val="20"/>
          <w:color w:val="auto"/>
        </w:rPr>
      </w:pPr>
      <w:r>
        <w:rPr>
          <w:rFonts w:ascii="Arial" w:cs="Arial" w:eastAsia="Arial" w:hAnsi="Arial"/>
          <w:sz w:val="19"/>
          <w:szCs w:val="19"/>
          <w:color w:val="auto"/>
        </w:rPr>
        <w:t>Under the terms and subject to the conditions in an underwriting agreement dated the date of this prospectus, the underwriters named below, for whom Morgan Stanley &amp; Co. LLC, Merrill Lynch, Pierce, Fenner &amp; Smith Incorporated, Cowen and Company, LLC, and Barclays Capital Inc. are acting as representatives, have severally agreed to purchase, and we have agreed to sell to them, severally, the number of shares of common stock indicated below:</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72"/>
        </w:trPr>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Number</w:t>
            </w:r>
          </w:p>
        </w:tc>
      </w:tr>
      <w:tr>
        <w:trPr>
          <w:trHeight w:val="166"/>
        </w:trPr>
        <w:tc>
          <w:tcPr>
            <w:tcW w:w="9720" w:type="dxa"/>
            <w:vAlign w:val="bottom"/>
            <w:gridSpan w:val="3"/>
          </w:tcPr>
          <w:p>
            <w:pPr>
              <w:ind w:left="980"/>
              <w:spacing w:after="0" w:line="166" w:lineRule="exact"/>
              <w:rPr>
                <w:sz w:val="20"/>
                <w:szCs w:val="20"/>
                <w:color w:val="auto"/>
              </w:rPr>
            </w:pPr>
            <w:r>
              <w:rPr>
                <w:rFonts w:ascii="Arial" w:cs="Arial" w:eastAsia="Arial" w:hAnsi="Arial"/>
                <w:sz w:val="15"/>
                <w:szCs w:val="15"/>
                <w:b w:val="1"/>
                <w:bCs w:val="1"/>
                <w:color w:val="auto"/>
              </w:rPr>
              <w:t>Underwriter</w:t>
            </w:r>
          </w:p>
        </w:tc>
        <w:tc>
          <w:tcPr>
            <w:tcW w:w="960" w:type="dxa"/>
            <w:vAlign w:val="bottom"/>
            <w:gridSpan w:val="2"/>
          </w:tcPr>
          <w:p>
            <w:pPr>
              <w:ind w:left="140"/>
              <w:spacing w:after="0" w:line="166" w:lineRule="exact"/>
              <w:rPr>
                <w:sz w:val="20"/>
                <w:szCs w:val="20"/>
                <w:color w:val="auto"/>
              </w:rPr>
            </w:pPr>
            <w:r>
              <w:rPr>
                <w:rFonts w:ascii="Arial" w:cs="Arial" w:eastAsia="Arial" w:hAnsi="Arial"/>
                <w:sz w:val="15"/>
                <w:szCs w:val="15"/>
                <w:b w:val="1"/>
                <w:bCs w:val="1"/>
                <w:color w:val="auto"/>
              </w:rPr>
              <w:t>of Shares</w:t>
            </w:r>
          </w:p>
        </w:tc>
      </w:tr>
      <w:tr>
        <w:trPr>
          <w:trHeight w:val="20"/>
        </w:trPr>
        <w:tc>
          <w:tcPr>
            <w:tcW w:w="9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79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2"/>
        </w:trPr>
        <w:tc>
          <w:tcPr>
            <w:tcW w:w="9720" w:type="dxa"/>
            <w:vAlign w:val="bottom"/>
            <w:gridSpan w:val="3"/>
            <w:shd w:val="clear" w:color="auto" w:fill="CCEEFF"/>
          </w:tcPr>
          <w:p>
            <w:pPr>
              <w:spacing w:after="0" w:line="203" w:lineRule="exact"/>
              <w:rPr>
                <w:sz w:val="20"/>
                <w:szCs w:val="20"/>
                <w:color w:val="auto"/>
              </w:rPr>
            </w:pPr>
            <w:r>
              <w:rPr>
                <w:rFonts w:ascii="Arial" w:cs="Arial" w:eastAsia="Arial" w:hAnsi="Arial"/>
                <w:sz w:val="19"/>
                <w:szCs w:val="19"/>
                <w:color w:val="auto"/>
              </w:rPr>
              <w:t>Morgan Stanley &amp; Co. LLC</w:t>
            </w: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4"/>
        </w:trPr>
        <w:tc>
          <w:tcPr>
            <w:tcW w:w="9720" w:type="dxa"/>
            <w:vAlign w:val="bottom"/>
            <w:gridSpan w:val="3"/>
          </w:tcPr>
          <w:p>
            <w:pPr>
              <w:spacing w:after="0" w:line="214" w:lineRule="exact"/>
              <w:rPr>
                <w:sz w:val="20"/>
                <w:szCs w:val="20"/>
                <w:color w:val="auto"/>
              </w:rPr>
            </w:pPr>
            <w:r>
              <w:rPr>
                <w:rFonts w:ascii="Arial" w:cs="Arial" w:eastAsia="Arial" w:hAnsi="Arial"/>
                <w:sz w:val="19"/>
                <w:szCs w:val="19"/>
                <w:color w:val="auto"/>
              </w:rPr>
              <w:t>Merrill Lynch, Pierce, Fenner &amp; Smith</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9720" w:type="dxa"/>
            <w:vAlign w:val="bottom"/>
            <w:gridSpan w:val="3"/>
          </w:tcPr>
          <w:p>
            <w:pPr>
              <w:ind w:left="960"/>
              <w:spacing w:after="0"/>
              <w:rPr>
                <w:sz w:val="20"/>
                <w:szCs w:val="20"/>
                <w:color w:val="auto"/>
              </w:rPr>
            </w:pPr>
            <w:r>
              <w:rPr>
                <w:rFonts w:ascii="Arial" w:cs="Arial" w:eastAsia="Arial" w:hAnsi="Arial"/>
                <w:sz w:val="19"/>
                <w:szCs w:val="19"/>
                <w:color w:val="auto"/>
              </w:rPr>
              <w:t>Incorporated</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972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Cowen and Company, LLC</w:t>
            </w: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9720" w:type="dxa"/>
            <w:vAlign w:val="bottom"/>
            <w:gridSpan w:val="3"/>
          </w:tcPr>
          <w:p>
            <w:pPr>
              <w:spacing w:after="0"/>
              <w:rPr>
                <w:sz w:val="20"/>
                <w:szCs w:val="20"/>
                <w:color w:val="auto"/>
              </w:rPr>
            </w:pPr>
            <w:r>
              <w:rPr>
                <w:rFonts w:ascii="Arial" w:cs="Arial" w:eastAsia="Arial" w:hAnsi="Arial"/>
                <w:sz w:val="19"/>
                <w:szCs w:val="19"/>
                <w:color w:val="auto"/>
              </w:rPr>
              <w:t>Barclays Capital Inc.</w:t>
            </w: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8"/>
        </w:trPr>
        <w:tc>
          <w:tcPr>
            <w:tcW w:w="98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Total</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9"/>
                <w:szCs w:val="19"/>
                <w:color w:val="auto"/>
                <w:w w:val="94"/>
              </w:rPr>
              <w:t>9,250,000</w:t>
            </w: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ind w:left="180" w:firstLine="465"/>
        <w:spacing w:after="0" w:line="272"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90" w:lineRule="exact"/>
        <w:rPr>
          <w:sz w:val="20"/>
          <w:szCs w:val="20"/>
          <w:color w:val="auto"/>
        </w:rPr>
      </w:pPr>
    </w:p>
    <w:p>
      <w:pPr>
        <w:ind w:left="180" w:right="20" w:firstLine="465"/>
        <w:spacing w:after="0" w:line="308" w:lineRule="auto"/>
        <w:rPr>
          <w:sz w:val="20"/>
          <w:szCs w:val="20"/>
          <w:color w:val="auto"/>
        </w:rPr>
      </w:pPr>
      <w:r>
        <w:rPr>
          <w:rFonts w:ascii="Arial" w:cs="Arial" w:eastAsia="Arial" w:hAnsi="Arial"/>
          <w:sz w:val="17"/>
          <w:szCs w:val="17"/>
          <w:color w:val="auto"/>
        </w:rPr>
        <w:t>The underwriters initially propose to offer part of the shares of common stock directly to the public at the offering price listed on the cover page of 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60" w:lineRule="exact"/>
        <w:rPr>
          <w:sz w:val="20"/>
          <w:szCs w:val="20"/>
          <w:color w:val="auto"/>
        </w:rPr>
      </w:pPr>
    </w:p>
    <w:p>
      <w:pPr>
        <w:ind w:left="180" w:right="80" w:firstLine="465"/>
        <w:spacing w:after="0" w:line="291"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1,387,500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5" w:lineRule="exact"/>
        <w:rPr>
          <w:sz w:val="20"/>
          <w:szCs w:val="20"/>
          <w:color w:val="auto"/>
        </w:rPr>
      </w:pPr>
    </w:p>
    <w:p>
      <w:pPr>
        <w:ind w:left="180" w:right="260" w:firstLine="465"/>
        <w:spacing w:after="0" w:line="272" w:lineRule="auto"/>
        <w:rPr>
          <w:sz w:val="20"/>
          <w:szCs w:val="20"/>
          <w:color w:val="auto"/>
        </w:rPr>
      </w:pPr>
      <w:r>
        <w:rPr>
          <w:rFonts w:ascii="Arial" w:cs="Arial" w:eastAsia="Arial" w:hAnsi="Arial"/>
          <w:sz w:val="18"/>
          <w:szCs w:val="18"/>
          <w:color w:val="auto"/>
        </w:rPr>
        <w:t>Certain of our existing stockholders, including entities affiliated with certain of our directors and beneficially own more than 5% of our outstanding common stock, have indicated an interest in purchasing an aggregate of $85.0 million or more in shares of our common stock in this offering at the initial public offering price.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 The underwriters will receive the same underwriting discounts and commissions on any shares purchased by these stockholders as they will on any other shares sold to the public in this offering.</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175</w:t>
      </w:r>
    </w:p>
    <w:p>
      <w:pPr>
        <w:sectPr>
          <w:pgSz w:w="12240" w:h="15840" w:orient="portrait"/>
          <w:cols w:equalWidth="0" w:num="1">
            <w:col w:w="11820"/>
          </w:cols>
          <w:pgMar w:left="120" w:top="336" w:right="300" w:bottom="1440" w:gutter="0" w:footer="0" w:header="0"/>
        </w:sectPr>
      </w:pPr>
    </w:p>
    <w:bookmarkStart w:id="183" w:name="page184"/>
    <w:bookmarkEnd w:id="18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right="20" w:firstLine="465"/>
        <w:spacing w:after="0" w:line="263" w:lineRule="auto"/>
        <w:rPr>
          <w:sz w:val="20"/>
          <w:szCs w:val="20"/>
          <w:color w:val="auto"/>
        </w:rPr>
      </w:pPr>
      <w:r>
        <w:rPr>
          <w:rFonts w:ascii="Arial" w:cs="Arial" w:eastAsia="Arial" w:hAnsi="Arial"/>
          <w:sz w:val="19"/>
          <w:szCs w:val="19"/>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1,387,500 shares of common stock.</w:t>
      </w:r>
    </w:p>
    <w:p>
      <w:pPr>
        <w:spacing w:after="0" w:line="214" w:lineRule="exact"/>
        <w:rPr>
          <w:sz w:val="20"/>
          <w:szCs w:val="20"/>
          <w:color w:val="auto"/>
        </w:rPr>
      </w:pPr>
    </w:p>
    <w:tbl>
      <w:tblPr>
        <w:tblLayout w:type="fixed"/>
        <w:tblInd w:w="1120" w:type="dxa"/>
        <w:tblCellMar>
          <w:top w:w="0" w:type="dxa"/>
          <w:left w:w="0" w:type="dxa"/>
          <w:bottom w:w="0" w:type="dxa"/>
          <w:right w:w="0" w:type="dxa"/>
        </w:tblCellMar>
      </w:tblPr>
      <w:tr>
        <w:trPr>
          <w:trHeight w:val="180"/>
        </w:trPr>
        <w:tc>
          <w:tcPr>
            <w:tcW w:w="5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vMerge w:val="restart"/>
          </w:tcPr>
          <w:p>
            <w:pPr>
              <w:jc w:val="right"/>
              <w:ind w:right="105"/>
              <w:spacing w:after="0"/>
              <w:rPr>
                <w:sz w:val="20"/>
                <w:szCs w:val="20"/>
                <w:color w:val="auto"/>
              </w:rPr>
            </w:pPr>
            <w:r>
              <w:rPr>
                <w:rFonts w:ascii="Arial" w:cs="Arial" w:eastAsia="Arial" w:hAnsi="Arial"/>
                <w:sz w:val="15"/>
                <w:szCs w:val="15"/>
                <w:b w:val="1"/>
                <w:bCs w:val="1"/>
                <w:color w:val="auto"/>
              </w:rPr>
              <w:t>Per</w:t>
            </w: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28"/>
        </w:trPr>
        <w:tc>
          <w:tcPr>
            <w:tcW w:w="5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Borders>
              <w:top w:val="single" w:sz="8" w:color="auto"/>
            </w:tcBorders>
          </w:tcPr>
          <w:p>
            <w:pPr>
              <w:ind w:left="180"/>
              <w:spacing w:after="0" w:line="128" w:lineRule="exact"/>
              <w:rPr>
                <w:sz w:val="20"/>
                <w:szCs w:val="20"/>
                <w:color w:val="auto"/>
              </w:rPr>
            </w:pPr>
            <w:r>
              <w:rPr>
                <w:rFonts w:ascii="Arial" w:cs="Arial" w:eastAsia="Arial" w:hAnsi="Arial"/>
                <w:sz w:val="14"/>
                <w:szCs w:val="14"/>
                <w:b w:val="1"/>
                <w:bCs w:val="1"/>
                <w:color w:val="auto"/>
              </w:rPr>
              <w:t>No</w:t>
            </w:r>
          </w:p>
        </w:tc>
        <w:tc>
          <w:tcPr>
            <w:tcW w:w="6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88"/>
              <w:spacing w:after="0" w:line="128" w:lineRule="exact"/>
              <w:rPr>
                <w:sz w:val="20"/>
                <w:szCs w:val="20"/>
                <w:color w:val="auto"/>
              </w:rPr>
            </w:pPr>
            <w:r>
              <w:rPr>
                <w:rFonts w:ascii="Arial" w:cs="Arial" w:eastAsia="Arial" w:hAnsi="Arial"/>
                <w:sz w:val="14"/>
                <w:szCs w:val="14"/>
                <w:b w:val="1"/>
                <w:bCs w:val="1"/>
                <w:color w:val="auto"/>
              </w:rPr>
              <w:t>Full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jc w:val="right"/>
              <w:ind w:right="5"/>
              <w:spacing w:after="0"/>
              <w:rPr>
                <w:sz w:val="20"/>
                <w:szCs w:val="20"/>
                <w:color w:val="auto"/>
              </w:rPr>
            </w:pPr>
            <w:r>
              <w:rPr>
                <w:rFonts w:ascii="Arial" w:cs="Arial" w:eastAsia="Arial" w:hAnsi="Arial"/>
                <w:sz w:val="15"/>
                <w:szCs w:val="15"/>
                <w:b w:val="1"/>
                <w:bCs w:val="1"/>
                <w:color w:val="auto"/>
              </w:rPr>
              <w:t>Share</w:t>
            </w:r>
          </w:p>
        </w:tc>
        <w:tc>
          <w:tcPr>
            <w:tcW w:w="1160" w:type="dxa"/>
            <w:vAlign w:val="bottom"/>
            <w:gridSpan w:val="2"/>
          </w:tcPr>
          <w:p>
            <w:pPr>
              <w:ind w:left="600"/>
              <w:spacing w:after="0"/>
              <w:rPr>
                <w:sz w:val="20"/>
                <w:szCs w:val="20"/>
                <w:color w:val="auto"/>
              </w:rPr>
            </w:pPr>
            <w:r>
              <w:rPr>
                <w:rFonts w:ascii="Arial" w:cs="Arial" w:eastAsia="Arial" w:hAnsi="Arial"/>
                <w:sz w:val="15"/>
                <w:szCs w:val="15"/>
                <w:b w:val="1"/>
                <w:bCs w:val="1"/>
                <w:color w:val="auto"/>
                <w:w w:val="87"/>
              </w:rPr>
              <w:t>Exercise</w:t>
            </w:r>
          </w:p>
        </w:tc>
        <w:tc>
          <w:tcPr>
            <w:tcW w:w="1200" w:type="dxa"/>
            <w:vAlign w:val="bottom"/>
            <w:gridSpan w:val="3"/>
          </w:tcPr>
          <w:p>
            <w:pPr>
              <w:ind w:left="600"/>
              <w:spacing w:after="0"/>
              <w:rPr>
                <w:sz w:val="20"/>
                <w:szCs w:val="20"/>
                <w:color w:val="auto"/>
              </w:rPr>
            </w:pPr>
            <w:r>
              <w:rPr>
                <w:rFonts w:ascii="Arial" w:cs="Arial" w:eastAsia="Arial" w:hAnsi="Arial"/>
                <w:sz w:val="15"/>
                <w:szCs w:val="15"/>
                <w:b w:val="1"/>
                <w:bCs w:val="1"/>
                <w:color w:val="auto"/>
                <w:w w:val="93"/>
              </w:rPr>
              <w:t>Exercise</w:t>
            </w:r>
          </w:p>
        </w:tc>
        <w:tc>
          <w:tcPr>
            <w:tcW w:w="0" w:type="dxa"/>
            <w:vAlign w:val="bottom"/>
          </w:tcPr>
          <w:p>
            <w:pPr>
              <w:spacing w:after="0"/>
              <w:rPr>
                <w:sz w:val="1"/>
                <w:szCs w:val="1"/>
                <w:color w:val="auto"/>
              </w:rPr>
            </w:pPr>
          </w:p>
        </w:tc>
      </w:tr>
      <w:tr>
        <w:trPr>
          <w:trHeight w:val="222"/>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Public offering price</w:t>
            </w:r>
          </w:p>
        </w:tc>
        <w:tc>
          <w:tcPr>
            <w:tcW w:w="12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w:t>
            </w:r>
          </w:p>
        </w:tc>
        <w:tc>
          <w:tcPr>
            <w:tcW w:w="6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408"/>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60" w:type="dxa"/>
            <w:vAlign w:val="bottom"/>
          </w:tcPr>
          <w:p>
            <w:pPr>
              <w:spacing w:after="0"/>
              <w:rPr>
                <w:sz w:val="20"/>
                <w:szCs w:val="20"/>
                <w:color w:val="auto"/>
              </w:rPr>
            </w:pPr>
            <w:r>
              <w:rPr>
                <w:rFonts w:ascii="Arial" w:cs="Arial" w:eastAsia="Arial" w:hAnsi="Arial"/>
                <w:sz w:val="19"/>
                <w:szCs w:val="19"/>
                <w:color w:val="auto"/>
              </w:rPr>
              <w:t>Underwriting discounts and commissions to be paid by us:</w:t>
            </w:r>
          </w:p>
        </w:tc>
        <w:tc>
          <w:tcPr>
            <w:tcW w:w="1740" w:type="dxa"/>
            <w:vAlign w:val="bottom"/>
            <w:gridSpan w:val="2"/>
          </w:tcPr>
          <w:p>
            <w:pPr>
              <w:jc w:val="right"/>
              <w:ind w:right="365"/>
              <w:spacing w:after="0"/>
              <w:rPr>
                <w:sz w:val="20"/>
                <w:szCs w:val="20"/>
                <w:color w:val="auto"/>
              </w:rPr>
            </w:pPr>
            <w:r>
              <w:rPr>
                <w:rFonts w:ascii="Arial" w:cs="Arial" w:eastAsia="Arial" w:hAnsi="Arial"/>
                <w:sz w:val="19"/>
                <w:szCs w:val="19"/>
                <w:color w:val="auto"/>
              </w:rPr>
              <w:t>$</w:t>
            </w:r>
          </w:p>
        </w:tc>
        <w:tc>
          <w:tcPr>
            <w:tcW w:w="1160" w:type="dxa"/>
            <w:vAlign w:val="bottom"/>
            <w:gridSpan w:val="2"/>
          </w:tcPr>
          <w:p>
            <w:pPr>
              <w:ind w:left="600"/>
              <w:spacing w:after="0"/>
              <w:rPr>
                <w:sz w:val="20"/>
                <w:szCs w:val="20"/>
                <w:color w:val="auto"/>
              </w:rPr>
            </w:pPr>
            <w:r>
              <w:rPr>
                <w:rFonts w:ascii="Arial" w:cs="Arial" w:eastAsia="Arial" w:hAnsi="Arial"/>
                <w:sz w:val="19"/>
                <w:szCs w:val="19"/>
                <w:color w:val="auto"/>
              </w:rPr>
              <w:t>$</w:t>
            </w:r>
          </w:p>
        </w:tc>
        <w:tc>
          <w:tcPr>
            <w:tcW w:w="1160" w:type="dxa"/>
            <w:vAlign w:val="bottom"/>
            <w:gridSpan w:val="2"/>
          </w:tcPr>
          <w:p>
            <w:pPr>
              <w:jc w:val="right"/>
              <w:ind w:right="408"/>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60" w:type="dxa"/>
            <w:vAlign w:val="bottom"/>
            <w:shd w:val="clear" w:color="auto" w:fill="CCEEFF"/>
          </w:tcPr>
          <w:p>
            <w:pPr>
              <w:spacing w:after="0"/>
              <w:rPr>
                <w:sz w:val="20"/>
                <w:szCs w:val="20"/>
                <w:color w:val="auto"/>
              </w:rPr>
            </w:pPr>
            <w:r>
              <w:rPr>
                <w:rFonts w:ascii="Arial" w:cs="Arial" w:eastAsia="Arial" w:hAnsi="Arial"/>
                <w:sz w:val="19"/>
                <w:szCs w:val="19"/>
                <w:color w:val="auto"/>
              </w:rPr>
              <w:t>Proceeds, before expenses, to us</w:t>
            </w:r>
          </w:p>
        </w:tc>
        <w:tc>
          <w:tcPr>
            <w:tcW w:w="1740" w:type="dxa"/>
            <w:vAlign w:val="bottom"/>
            <w:gridSpan w:val="2"/>
            <w:shd w:val="clear" w:color="auto" w:fill="CCEEFF"/>
          </w:tcPr>
          <w:p>
            <w:pPr>
              <w:jc w:val="right"/>
              <w:ind w:right="365"/>
              <w:spacing w:after="0"/>
              <w:rPr>
                <w:sz w:val="20"/>
                <w:szCs w:val="20"/>
                <w:color w:val="auto"/>
              </w:rPr>
            </w:pPr>
            <w:r>
              <w:rPr>
                <w:rFonts w:ascii="Arial" w:cs="Arial" w:eastAsia="Arial" w:hAnsi="Arial"/>
                <w:sz w:val="19"/>
                <w:szCs w:val="19"/>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9"/>
                <w:szCs w:val="19"/>
                <w:color w:val="auto"/>
              </w:rPr>
              <w:t>$</w:t>
            </w:r>
          </w:p>
        </w:tc>
        <w:tc>
          <w:tcPr>
            <w:tcW w:w="1160" w:type="dxa"/>
            <w:vAlign w:val="bottom"/>
            <w:gridSpan w:val="2"/>
            <w:shd w:val="clear" w:color="auto" w:fill="CCEEFF"/>
          </w:tcPr>
          <w:p>
            <w:pPr>
              <w:jc w:val="right"/>
              <w:ind w:right="408"/>
              <w:spacing w:after="0"/>
              <w:rPr>
                <w:sz w:val="20"/>
                <w:szCs w:val="20"/>
                <w:color w:val="auto"/>
              </w:rPr>
            </w:pPr>
            <w:r>
              <w:rPr>
                <w:rFonts w:ascii="Arial" w:cs="Arial" w:eastAsia="Arial" w:hAnsi="Arial"/>
                <w:sz w:val="19"/>
                <w:szCs w:val="19"/>
                <w:color w:val="auto"/>
              </w:rPr>
              <w:t>$</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180" w:right="340" w:firstLine="465"/>
        <w:spacing w:after="0" w:line="263" w:lineRule="auto"/>
        <w:rPr>
          <w:sz w:val="20"/>
          <w:szCs w:val="20"/>
          <w:color w:val="auto"/>
        </w:rPr>
      </w:pPr>
      <w:r>
        <w:rPr>
          <w:rFonts w:ascii="Arial" w:cs="Arial" w:eastAsia="Arial" w:hAnsi="Arial"/>
          <w:sz w:val="19"/>
          <w:szCs w:val="19"/>
          <w:color w:val="auto"/>
        </w:rPr>
        <w:t>The estimated offering expenses payable by us, exclusive of the underwriting discounts and commissions, are approximately $3.6 million. We have agreed to reimburse the underwriters for expenses of up to $40,000 relating to clearance of this offering with the Financial Industry Regulatory Authority, Inc. and compliance with state securities or “blue sky” laws.</w:t>
      </w:r>
    </w:p>
    <w:p>
      <w:pPr>
        <w:spacing w:after="0" w:line="194" w:lineRule="exact"/>
        <w:rPr>
          <w:sz w:val="20"/>
          <w:szCs w:val="20"/>
          <w:color w:val="auto"/>
        </w:rPr>
      </w:pPr>
    </w:p>
    <w:p>
      <w:pPr>
        <w:ind w:left="180" w:right="140" w:firstLine="465"/>
        <w:spacing w:after="0" w:line="275" w:lineRule="auto"/>
        <w:rPr>
          <w:sz w:val="20"/>
          <w:szCs w:val="20"/>
          <w:color w:val="auto"/>
        </w:rPr>
      </w:pPr>
      <w:r>
        <w:rPr>
          <w:rFonts w:ascii="Arial" w:cs="Arial" w:eastAsia="Arial" w:hAnsi="Arial"/>
          <w:sz w:val="19"/>
          <w:szCs w:val="19"/>
          <w:color w:val="auto"/>
        </w:rPr>
        <w:t>The underwriters have informed us that they do not intend sales to discretionary accounts to exceed 5% of the total number of shares of common stock offered by them.</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We have applied to list our common stock on NASDAQ under the trading symbol “ALEC.”</w:t>
      </w:r>
    </w:p>
    <w:p>
      <w:pPr>
        <w:spacing w:after="0" w:line="238"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We and all directors and officers and the holders of substantially all of our outstanding stock, stock options, and other securities convertible into or exchangeable or exercisable for our common stock have agreed that, without the prior written consent of Morgan Stanley &amp; Co. LLC, Merrill Lynch, Pierce, Fenner &amp; Smith Incorporated, and Cowen and Company, LLC on behalf of the underwriters, we and they will not, during the period ending on and including the 180th day after the date of this prospectus (the restricted period):</w:t>
      </w:r>
    </w:p>
    <w:p>
      <w:pPr>
        <w:spacing w:after="0" w:line="98" w:lineRule="exact"/>
        <w:rPr>
          <w:sz w:val="20"/>
          <w:szCs w:val="20"/>
          <w:color w:val="auto"/>
        </w:rPr>
      </w:pPr>
    </w:p>
    <w:p>
      <w:pPr>
        <w:ind w:left="1100" w:right="40" w:hanging="350"/>
        <w:spacing w:after="0" w:line="263" w:lineRule="auto"/>
        <w:tabs>
          <w:tab w:leader="none" w:pos="110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94" w:lineRule="exact"/>
        <w:rPr>
          <w:rFonts w:ascii="Arial" w:cs="Arial" w:eastAsia="Arial" w:hAnsi="Arial"/>
          <w:sz w:val="19"/>
          <w:szCs w:val="19"/>
          <w:color w:val="auto"/>
        </w:rPr>
      </w:pPr>
    </w:p>
    <w:p>
      <w:pPr>
        <w:ind w:left="1100" w:right="460" w:hanging="350"/>
        <w:spacing w:after="0" w:line="275" w:lineRule="auto"/>
        <w:tabs>
          <w:tab w:leader="none" w:pos="110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file any registration statement with the SEC relating to the offering of any shares of common stock or any securities convertible into or exercisable or exchangeable for common stock; or</w:t>
      </w:r>
    </w:p>
    <w:p>
      <w:pPr>
        <w:spacing w:after="0" w:line="84" w:lineRule="exact"/>
        <w:rPr>
          <w:rFonts w:ascii="Arial" w:cs="Arial" w:eastAsia="Arial" w:hAnsi="Arial"/>
          <w:sz w:val="19"/>
          <w:szCs w:val="19"/>
          <w:color w:val="auto"/>
        </w:rPr>
      </w:pPr>
    </w:p>
    <w:p>
      <w:pPr>
        <w:ind w:left="1100" w:right="260" w:hanging="350"/>
        <w:spacing w:after="0" w:line="275" w:lineRule="auto"/>
        <w:tabs>
          <w:tab w:leader="none" w:pos="110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enter into any swap or other arrangement that transfers to another, in whole or in part, any of the economic consequences of ownership of the common stock</w:t>
      </w:r>
    </w:p>
    <w:p>
      <w:pPr>
        <w:spacing w:after="0" w:line="184" w:lineRule="exact"/>
        <w:rPr>
          <w:sz w:val="20"/>
          <w:szCs w:val="20"/>
          <w:color w:val="auto"/>
        </w:rPr>
      </w:pPr>
    </w:p>
    <w:p>
      <w:pPr>
        <w:ind w:left="180" w:right="40"/>
        <w:spacing w:after="0" w:line="256" w:lineRule="auto"/>
        <w:rPr>
          <w:sz w:val="20"/>
          <w:szCs w:val="20"/>
          <w:color w:val="auto"/>
        </w:rPr>
      </w:pPr>
      <w:r>
        <w:rPr>
          <w:rFonts w:ascii="Arial" w:cs="Arial" w:eastAsia="Arial" w:hAnsi="Arial"/>
          <w:sz w:val="19"/>
          <w:szCs w:val="19"/>
          <w:color w:val="auto"/>
        </w:rPr>
        <w:t>whether any such transaction described above is to be settled by delivery of common stock or such other securities, in cash or otherwise. In addition, we and each such person agrees that, without the prior written consent of Morgan Stanley &amp; Co. LLC, Merrill Lynch, Pierce, Fenner &amp; Smith Incorporated, and Cowen and Company,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restrictions described in the immediately preceding paragraph do not apply to:</w:t>
      </w:r>
    </w:p>
    <w:p>
      <w:pPr>
        <w:spacing w:after="0" w:line="138" w:lineRule="exact"/>
        <w:rPr>
          <w:sz w:val="20"/>
          <w:szCs w:val="20"/>
          <w:color w:val="auto"/>
        </w:rPr>
      </w:pPr>
    </w:p>
    <w:p>
      <w:pPr>
        <w:ind w:left="1100" w:hanging="464"/>
        <w:spacing w:after="0"/>
        <w:tabs>
          <w:tab w:leader="none" w:pos="110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sale of shares to the underwriters;</w:t>
      </w:r>
    </w:p>
    <w:p>
      <w:pPr>
        <w:spacing w:after="0" w:line="138" w:lineRule="exact"/>
        <w:rPr>
          <w:rFonts w:ascii="Arial" w:cs="Arial" w:eastAsia="Arial" w:hAnsi="Arial"/>
          <w:sz w:val="19"/>
          <w:szCs w:val="19"/>
          <w:color w:val="auto"/>
        </w:rPr>
      </w:pPr>
    </w:p>
    <w:p>
      <w:pPr>
        <w:ind w:left="1100" w:right="340" w:hanging="464"/>
        <w:spacing w:after="0" w:line="298" w:lineRule="auto"/>
        <w:tabs>
          <w:tab w:leader="none" w:pos="11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transactions by any person other than us relating to shares of common stock or other securities acquired in this offering (other than any issuer directed shares of common stock purchased in this offering by our officers or directors) or in open market transactions after the completion of this offering; provided that no filing under Section 16(a) of the Exchange Act is required or voluntarily made during the restricted period in connection with subsequent sales of the common stock or other securities acquired in such open market transactions;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176</w:t>
      </w:r>
    </w:p>
    <w:p>
      <w:pPr>
        <w:sectPr>
          <w:pgSz w:w="12240" w:h="15840" w:orient="portrait"/>
          <w:cols w:equalWidth="0" w:num="1">
            <w:col w:w="11800"/>
          </w:cols>
          <w:pgMar w:left="120" w:top="336" w:right="320" w:bottom="1440" w:gutter="0" w:footer="0" w:header="0"/>
        </w:sectPr>
      </w:pPr>
    </w:p>
    <w:bookmarkStart w:id="184" w:name="page185"/>
    <w:bookmarkEnd w:id="18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40" w:hanging="464"/>
        <w:spacing w:after="0" w:line="272" w:lineRule="auto"/>
        <w:tabs>
          <w:tab w:leader="none" w:pos="11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transfer of shares of common stock or any security convertible into common stock (i) to an immediate family member of the lock-up signatory, or to a trust or other entity formed for estate planning for the benefit of the lock-up signatory or immediate family member, (ii) by bona fide gift, will or intestacy, (iii) if the lock-up signatory is a trust, to a trustor or beneficiary of the trust or to the estate of a beneficiary of such trust, or (iv) by bona fide gift to a charitable organization, provided that no filing under Section 16(a) of the Exchange Act or other public filing, report, or announcement reporting a reduction in beneficial ownership of shares of common stock or any security convertible into common stock shall be required or voluntarily made during the restricted period;</w:t>
      </w:r>
    </w:p>
    <w:p>
      <w:pPr>
        <w:spacing w:after="0" w:line="89" w:lineRule="exact"/>
        <w:rPr>
          <w:rFonts w:ascii="Arial" w:cs="Arial" w:eastAsia="Arial" w:hAnsi="Arial"/>
          <w:sz w:val="18"/>
          <w:szCs w:val="18"/>
          <w:color w:val="auto"/>
        </w:rPr>
      </w:pPr>
    </w:p>
    <w:p>
      <w:pPr>
        <w:ind w:left="1100" w:hanging="464"/>
        <w:spacing w:after="0" w:line="271" w:lineRule="auto"/>
        <w:tabs>
          <w:tab w:leader="none" w:pos="11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the lock-up signatory is a corporation, partnership, limited liability company, trust, or other business entity, transfers of common stock or any security convertible into common stock (i) to another corporation, partnership, limited liability company, trust, or other business entity that controls, is controlled by, manages, is managed by, or is under common control with the lock-up signatory or its affiliates or (ii) as part of a disposition, transfer, or distribution by the lock-up signatory to its stockholders, partners, members, or other equity holders; provided that no filing under Section 16(a) of the Exchange Act or other public filing, report, or announcement reporting a reduction in beneficial ownership of shares of common stock or securities convertible into common stock shall be required or voluntarily made during the restricted period (other than any required Form 5 filing);</w:t>
      </w:r>
    </w:p>
    <w:p>
      <w:pPr>
        <w:spacing w:after="0" w:line="89" w:lineRule="exact"/>
        <w:rPr>
          <w:rFonts w:ascii="Arial" w:cs="Arial" w:eastAsia="Arial" w:hAnsi="Arial"/>
          <w:sz w:val="18"/>
          <w:szCs w:val="18"/>
          <w:color w:val="auto"/>
        </w:rPr>
      </w:pPr>
    </w:p>
    <w:p>
      <w:pPr>
        <w:ind w:left="1100" w:hanging="464"/>
        <w:spacing w:after="0" w:line="267" w:lineRule="auto"/>
        <w:tabs>
          <w:tab w:leader="none" w:pos="11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the receipt by the lock-up signatory from us of shares of our common stock upon the exercise of options or the settlement of restricted stock units granted under a stock incentive plan or other equity award plan, as described in this prospectus, insofar as such option or restricted stock unit is outstanding as of the date of this prospectus, or (ii) the transfer of shares of common stock or other securities convertible into common stock to us upon a vesting event of our securities, the settlement of restricted stock units, or the exercise of options to purchase our securities on a “cashless” or “net exercise” basis to the extent permitted by the instruments representing such options or restricted stock units (and any transfer to us necessary to generate cash needed for the payment of taxes due as a result of such vesting, settlement, or exercise) so long as such “cashless exercise” or “net exercise” is effected solely by the surrender of outstanding options or restricted stock units to us and our cancellation of all or a portion thereof. In the case of either (i) or (ii), no filing under Section 16(a) of the Exchange Act or other public announcement or filing shall be required or voluntarily made during the restricted period, and the underlying shares issued to the lock-up signatory shall continue to be subject to the terms of the lock-up agreement. For the purpose of (ii), filings under Section 16(a) of the Exchange Act shall be permissible if such filings relate solely to “net” or “cashless” exercises or settlements of stock options, restricted stock units, or other equity awards that would otherwise expire during the restricted period and any such filing includes a statement to the effect that such transfer is being made in connection with a “net” or “cashless” exercise or settlement of stock options, restricted stock units, or other equity awards, and the lock-up signatory provides written notice to Morgan Stanley &amp; Co. LLC, Merrill Lynch, Pierce, Fenner &amp; Smith Incorporated, and Cowen and Company, LLC no later than two business days prior to making any such filings;</w:t>
      </w:r>
    </w:p>
    <w:p>
      <w:pPr>
        <w:spacing w:after="0" w:line="94" w:lineRule="exact"/>
        <w:rPr>
          <w:rFonts w:ascii="Arial" w:cs="Arial" w:eastAsia="Arial" w:hAnsi="Arial"/>
          <w:sz w:val="18"/>
          <w:szCs w:val="18"/>
          <w:color w:val="auto"/>
        </w:rPr>
      </w:pPr>
    </w:p>
    <w:p>
      <w:pPr>
        <w:ind w:left="1100" w:right="60" w:hanging="464"/>
        <w:spacing w:after="0" w:line="298" w:lineRule="auto"/>
        <w:tabs>
          <w:tab w:leader="none" w:pos="11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or voluntarily made regarding the establishment of such plan, such announcement or filing shall include a statement to the effect that no transfer of common stock may be made under such plan during the restricted period;</w:t>
      </w:r>
    </w:p>
    <w:p>
      <w:pPr>
        <w:spacing w:after="0" w:line="70" w:lineRule="exact"/>
        <w:rPr>
          <w:rFonts w:ascii="Arial" w:cs="Arial" w:eastAsia="Arial" w:hAnsi="Arial"/>
          <w:sz w:val="17"/>
          <w:szCs w:val="17"/>
          <w:color w:val="auto"/>
        </w:rPr>
      </w:pPr>
    </w:p>
    <w:p>
      <w:pPr>
        <w:ind w:left="1100" w:right="160" w:hanging="464"/>
        <w:spacing w:after="0" w:line="263" w:lineRule="auto"/>
        <w:tabs>
          <w:tab w:leader="none" w:pos="110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transfer of shares of common stock or securities convertible into common stock to us pursuant to agreements under which we or any of our equityholders have the option to repurchase such shares of common stock or other securities convertible into common stock upon termination of service of the lock-up signatory;</w:t>
      </w:r>
    </w:p>
    <w:p>
      <w:pPr>
        <w:spacing w:after="0" w:line="94" w:lineRule="exact"/>
        <w:rPr>
          <w:rFonts w:ascii="Arial" w:cs="Arial" w:eastAsia="Arial" w:hAnsi="Arial"/>
          <w:sz w:val="19"/>
          <w:szCs w:val="19"/>
          <w:color w:val="auto"/>
        </w:rPr>
      </w:pPr>
    </w:p>
    <w:p>
      <w:pPr>
        <w:ind w:left="1100" w:right="320" w:hanging="464"/>
        <w:spacing w:after="0" w:line="275" w:lineRule="auto"/>
        <w:tabs>
          <w:tab w:leader="none" w:pos="110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transfer of shares of common stock or other securities convertible into common stock pursuant to a bona fide third party tender offer, merger, consolidation, or other similar transaction made to all</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177</w:t>
      </w:r>
    </w:p>
    <w:p>
      <w:pPr>
        <w:sectPr>
          <w:pgSz w:w="12240" w:h="15840" w:orient="portrait"/>
          <w:cols w:equalWidth="0" w:num="1">
            <w:col w:w="11800"/>
          </w:cols>
          <w:pgMar w:left="120" w:top="336" w:right="320" w:bottom="1440" w:gutter="0" w:footer="0" w:header="0"/>
        </w:sectPr>
      </w:pPr>
    </w:p>
    <w:bookmarkStart w:id="185" w:name="page186"/>
    <w:bookmarkEnd w:id="18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100" w:right="260"/>
        <w:spacing w:after="0" w:line="263" w:lineRule="auto"/>
        <w:rPr>
          <w:sz w:val="20"/>
          <w:szCs w:val="20"/>
          <w:color w:val="auto"/>
        </w:rPr>
      </w:pPr>
      <w:r>
        <w:rPr>
          <w:rFonts w:ascii="Arial" w:cs="Arial" w:eastAsia="Arial" w:hAnsi="Arial"/>
          <w:sz w:val="19"/>
          <w:szCs w:val="19"/>
          <w:color w:val="auto"/>
        </w:rPr>
        <w:t>holders of our capital stock involving a “change of control”, after the completion of this offering, that has been approved by our board of directors, provided that in the event that such transaction is not completed, the lock-up signatory’s shares of common stock or securities convertible into common stock will remain subject to the terms of the lock-up agreement;</w:t>
      </w:r>
    </w:p>
    <w:p>
      <w:pPr>
        <w:spacing w:after="0" w:line="95" w:lineRule="exact"/>
        <w:rPr>
          <w:sz w:val="20"/>
          <w:szCs w:val="20"/>
          <w:color w:val="auto"/>
        </w:rPr>
      </w:pPr>
    </w:p>
    <w:p>
      <w:pPr>
        <w:ind w:left="1100" w:right="320" w:hanging="464"/>
        <w:spacing w:after="0" w:line="275" w:lineRule="auto"/>
        <w:tabs>
          <w:tab w:leader="none" w:pos="110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transfer of shares of common stock or securities convertible into common stock pursuant to a domestic order or in connection with a divorce settlement; or</w:t>
      </w:r>
    </w:p>
    <w:p>
      <w:pPr>
        <w:spacing w:after="0" w:line="84" w:lineRule="exact"/>
        <w:rPr>
          <w:rFonts w:ascii="Arial" w:cs="Arial" w:eastAsia="Arial" w:hAnsi="Arial"/>
          <w:sz w:val="19"/>
          <w:szCs w:val="19"/>
          <w:color w:val="auto"/>
        </w:rPr>
      </w:pPr>
    </w:p>
    <w:p>
      <w:pPr>
        <w:jc w:val="both"/>
        <w:ind w:left="1100" w:right="500" w:hanging="464"/>
        <w:spacing w:after="0" w:line="263" w:lineRule="auto"/>
        <w:tabs>
          <w:tab w:leader="none" w:pos="110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conversion or reclassification of our outstanding preferred stock or other classes of common stock into shares of common stock as disclosed in this prospectus, provided that any such shares of common stock received upon such conversion or reclassification will be subject to the terms of the lock-up agreement;</w:t>
      </w:r>
    </w:p>
    <w:p>
      <w:pPr>
        <w:spacing w:after="0" w:line="194" w:lineRule="exact"/>
        <w:rPr>
          <w:sz w:val="20"/>
          <w:szCs w:val="20"/>
          <w:color w:val="auto"/>
        </w:rPr>
      </w:pPr>
    </w:p>
    <w:p>
      <w:pPr>
        <w:ind w:left="180" w:right="20" w:firstLine="465"/>
        <w:spacing w:after="0" w:line="289" w:lineRule="auto"/>
        <w:rPr>
          <w:sz w:val="20"/>
          <w:szCs w:val="20"/>
          <w:color w:val="auto"/>
        </w:rPr>
      </w:pPr>
      <w:r>
        <w:rPr>
          <w:rFonts w:ascii="Arial" w:cs="Arial" w:eastAsia="Arial" w:hAnsi="Arial"/>
          <w:sz w:val="17"/>
          <w:szCs w:val="17"/>
          <w:color w:val="auto"/>
        </w:rPr>
        <w:t>In the case of any transfer pursuant to (c), (d) and (i) above, the donee, transferee, or distributee must agree in writing to be bound by the lock-up restrictions. In the case of (c) and (d) above, such transfer or distribution shall not involve a disposition for value. In the case of (g) and (i) above, no filing under Section 16(a) of the Exchange Act or other public filing, report, or announcement reporting a reduction in beneficial ownership of shares of common stock or securities convertible into common stock shall be voluntarily made during the restricted period. In the case of (g) and (i) above, if the lock-up signatory is required to file a report under Section 16(a) of the Exchange Act during the restricted period, the lock-up signatory shall include a statement to the effect that such transfer is to us in connection with the repurchase of shares of common stock or other securities convertible into common stock or pursuant to a qualified domestic order or in connection with a divorce settlement, as the case may be.</w:t>
      </w:r>
    </w:p>
    <w:p>
      <w:pPr>
        <w:spacing w:after="0" w:line="178" w:lineRule="exact"/>
        <w:rPr>
          <w:sz w:val="20"/>
          <w:szCs w:val="20"/>
          <w:color w:val="auto"/>
        </w:rPr>
      </w:pPr>
    </w:p>
    <w:p>
      <w:pPr>
        <w:ind w:left="180" w:right="80" w:firstLine="465"/>
        <w:spacing w:after="0" w:line="336" w:lineRule="auto"/>
        <w:rPr>
          <w:sz w:val="20"/>
          <w:szCs w:val="20"/>
          <w:color w:val="auto"/>
        </w:rPr>
      </w:pPr>
      <w:r>
        <w:rPr>
          <w:rFonts w:ascii="Arial" w:cs="Arial" w:eastAsia="Arial" w:hAnsi="Arial"/>
          <w:sz w:val="17"/>
          <w:szCs w:val="17"/>
          <w:color w:val="auto"/>
        </w:rPr>
        <w:t>Morgan Stanley &amp; Co. LLC, Merrill Lynch, Pierce, Fenner &amp; Smith Incorporated, and Cowen and Company, LLC, in their sole discretion, may release the common stock and other securities subject to the lock-up agreements described above in whole or in part at any time with or without notice.</w:t>
      </w:r>
    </w:p>
    <w:p>
      <w:pPr>
        <w:spacing w:after="0" w:line="137" w:lineRule="exact"/>
        <w:rPr>
          <w:sz w:val="20"/>
          <w:szCs w:val="20"/>
          <w:color w:val="auto"/>
        </w:rPr>
      </w:pPr>
    </w:p>
    <w:p>
      <w:pPr>
        <w:ind w:left="180" w:firstLine="465"/>
        <w:spacing w:after="0" w:line="285" w:lineRule="auto"/>
        <w:rPr>
          <w:sz w:val="20"/>
          <w:szCs w:val="20"/>
          <w:color w:val="auto"/>
        </w:rPr>
      </w:pPr>
      <w:r>
        <w:rPr>
          <w:rFonts w:ascii="Arial" w:cs="Arial" w:eastAsia="Arial" w:hAnsi="Arial"/>
          <w:sz w:val="17"/>
          <w:szCs w:val="17"/>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described above.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We and the underwriters have agreed to indemnify each other against certain liabilities, including liabilities under the Securities Act.</w:t>
      </w:r>
    </w:p>
    <w:p>
      <w:pPr>
        <w:spacing w:after="0" w:line="238" w:lineRule="exact"/>
        <w:rPr>
          <w:sz w:val="20"/>
          <w:szCs w:val="20"/>
          <w:color w:val="auto"/>
        </w:rPr>
      </w:pPr>
    </w:p>
    <w:p>
      <w:pPr>
        <w:ind w:left="180" w:right="120" w:firstLine="465"/>
        <w:spacing w:after="0" w:line="259" w:lineRule="auto"/>
        <w:rPr>
          <w:sz w:val="20"/>
          <w:szCs w:val="20"/>
          <w:color w:val="auto"/>
        </w:rPr>
      </w:pPr>
      <w:r>
        <w:rPr>
          <w:rFonts w:ascii="Arial" w:cs="Arial" w:eastAsia="Arial" w:hAnsi="Arial"/>
          <w:sz w:val="19"/>
          <w:szCs w:val="19"/>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178</w:t>
      </w:r>
    </w:p>
    <w:p>
      <w:pPr>
        <w:sectPr>
          <w:pgSz w:w="12240" w:h="15840" w:orient="portrait"/>
          <w:cols w:equalWidth="0" w:num="1">
            <w:col w:w="11760"/>
          </w:cols>
          <w:pgMar w:left="120" w:top="336" w:right="360" w:bottom="1440" w:gutter="0" w:footer="0" w:header="0"/>
        </w:sectPr>
      </w:pPr>
    </w:p>
    <w:bookmarkStart w:id="186" w:name="page187"/>
    <w:bookmarkEnd w:id="18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Other Relationships</w:t>
      </w:r>
    </w:p>
    <w:p>
      <w:pPr>
        <w:spacing w:after="0" w:line="130" w:lineRule="exact"/>
        <w:rPr>
          <w:sz w:val="20"/>
          <w:szCs w:val="20"/>
          <w:color w:val="auto"/>
        </w:rPr>
      </w:pPr>
    </w:p>
    <w:p>
      <w:pPr>
        <w:ind w:left="180" w:right="20" w:firstLine="465"/>
        <w:spacing w:after="0" w:line="298"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70" w:lineRule="exact"/>
        <w:rPr>
          <w:sz w:val="20"/>
          <w:szCs w:val="20"/>
          <w:color w:val="auto"/>
        </w:rPr>
      </w:pPr>
    </w:p>
    <w:p>
      <w:pPr>
        <w:ind w:left="180" w:right="100" w:firstLine="465"/>
        <w:spacing w:after="0" w:line="272"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Pricing of the Offering</w:t>
      </w:r>
    </w:p>
    <w:p>
      <w:pPr>
        <w:spacing w:after="0" w:line="130" w:lineRule="exact"/>
        <w:rPr>
          <w:sz w:val="20"/>
          <w:szCs w:val="20"/>
          <w:color w:val="auto"/>
        </w:rPr>
      </w:pPr>
    </w:p>
    <w:p>
      <w:pPr>
        <w:ind w:left="180" w:right="120" w:firstLine="465"/>
        <w:spacing w:after="0" w:line="298"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Selling Restrictions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Canada</w:t>
      </w:r>
    </w:p>
    <w:p>
      <w:pPr>
        <w:spacing w:after="0" w:line="124"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w:t>
      </w:r>
    </w:p>
    <w:p>
      <w:pPr>
        <w:spacing w:after="0" w:line="204" w:lineRule="exact"/>
        <w:rPr>
          <w:sz w:val="20"/>
          <w:szCs w:val="20"/>
          <w:color w:val="auto"/>
        </w:rPr>
      </w:pPr>
    </w:p>
    <w:p>
      <w:pPr>
        <w:ind w:left="180" w:right="220" w:firstLine="465"/>
        <w:spacing w:after="0" w:line="298"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0" w:lineRule="exact"/>
        <w:rPr>
          <w:sz w:val="20"/>
          <w:szCs w:val="20"/>
          <w:color w:val="auto"/>
        </w:rPr>
      </w:pPr>
    </w:p>
    <w:p>
      <w:pPr>
        <w:jc w:val="both"/>
        <w:ind w:left="180" w:right="380" w:firstLine="465"/>
        <w:spacing w:after="0" w:line="263" w:lineRule="auto"/>
        <w:rPr>
          <w:sz w:val="20"/>
          <w:szCs w:val="20"/>
          <w:color w:val="auto"/>
        </w:rPr>
      </w:pPr>
      <w:r>
        <w:rPr>
          <w:rFonts w:ascii="Arial" w:cs="Arial" w:eastAsia="Arial" w:hAnsi="Arial"/>
          <w:sz w:val="19"/>
          <w:szCs w:val="19"/>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European Economic Area</w:t>
      </w:r>
    </w:p>
    <w:p>
      <w:pPr>
        <w:spacing w:after="0" w:line="124" w:lineRule="exact"/>
        <w:rPr>
          <w:sz w:val="20"/>
          <w:szCs w:val="20"/>
          <w:color w:val="auto"/>
        </w:rPr>
      </w:pPr>
    </w:p>
    <w:p>
      <w:pPr>
        <w:jc w:val="both"/>
        <w:ind w:left="180" w:right="380" w:firstLine="465"/>
        <w:spacing w:after="0" w:line="275" w:lineRule="auto"/>
        <w:rPr>
          <w:sz w:val="20"/>
          <w:szCs w:val="20"/>
          <w:color w:val="auto"/>
        </w:rPr>
      </w:pPr>
      <w:r>
        <w:rPr>
          <w:rFonts w:ascii="Arial" w:cs="Arial" w:eastAsia="Arial" w:hAnsi="Arial"/>
          <w:sz w:val="19"/>
          <w:szCs w:val="19"/>
          <w:color w:val="auto"/>
        </w:rPr>
        <w:t>In relation to each Member State of the European Economic Area which has implemented the Prospectus Directive (each, a Relevant Member State) an offer to the public of any shares of our common stock may not be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179</w:t>
      </w:r>
    </w:p>
    <w:p>
      <w:pPr>
        <w:sectPr>
          <w:pgSz w:w="12240" w:h="15840" w:orient="portrait"/>
          <w:cols w:equalWidth="0" w:num="1">
            <w:col w:w="11820"/>
          </w:cols>
          <w:pgMar w:left="120" w:top="337" w:right="300" w:bottom="1440" w:gutter="0" w:footer="0" w:header="0"/>
        </w:sectPr>
      </w:pPr>
    </w:p>
    <w:bookmarkStart w:id="187" w:name="page188"/>
    <w:bookmarkEnd w:id="18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20"/>
        <w:spacing w:after="0" w:line="336" w:lineRule="auto"/>
        <w:rPr>
          <w:sz w:val="20"/>
          <w:szCs w:val="20"/>
          <w:color w:val="auto"/>
        </w:rPr>
      </w:pPr>
      <w:r>
        <w:rPr>
          <w:rFonts w:ascii="Arial" w:cs="Arial" w:eastAsia="Arial" w:hAnsi="Arial"/>
          <w:sz w:val="17"/>
          <w:szCs w:val="17"/>
          <w:color w:val="auto"/>
        </w:rPr>
        <w:t>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37" w:lineRule="exact"/>
        <w:rPr>
          <w:sz w:val="20"/>
          <w:szCs w:val="20"/>
          <w:color w:val="auto"/>
        </w:rPr>
      </w:pPr>
    </w:p>
    <w:p>
      <w:pPr>
        <w:ind w:left="1100" w:hanging="464"/>
        <w:spacing w:after="0"/>
        <w:tabs>
          <w:tab w:leader="none" w:pos="110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to any legal entity which is a qualified investor as defined in the Prospectus Directive;</w:t>
      </w:r>
    </w:p>
    <w:p>
      <w:pPr>
        <w:spacing w:after="0" w:line="138" w:lineRule="exact"/>
        <w:rPr>
          <w:rFonts w:ascii="Arial" w:cs="Arial" w:eastAsia="Arial" w:hAnsi="Arial"/>
          <w:sz w:val="19"/>
          <w:szCs w:val="19"/>
          <w:color w:val="auto"/>
        </w:rPr>
      </w:pPr>
    </w:p>
    <w:p>
      <w:pPr>
        <w:ind w:left="1100" w:hanging="464"/>
        <w:spacing w:after="0" w:line="263" w:lineRule="auto"/>
        <w:tabs>
          <w:tab w:leader="none" w:pos="110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94" w:lineRule="exact"/>
        <w:rPr>
          <w:rFonts w:ascii="Arial" w:cs="Arial" w:eastAsia="Arial" w:hAnsi="Arial"/>
          <w:sz w:val="19"/>
          <w:szCs w:val="19"/>
          <w:color w:val="auto"/>
        </w:rPr>
      </w:pPr>
    </w:p>
    <w:p>
      <w:pPr>
        <w:ind w:left="1100" w:hanging="464"/>
        <w:spacing w:after="0" w:line="336" w:lineRule="auto"/>
        <w:tabs>
          <w:tab w:leader="none" w:pos="11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37" w:lineRule="exact"/>
        <w:rPr>
          <w:sz w:val="20"/>
          <w:szCs w:val="20"/>
          <w:color w:val="auto"/>
        </w:rPr>
      </w:pPr>
    </w:p>
    <w:p>
      <w:pPr>
        <w:ind w:left="180" w:right="20" w:firstLine="465"/>
        <w:spacing w:after="0" w:line="291"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United Kingdom</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Each underwriter has represented and agreed that:</w:t>
      </w:r>
    </w:p>
    <w:p>
      <w:pPr>
        <w:spacing w:after="0" w:line="138" w:lineRule="exact"/>
        <w:rPr>
          <w:sz w:val="20"/>
          <w:szCs w:val="20"/>
          <w:color w:val="auto"/>
        </w:rPr>
      </w:pPr>
    </w:p>
    <w:p>
      <w:pPr>
        <w:ind w:left="1100" w:right="120" w:hanging="464"/>
        <w:spacing w:after="0" w:line="259" w:lineRule="auto"/>
        <w:tabs>
          <w:tab w:leader="none" w:pos="110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7" w:lineRule="exact"/>
        <w:rPr>
          <w:rFonts w:ascii="Arial" w:cs="Arial" w:eastAsia="Arial" w:hAnsi="Arial"/>
          <w:sz w:val="19"/>
          <w:szCs w:val="19"/>
          <w:color w:val="auto"/>
        </w:rPr>
      </w:pPr>
    </w:p>
    <w:p>
      <w:pPr>
        <w:ind w:left="1100" w:right="200" w:hanging="464"/>
        <w:spacing w:after="0" w:line="275" w:lineRule="auto"/>
        <w:tabs>
          <w:tab w:leader="none" w:pos="110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it has complied and will comply with all applicable provisions of the FSMA with respect to anything done by it in relation to the shares of our common stock in, from or otherwise involving the United Kingdom.</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Hong Kong</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shares of common stock have not been offered or sold and will not be offered or sold in Hong Kong, by means of any document, other than</w:t>
      </w:r>
    </w:p>
    <w:p>
      <w:pPr>
        <w:spacing w:after="0" w:line="46" w:lineRule="exact"/>
        <w:rPr>
          <w:sz w:val="20"/>
          <w:szCs w:val="20"/>
          <w:color w:val="auto"/>
        </w:rPr>
      </w:pPr>
    </w:p>
    <w:p>
      <w:pPr>
        <w:ind w:left="440" w:hanging="261"/>
        <w:spacing w:after="0"/>
        <w:tabs>
          <w:tab w:leader="none" w:pos="4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to “professional investors” as defined in the Securities and Futures Ordinance (Cap. 571) of Hong Kong and any rules made under that Ordinance; or</w:t>
      </w:r>
    </w:p>
    <w:p>
      <w:pPr>
        <w:spacing w:after="0" w:line="32" w:lineRule="exact"/>
        <w:rPr>
          <w:rFonts w:ascii="Arial" w:cs="Arial" w:eastAsia="Arial" w:hAnsi="Arial"/>
          <w:sz w:val="17"/>
          <w:szCs w:val="17"/>
          <w:color w:val="auto"/>
        </w:rPr>
      </w:pPr>
    </w:p>
    <w:p>
      <w:pPr>
        <w:ind w:left="180" w:right="60" w:hanging="1"/>
        <w:spacing w:after="0" w:line="252" w:lineRule="auto"/>
        <w:tabs>
          <w:tab w:leader="none" w:pos="449"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180</w:t>
      </w:r>
    </w:p>
    <w:p>
      <w:pPr>
        <w:sectPr>
          <w:pgSz w:w="12240" w:h="15840" w:orient="portrait"/>
          <w:cols w:equalWidth="0" w:num="1">
            <w:col w:w="11800"/>
          </w:cols>
          <w:pgMar w:left="120" w:top="336" w:right="320" w:bottom="1440" w:gutter="0" w:footer="0" w:header="0"/>
        </w:sectPr>
      </w:pPr>
    </w:p>
    <w:bookmarkStart w:id="188" w:name="page189"/>
    <w:bookmarkEnd w:id="18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Japan</w:t>
      </w:r>
    </w:p>
    <w:p>
      <w:pPr>
        <w:spacing w:after="0" w:line="124" w:lineRule="exact"/>
        <w:rPr>
          <w:sz w:val="20"/>
          <w:szCs w:val="20"/>
          <w:color w:val="auto"/>
        </w:rPr>
      </w:pPr>
    </w:p>
    <w:p>
      <w:pPr>
        <w:ind w:left="180" w:right="340" w:firstLine="465"/>
        <w:spacing w:after="0" w:line="336" w:lineRule="auto"/>
        <w:rPr>
          <w:sz w:val="20"/>
          <w:szCs w:val="20"/>
          <w:color w:val="auto"/>
        </w:rPr>
      </w:pPr>
      <w:r>
        <w:rPr>
          <w:rFonts w:ascii="Arial" w:cs="Arial" w:eastAsia="Arial" w:hAnsi="Arial"/>
          <w:sz w:val="17"/>
          <w:szCs w:val="17"/>
          <w:color w:val="auto"/>
        </w:rPr>
        <w:t>No registration pursuant to Article 4, paragraph 1 of the Financial Instruments and Exchange Law of Japan (Law No. 25 of 1948, as amended) (FIEL) has been made or will be made with respect to the solicitation of the application for the acquisition of the shares of common stock.</w:t>
      </w:r>
    </w:p>
    <w:p>
      <w:pPr>
        <w:spacing w:after="0" w:line="137"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For Qualified Institutional Investors (QII)</w:t>
      </w:r>
    </w:p>
    <w:p>
      <w:pPr>
        <w:spacing w:after="0" w:line="124" w:lineRule="exact"/>
        <w:rPr>
          <w:sz w:val="20"/>
          <w:szCs w:val="20"/>
          <w:color w:val="auto"/>
        </w:rPr>
      </w:pPr>
    </w:p>
    <w:p>
      <w:pPr>
        <w:ind w:left="180" w:right="40" w:firstLine="465"/>
        <w:spacing w:after="0" w:line="277"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For Non-QII Investors</w:t>
      </w:r>
    </w:p>
    <w:p>
      <w:pPr>
        <w:spacing w:after="0" w:line="124"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Singapore</w:t>
      </w:r>
    </w:p>
    <w:p>
      <w:pPr>
        <w:spacing w:after="0" w:line="124"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Where the shares of our common stock are subscribed or purchased under Section 275 of the SFA by a relevant person which is:</w:t>
      </w:r>
    </w:p>
    <w:p>
      <w:pPr>
        <w:spacing w:after="0" w:line="138" w:lineRule="exact"/>
        <w:rPr>
          <w:sz w:val="20"/>
          <w:szCs w:val="20"/>
          <w:color w:val="auto"/>
        </w:rPr>
      </w:pPr>
    </w:p>
    <w:p>
      <w:pPr>
        <w:ind w:left="1100" w:right="240" w:hanging="464"/>
        <w:spacing w:after="0" w:line="304" w:lineRule="auto"/>
        <w:tabs>
          <w:tab w:leader="none" w:pos="11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0" w:lineRule="exact"/>
        <w:rPr>
          <w:rFonts w:ascii="Arial" w:cs="Arial" w:eastAsia="Arial" w:hAnsi="Arial"/>
          <w:sz w:val="18"/>
          <w:szCs w:val="18"/>
          <w:color w:val="auto"/>
        </w:rPr>
      </w:pPr>
    </w:p>
    <w:p>
      <w:pPr>
        <w:ind w:left="1100" w:right="220" w:hanging="464"/>
        <w:spacing w:after="0" w:line="275" w:lineRule="auto"/>
        <w:tabs>
          <w:tab w:leader="none" w:pos="110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a trust (where the trustee is not an accredited investor) the sole purpose of which is to hold investments and each beneficiary of the trust is an individual who is an accredited investor,</w:t>
      </w:r>
    </w:p>
    <w:p>
      <w:pPr>
        <w:spacing w:after="0" w:line="184" w:lineRule="exact"/>
        <w:rPr>
          <w:sz w:val="20"/>
          <w:szCs w:val="20"/>
          <w:color w:val="auto"/>
        </w:rPr>
      </w:pPr>
    </w:p>
    <w:p>
      <w:pPr>
        <w:ind w:left="180" w:right="140" w:firstLine="465"/>
        <w:spacing w:after="0" w:line="275" w:lineRule="auto"/>
        <w:rPr>
          <w:sz w:val="20"/>
          <w:szCs w:val="20"/>
          <w:color w:val="auto"/>
        </w:rPr>
      </w:pPr>
      <w:r>
        <w:rPr>
          <w:rFonts w:ascii="Arial" w:cs="Arial" w:eastAsia="Arial" w:hAnsi="Arial"/>
          <w:sz w:val="19"/>
          <w:szCs w:val="19"/>
          <w:color w:val="auto"/>
        </w:rPr>
        <w:t>securities (as defined in Section 239(1) of the SFA) of that corporation or the beneficiaries’ rights and interest (howsoever described) in that trust shall not be transferred within six months after that corporation or that</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181</w:t>
      </w:r>
    </w:p>
    <w:p>
      <w:pPr>
        <w:sectPr>
          <w:pgSz w:w="12240" w:h="15840" w:orient="portrait"/>
          <w:cols w:equalWidth="0" w:num="1">
            <w:col w:w="11820"/>
          </w:cols>
          <w:pgMar w:left="120" w:top="336" w:right="300" w:bottom="1440" w:gutter="0" w:footer="0" w:header="0"/>
        </w:sectPr>
      </w:pPr>
    </w:p>
    <w:bookmarkStart w:id="189" w:name="page190"/>
    <w:bookmarkEnd w:id="18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trust has acquired the shares of our common stock pursuant to an offer made under Section 275 of the SFA except:</w:t>
      </w:r>
    </w:p>
    <w:p>
      <w:pPr>
        <w:spacing w:after="0" w:line="138" w:lineRule="exact"/>
        <w:rPr>
          <w:sz w:val="20"/>
          <w:szCs w:val="20"/>
          <w:color w:val="auto"/>
        </w:rPr>
      </w:pPr>
    </w:p>
    <w:p>
      <w:pPr>
        <w:ind w:left="1100" w:right="60" w:hanging="464"/>
        <w:spacing w:after="0" w:line="275" w:lineRule="auto"/>
        <w:tabs>
          <w:tab w:leader="none" w:pos="110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to an institutional investor or to a relevant person defined in Section 275(2) of the SFA, or to any person arising from an offer referred to in Section 275(1A) or Section 276(4)(i) (B) of the SFA;</w:t>
      </w:r>
    </w:p>
    <w:p>
      <w:pPr>
        <w:spacing w:after="0" w:line="84" w:lineRule="exact"/>
        <w:rPr>
          <w:rFonts w:ascii="Arial" w:cs="Arial" w:eastAsia="Arial" w:hAnsi="Arial"/>
          <w:sz w:val="19"/>
          <w:szCs w:val="19"/>
          <w:color w:val="auto"/>
        </w:rPr>
      </w:pPr>
    </w:p>
    <w:p>
      <w:pPr>
        <w:ind w:left="1100" w:hanging="464"/>
        <w:spacing w:after="0"/>
        <w:tabs>
          <w:tab w:leader="none" w:pos="110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where no consideration is or will be given for the transfer;</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where the transfer is by operation of law;</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as specified in Section 276(7) of the SFA; or</w:t>
      </w:r>
    </w:p>
    <w:p>
      <w:pPr>
        <w:spacing w:after="0" w:line="138" w:lineRule="exact"/>
        <w:rPr>
          <w:rFonts w:ascii="Arial" w:cs="Arial" w:eastAsia="Arial" w:hAnsi="Arial"/>
          <w:sz w:val="19"/>
          <w:szCs w:val="19"/>
          <w:color w:val="auto"/>
        </w:rPr>
      </w:pPr>
    </w:p>
    <w:p>
      <w:pPr>
        <w:ind w:left="5860" w:hanging="5224"/>
        <w:spacing w:after="0" w:line="448" w:lineRule="auto"/>
        <w:tabs>
          <w:tab w:leader="none" w:pos="1097" w:val="left"/>
        </w:tabs>
        <w:numPr>
          <w:ilvl w:val="0"/>
          <w:numId w:val="123"/>
        </w:numPr>
        <w:rPr>
          <w:rFonts w:ascii="Arial" w:cs="Arial" w:eastAsia="Arial" w:hAnsi="Arial"/>
          <w:sz w:val="19"/>
          <w:szCs w:val="19"/>
          <w:color w:val="auto"/>
        </w:rPr>
      </w:pPr>
      <w:r>
        <w:rPr>
          <w:rFonts w:ascii="Arial" w:cs="Arial" w:eastAsia="Arial" w:hAnsi="Arial"/>
          <w:sz w:val="19"/>
          <w:szCs w:val="19"/>
          <w:color w:val="auto"/>
        </w:rPr>
        <w:t>as specified in Regulation 32 of the Securities and Futures (Offers of Investments) (Shares and Debentures) Regulations 2005 of Singapore. 182</w:t>
      </w:r>
    </w:p>
    <w:p>
      <w:pPr>
        <w:sectPr>
          <w:pgSz w:w="12240" w:h="15840" w:orient="portrait"/>
          <w:cols w:equalWidth="0" w:num="1">
            <w:col w:w="11720"/>
          </w:cols>
          <w:pgMar w:left="120" w:top="337" w:right="400" w:bottom="1440" w:gutter="0" w:footer="0" w:header="0"/>
        </w:sectPr>
      </w:pPr>
    </w:p>
    <w:bookmarkStart w:id="190" w:name="page191"/>
    <w:bookmarkEnd w:id="19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LEGAL MATTERS</w:t>
      </w:r>
    </w:p>
    <w:p>
      <w:pPr>
        <w:spacing w:after="0" w:line="244" w:lineRule="exact"/>
        <w:rPr>
          <w:sz w:val="20"/>
          <w:szCs w:val="20"/>
          <w:color w:val="auto"/>
        </w:rPr>
      </w:pPr>
    </w:p>
    <w:p>
      <w:pPr>
        <w:ind w:left="180" w:right="400" w:firstLine="465"/>
        <w:spacing w:after="0" w:line="336" w:lineRule="auto"/>
        <w:rPr>
          <w:sz w:val="20"/>
          <w:szCs w:val="20"/>
          <w:color w:val="auto"/>
        </w:rPr>
      </w:pPr>
      <w:r>
        <w:rPr>
          <w:rFonts w:ascii="Arial" w:cs="Arial" w:eastAsia="Arial" w:hAnsi="Arial"/>
          <w:sz w:val="17"/>
          <w:szCs w:val="17"/>
          <w:color w:val="auto"/>
        </w:rPr>
        <w:t>The validity of the issuance of our common stock offered in this prospectus will be passed upon for us by Wilson Sonsini Goodrich &amp; Rosati, Professional Corporation, Palo Alto, California. Davis Polk &amp; Wardwell LLP, Menlo Park, California, is acting as counsel for the underwriters.</w:t>
      </w: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EXPERTS</w:t>
      </w:r>
    </w:p>
    <w:p>
      <w:pPr>
        <w:spacing w:after="0" w:line="244" w:lineRule="exact"/>
        <w:rPr>
          <w:sz w:val="20"/>
          <w:szCs w:val="20"/>
          <w:color w:val="auto"/>
        </w:rPr>
      </w:pPr>
    </w:p>
    <w:p>
      <w:pPr>
        <w:ind w:left="180" w:firstLine="465"/>
        <w:spacing w:after="0" w:line="284"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at December 31, 2016 and 2017, and for the years then ended, as set forth in their report. We have included our consolidated financial statements in the prospectus and elsewhere in the registration statement in reliance on Ernst &amp; Young LLP’s report, given on their authority as experts in accounting and auditing.</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WHERE YOU CAN FIND ADDITIONAL INFORMATION</w:t>
      </w:r>
    </w:p>
    <w:p>
      <w:pPr>
        <w:spacing w:after="0" w:line="244" w:lineRule="exact"/>
        <w:rPr>
          <w:sz w:val="20"/>
          <w:szCs w:val="20"/>
          <w:color w:val="auto"/>
        </w:rPr>
      </w:pPr>
    </w:p>
    <w:p>
      <w:pPr>
        <w:ind w:left="180" w:right="60" w:firstLine="465"/>
        <w:spacing w:after="0" w:line="268"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You may obtain copies of this information by mail from the Public Reference Section of the SEC, 100 F Street, N.E., Room 1580, Washington, D.C. 20549, at prescribed rates or view them online. You may obtain information on the operation of the public reference rooms by calling the SEC at 1-800-SEC-0330. The SEC also maintains an Internet website that contains the registration statement of which this prospectus forms a part, as well as the exhibits thereto. These documents, along with future reports, proxy statements, and other information about us, are available at the SEC’s website, www.sec.gov.</w:t>
      </w:r>
    </w:p>
    <w:p>
      <w:pPr>
        <w:spacing w:after="0" w:line="196" w:lineRule="exact"/>
        <w:rPr>
          <w:sz w:val="20"/>
          <w:szCs w:val="20"/>
          <w:color w:val="auto"/>
        </w:rPr>
      </w:pPr>
    </w:p>
    <w:p>
      <w:pPr>
        <w:ind w:left="180" w:right="100" w:firstLine="465"/>
        <w:spacing w:after="0" w:line="254" w:lineRule="auto"/>
        <w:rPr>
          <w:sz w:val="20"/>
          <w:szCs w:val="20"/>
          <w:color w:val="auto"/>
        </w:rPr>
      </w:pPr>
      <w:r>
        <w:rPr>
          <w:rFonts w:ascii="Arial" w:cs="Arial" w:eastAsia="Arial" w:hAnsi="Arial"/>
          <w:sz w:val="19"/>
          <w:szCs w:val="19"/>
          <w:color w:val="auto"/>
        </w:rPr>
        <w:t>As a result of this offering, we will become subject to the information and reporting requirements of the Securities Exchange Act of 1934, as amended,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www.alector.com where these materials are available. Upon the completion of this offering, you may access these materials free of charge as soon as reasonably practicable after they are electronically filed with, or furnished to, the SEC. Information contained on, or that can be accessible through, our website is not a part of this prospectus and the inclusion of our website address in this prospectus is an inactive textual reference only.</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183</w:t>
      </w:r>
    </w:p>
    <w:p>
      <w:pPr>
        <w:sectPr>
          <w:pgSz w:w="12240" w:h="15840" w:orient="portrait"/>
          <w:cols w:equalWidth="0" w:num="1">
            <w:col w:w="11800"/>
          </w:cols>
          <w:pgMar w:left="120" w:top="336" w:right="320" w:bottom="1440" w:gutter="0" w:footer="0" w:header="0"/>
        </w:sectPr>
      </w:pPr>
    </w:p>
    <w:bookmarkStart w:id="191" w:name="page192"/>
    <w:bookmarkEnd w:id="19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auto"/>
        </w:rPr>
        <w:t>INDEX TO FINANCIAL STATEMENTS</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11160" w:type="dxa"/>
            <w:vAlign w:val="bottom"/>
            <w:gridSpan w:val="11"/>
            <w:vMerge w:val="restart"/>
          </w:tcPr>
          <w:p>
            <w:pPr>
              <w:spacing w:after="0"/>
              <w:rPr>
                <w:sz w:val="20"/>
                <w:szCs w:val="20"/>
                <w:color w:val="auto"/>
              </w:rPr>
            </w:pPr>
            <w:r>
              <w:rPr>
                <w:rFonts w:ascii="Arial" w:cs="Arial" w:eastAsia="Arial" w:hAnsi="Arial"/>
                <w:sz w:val="19"/>
                <w:szCs w:val="19"/>
                <w:b w:val="1"/>
                <w:bCs w:val="1"/>
                <w:color w:val="auto"/>
              </w:rPr>
              <w:t>Audited Consolidated Financial Statements for the Years Ended December 31, 2016 and 2017</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4"/>
              </w:rPr>
              <w:t>Page</w:t>
            </w:r>
          </w:p>
        </w:tc>
        <w:tc>
          <w:tcPr>
            <w:tcW w:w="0" w:type="dxa"/>
            <w:vAlign w:val="bottom"/>
          </w:tcPr>
          <w:p>
            <w:pPr>
              <w:spacing w:after="0"/>
              <w:rPr>
                <w:sz w:val="1"/>
                <w:szCs w:val="1"/>
                <w:color w:val="auto"/>
              </w:rPr>
            </w:pPr>
          </w:p>
        </w:tc>
      </w:tr>
      <w:tr>
        <w:trPr>
          <w:trHeight w:val="207"/>
        </w:trPr>
        <w:tc>
          <w:tcPr>
            <w:tcW w:w="11160" w:type="dxa"/>
            <w:vAlign w:val="bottom"/>
            <w:gridSpan w:val="11"/>
            <w:vMerge w:val="continue"/>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0000EE"/>
            </w:tcBorders>
            <w:gridSpan w:val="6"/>
          </w:tcPr>
          <w:p>
            <w:pPr>
              <w:spacing w:after="0"/>
              <w:rPr>
                <w:rFonts w:ascii="Arial" w:cs="Arial" w:eastAsia="Arial" w:hAnsi="Arial"/>
                <w:sz w:val="19"/>
                <w:szCs w:val="19"/>
                <w:color w:val="0000EE"/>
                <w:w w:val="91"/>
              </w:rPr>
            </w:pPr>
            <w:hyperlink w:anchor="page193">
              <w:r>
                <w:rPr>
                  <w:rFonts w:ascii="Arial" w:cs="Arial" w:eastAsia="Arial" w:hAnsi="Arial"/>
                  <w:sz w:val="19"/>
                  <w:szCs w:val="19"/>
                  <w:color w:val="0000EE"/>
                  <w:w w:val="91"/>
                </w:rPr>
                <w:t>Report of Independent Registered Public Accounting Firm</w:t>
              </w:r>
            </w:hyperlink>
          </w:p>
        </w:tc>
        <w:tc>
          <w:tcPr>
            <w:tcW w:w="6700" w:type="dxa"/>
            <w:vAlign w:val="bottom"/>
            <w:gridSpan w:val="5"/>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F-2</w:t>
            </w:r>
          </w:p>
        </w:tc>
        <w:tc>
          <w:tcPr>
            <w:tcW w:w="0" w:type="dxa"/>
            <w:vAlign w:val="bottom"/>
          </w:tcPr>
          <w:p>
            <w:pPr>
              <w:spacing w:after="0"/>
              <w:rPr>
                <w:sz w:val="1"/>
                <w:szCs w:val="1"/>
                <w:color w:val="auto"/>
              </w:rPr>
            </w:pPr>
          </w:p>
        </w:tc>
      </w:tr>
      <w:tr>
        <w:trPr>
          <w:trHeight w:val="265"/>
        </w:trPr>
        <w:tc>
          <w:tcPr>
            <w:tcW w:w="11160" w:type="dxa"/>
            <w:vAlign w:val="bottom"/>
            <w:gridSpan w:val="11"/>
          </w:tcPr>
          <w:p>
            <w:pPr>
              <w:spacing w:after="0"/>
              <w:rPr>
                <w:rFonts w:ascii="Arial" w:cs="Arial" w:eastAsia="Arial" w:hAnsi="Arial"/>
                <w:sz w:val="19"/>
                <w:szCs w:val="19"/>
                <w:color w:val="0000EE"/>
              </w:rPr>
            </w:pPr>
            <w:hyperlink w:anchor="page194">
              <w:r>
                <w:rPr>
                  <w:rFonts w:ascii="Arial" w:cs="Arial" w:eastAsia="Arial" w:hAnsi="Arial"/>
                  <w:sz w:val="19"/>
                  <w:szCs w:val="19"/>
                  <w:color w:val="0000EE"/>
                </w:rPr>
                <w:t>Consolidated Balance Sheets</w:t>
              </w:r>
            </w:hyperlink>
          </w:p>
        </w:tc>
        <w:tc>
          <w:tcPr>
            <w:tcW w:w="420" w:type="dxa"/>
            <w:vAlign w:val="bottom"/>
          </w:tcPr>
          <w:p>
            <w:pPr>
              <w:jc w:val="right"/>
              <w:spacing w:after="0"/>
              <w:rPr>
                <w:sz w:val="20"/>
                <w:szCs w:val="20"/>
                <w:color w:val="auto"/>
              </w:rPr>
            </w:pPr>
            <w:r>
              <w:rPr>
                <w:rFonts w:ascii="Arial" w:cs="Arial" w:eastAsia="Arial" w:hAnsi="Arial"/>
                <w:sz w:val="19"/>
                <w:szCs w:val="19"/>
                <w:color w:val="auto"/>
              </w:rPr>
              <w:t>F-3</w:t>
            </w:r>
          </w:p>
        </w:tc>
        <w:tc>
          <w:tcPr>
            <w:tcW w:w="0" w:type="dxa"/>
            <w:vAlign w:val="bottom"/>
          </w:tcPr>
          <w:p>
            <w:pPr>
              <w:spacing w:after="0"/>
              <w:rPr>
                <w:sz w:val="1"/>
                <w:szCs w:val="1"/>
                <w:color w:val="auto"/>
              </w:rPr>
            </w:pPr>
          </w:p>
        </w:tc>
      </w:tr>
      <w:tr>
        <w:trPr>
          <w:trHeight w:val="20"/>
        </w:trPr>
        <w:tc>
          <w:tcPr>
            <w:tcW w:w="22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1160" w:type="dxa"/>
            <w:vAlign w:val="bottom"/>
            <w:gridSpan w:val="11"/>
          </w:tcPr>
          <w:p>
            <w:pPr>
              <w:spacing w:after="0"/>
              <w:rPr>
                <w:rFonts w:ascii="Arial" w:cs="Arial" w:eastAsia="Arial" w:hAnsi="Arial"/>
                <w:sz w:val="19"/>
                <w:szCs w:val="19"/>
                <w:color w:val="0000EE"/>
              </w:rPr>
            </w:pPr>
            <w:hyperlink w:anchor="page195">
              <w:r>
                <w:rPr>
                  <w:rFonts w:ascii="Arial" w:cs="Arial" w:eastAsia="Arial" w:hAnsi="Arial"/>
                  <w:sz w:val="19"/>
                  <w:szCs w:val="19"/>
                  <w:color w:val="0000EE"/>
                </w:rPr>
                <w:t>Consolidated Statements of Operations and Comprehensive Loss</w:t>
              </w:r>
            </w:hyperlink>
          </w:p>
        </w:tc>
        <w:tc>
          <w:tcPr>
            <w:tcW w:w="420" w:type="dxa"/>
            <w:vAlign w:val="bottom"/>
          </w:tcPr>
          <w:p>
            <w:pPr>
              <w:jc w:val="right"/>
              <w:spacing w:after="0"/>
              <w:rPr>
                <w:sz w:val="20"/>
                <w:szCs w:val="20"/>
                <w:color w:val="auto"/>
              </w:rPr>
            </w:pPr>
            <w:r>
              <w:rPr>
                <w:rFonts w:ascii="Arial" w:cs="Arial" w:eastAsia="Arial" w:hAnsi="Arial"/>
                <w:sz w:val="19"/>
                <w:szCs w:val="19"/>
                <w:color w:val="auto"/>
              </w:rPr>
              <w:t>F-4</w:t>
            </w:r>
          </w:p>
        </w:tc>
        <w:tc>
          <w:tcPr>
            <w:tcW w:w="0" w:type="dxa"/>
            <w:vAlign w:val="bottom"/>
          </w:tcPr>
          <w:p>
            <w:pPr>
              <w:spacing w:after="0"/>
              <w:rPr>
                <w:sz w:val="1"/>
                <w:szCs w:val="1"/>
                <w:color w:val="auto"/>
              </w:rPr>
            </w:pPr>
          </w:p>
        </w:tc>
      </w:tr>
      <w:tr>
        <w:trPr>
          <w:trHeight w:val="20"/>
        </w:trPr>
        <w:tc>
          <w:tcPr>
            <w:tcW w:w="3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200" w:type="dxa"/>
            <w:vAlign w:val="bottom"/>
            <w:tcBorders>
              <w:bottom w:val="single" w:sz="8" w:color="0000EE"/>
            </w:tcBorders>
            <w:gridSpan w:val="10"/>
          </w:tcPr>
          <w:p>
            <w:pPr>
              <w:spacing w:after="0"/>
              <w:rPr>
                <w:rFonts w:ascii="Arial" w:cs="Arial" w:eastAsia="Arial" w:hAnsi="Arial"/>
                <w:sz w:val="19"/>
                <w:szCs w:val="19"/>
                <w:color w:val="0000EE"/>
                <w:w w:val="91"/>
              </w:rPr>
            </w:pPr>
            <w:hyperlink w:anchor="page196">
              <w:r>
                <w:rPr>
                  <w:rFonts w:ascii="Arial" w:cs="Arial" w:eastAsia="Arial" w:hAnsi="Arial"/>
                  <w:sz w:val="19"/>
                  <w:szCs w:val="19"/>
                  <w:color w:val="0000EE"/>
                  <w:w w:val="91"/>
                </w:rPr>
                <w:t>Consolidated Statement of Convertible Preferred Stock and Stockholders’ Deficit</w:t>
              </w:r>
            </w:hyperlink>
          </w:p>
        </w:tc>
        <w:tc>
          <w:tcPr>
            <w:tcW w:w="49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F-5</w:t>
            </w:r>
          </w:p>
        </w:tc>
        <w:tc>
          <w:tcPr>
            <w:tcW w:w="0" w:type="dxa"/>
            <w:vAlign w:val="bottom"/>
          </w:tcPr>
          <w:p>
            <w:pPr>
              <w:spacing w:after="0"/>
              <w:rPr>
                <w:sz w:val="1"/>
                <w:szCs w:val="1"/>
                <w:color w:val="auto"/>
              </w:rPr>
            </w:pPr>
          </w:p>
        </w:tc>
      </w:tr>
      <w:tr>
        <w:trPr>
          <w:trHeight w:val="265"/>
        </w:trPr>
        <w:tc>
          <w:tcPr>
            <w:tcW w:w="3040" w:type="dxa"/>
            <w:vAlign w:val="bottom"/>
            <w:tcBorders>
              <w:bottom w:val="single" w:sz="8" w:color="0000EE"/>
            </w:tcBorders>
            <w:gridSpan w:val="2"/>
          </w:tcPr>
          <w:p>
            <w:pPr>
              <w:spacing w:after="0"/>
              <w:rPr>
                <w:rFonts w:ascii="Arial" w:cs="Arial" w:eastAsia="Arial" w:hAnsi="Arial"/>
                <w:sz w:val="19"/>
                <w:szCs w:val="19"/>
                <w:color w:val="0000EE"/>
                <w:w w:val="89"/>
              </w:rPr>
            </w:pPr>
            <w:hyperlink w:anchor="page197">
              <w:r>
                <w:rPr>
                  <w:rFonts w:ascii="Arial" w:cs="Arial" w:eastAsia="Arial" w:hAnsi="Arial"/>
                  <w:sz w:val="19"/>
                  <w:szCs w:val="19"/>
                  <w:color w:val="0000EE"/>
                  <w:w w:val="89"/>
                </w:rPr>
                <w:t>Consolidated Statements of Cash Flows</w:t>
              </w:r>
            </w:hyperlink>
          </w:p>
        </w:tc>
        <w:tc>
          <w:tcPr>
            <w:tcW w:w="8120" w:type="dxa"/>
            <w:vAlign w:val="bottom"/>
            <w:gridSpan w:val="9"/>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F-6</w:t>
            </w:r>
          </w:p>
        </w:tc>
        <w:tc>
          <w:tcPr>
            <w:tcW w:w="0" w:type="dxa"/>
            <w:vAlign w:val="bottom"/>
          </w:tcPr>
          <w:p>
            <w:pPr>
              <w:spacing w:after="0"/>
              <w:rPr>
                <w:sz w:val="1"/>
                <w:szCs w:val="1"/>
                <w:color w:val="auto"/>
              </w:rPr>
            </w:pPr>
          </w:p>
        </w:tc>
      </w:tr>
      <w:tr>
        <w:trPr>
          <w:trHeight w:val="265"/>
        </w:trPr>
        <w:tc>
          <w:tcPr>
            <w:tcW w:w="11160" w:type="dxa"/>
            <w:vAlign w:val="bottom"/>
            <w:gridSpan w:val="11"/>
          </w:tcPr>
          <w:p>
            <w:pPr>
              <w:spacing w:after="0"/>
              <w:rPr>
                <w:rFonts w:ascii="Arial" w:cs="Arial" w:eastAsia="Arial" w:hAnsi="Arial"/>
                <w:sz w:val="19"/>
                <w:szCs w:val="19"/>
                <w:color w:val="0000EE"/>
              </w:rPr>
            </w:pPr>
            <w:hyperlink w:anchor="page198">
              <w:r>
                <w:rPr>
                  <w:rFonts w:ascii="Arial" w:cs="Arial" w:eastAsia="Arial" w:hAnsi="Arial"/>
                  <w:sz w:val="19"/>
                  <w:szCs w:val="19"/>
                  <w:color w:val="0000EE"/>
                </w:rPr>
                <w:t>Notes to Consolidated Financial Statements</w:t>
              </w:r>
            </w:hyperlink>
          </w:p>
        </w:tc>
        <w:tc>
          <w:tcPr>
            <w:tcW w:w="420" w:type="dxa"/>
            <w:vAlign w:val="bottom"/>
          </w:tcPr>
          <w:p>
            <w:pPr>
              <w:jc w:val="right"/>
              <w:spacing w:after="0"/>
              <w:rPr>
                <w:sz w:val="20"/>
                <w:szCs w:val="20"/>
                <w:color w:val="auto"/>
              </w:rPr>
            </w:pPr>
            <w:r>
              <w:rPr>
                <w:rFonts w:ascii="Arial" w:cs="Arial" w:eastAsia="Arial" w:hAnsi="Arial"/>
                <w:sz w:val="19"/>
                <w:szCs w:val="19"/>
                <w:color w:val="auto"/>
              </w:rPr>
              <w:t>F-7</w:t>
            </w:r>
          </w:p>
        </w:tc>
        <w:tc>
          <w:tcPr>
            <w:tcW w:w="0" w:type="dxa"/>
            <w:vAlign w:val="bottom"/>
          </w:tcPr>
          <w:p>
            <w:pPr>
              <w:spacing w:after="0"/>
              <w:rPr>
                <w:sz w:val="1"/>
                <w:szCs w:val="1"/>
                <w:color w:val="auto"/>
              </w:rPr>
            </w:pPr>
          </w:p>
        </w:tc>
      </w:tr>
      <w:tr>
        <w:trPr>
          <w:trHeight w:val="20"/>
        </w:trPr>
        <w:tc>
          <w:tcPr>
            <w:tcW w:w="31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11160" w:type="dxa"/>
            <w:vAlign w:val="bottom"/>
            <w:gridSpan w:val="11"/>
          </w:tcPr>
          <w:p>
            <w:pPr>
              <w:spacing w:after="0"/>
              <w:rPr>
                <w:sz w:val="20"/>
                <w:szCs w:val="20"/>
                <w:color w:val="auto"/>
              </w:rPr>
            </w:pPr>
            <w:r>
              <w:rPr>
                <w:rFonts w:ascii="Arial" w:cs="Arial" w:eastAsia="Arial" w:hAnsi="Arial"/>
                <w:sz w:val="19"/>
                <w:szCs w:val="19"/>
                <w:b w:val="1"/>
                <w:bCs w:val="1"/>
                <w:color w:val="auto"/>
              </w:rPr>
              <w:t>Unaudited Interim Condensed Consolidated Financial Statements for the Nine Months Ended September 30, 2017 and 2018</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0000EE"/>
            </w:tcBorders>
            <w:gridSpan w:val="3"/>
          </w:tcPr>
          <w:p>
            <w:pPr>
              <w:spacing w:after="0"/>
              <w:rPr>
                <w:rFonts w:ascii="Arial" w:cs="Arial" w:eastAsia="Arial" w:hAnsi="Arial"/>
                <w:sz w:val="19"/>
                <w:szCs w:val="19"/>
                <w:color w:val="0000EE"/>
                <w:w w:val="87"/>
              </w:rPr>
            </w:pPr>
            <w:hyperlink w:anchor="page217">
              <w:r>
                <w:rPr>
                  <w:rFonts w:ascii="Arial" w:cs="Arial" w:eastAsia="Arial" w:hAnsi="Arial"/>
                  <w:sz w:val="19"/>
                  <w:szCs w:val="19"/>
                  <w:color w:val="0000EE"/>
                  <w:w w:val="87"/>
                </w:rPr>
                <w:t>Condensed Consolidated Balance Sheets</w:t>
              </w:r>
            </w:hyperlink>
          </w:p>
        </w:tc>
        <w:tc>
          <w:tcPr>
            <w:tcW w:w="8060" w:type="dxa"/>
            <w:vAlign w:val="bottom"/>
            <w:gridSpan w:val="8"/>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F-26</w:t>
            </w:r>
          </w:p>
        </w:tc>
        <w:tc>
          <w:tcPr>
            <w:tcW w:w="0" w:type="dxa"/>
            <w:vAlign w:val="bottom"/>
          </w:tcPr>
          <w:p>
            <w:pPr>
              <w:spacing w:after="0"/>
              <w:rPr>
                <w:sz w:val="1"/>
                <w:szCs w:val="1"/>
                <w:color w:val="auto"/>
              </w:rPr>
            </w:pPr>
          </w:p>
        </w:tc>
      </w:tr>
      <w:tr>
        <w:trPr>
          <w:trHeight w:val="265"/>
        </w:trPr>
        <w:tc>
          <w:tcPr>
            <w:tcW w:w="5840" w:type="dxa"/>
            <w:vAlign w:val="bottom"/>
            <w:tcBorders>
              <w:bottom w:val="single" w:sz="8" w:color="0000EE"/>
            </w:tcBorders>
            <w:gridSpan w:val="9"/>
          </w:tcPr>
          <w:p>
            <w:pPr>
              <w:spacing w:after="0"/>
              <w:rPr>
                <w:rFonts w:ascii="Arial" w:cs="Arial" w:eastAsia="Arial" w:hAnsi="Arial"/>
                <w:sz w:val="19"/>
                <w:szCs w:val="19"/>
                <w:color w:val="0000EE"/>
                <w:w w:val="88"/>
              </w:rPr>
            </w:pPr>
            <w:hyperlink w:anchor="page218">
              <w:r>
                <w:rPr>
                  <w:rFonts w:ascii="Arial" w:cs="Arial" w:eastAsia="Arial" w:hAnsi="Arial"/>
                  <w:sz w:val="19"/>
                  <w:szCs w:val="19"/>
                  <w:color w:val="0000EE"/>
                  <w:w w:val="88"/>
                </w:rPr>
                <w:t>Condensed Consolidated Statements of Operations and Comprehensive Loss</w:t>
              </w:r>
            </w:hyperlink>
          </w:p>
        </w:tc>
        <w:tc>
          <w:tcPr>
            <w:tcW w:w="5320" w:type="dxa"/>
            <w:vAlign w:val="bottom"/>
            <w:gridSpan w:val="2"/>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F-27</w:t>
            </w:r>
          </w:p>
        </w:tc>
        <w:tc>
          <w:tcPr>
            <w:tcW w:w="0" w:type="dxa"/>
            <w:vAlign w:val="bottom"/>
          </w:tcPr>
          <w:p>
            <w:pPr>
              <w:spacing w:after="0"/>
              <w:rPr>
                <w:sz w:val="1"/>
                <w:szCs w:val="1"/>
                <w:color w:val="auto"/>
              </w:rPr>
            </w:pPr>
          </w:p>
        </w:tc>
      </w:tr>
      <w:tr>
        <w:trPr>
          <w:trHeight w:val="265"/>
        </w:trPr>
        <w:tc>
          <w:tcPr>
            <w:tcW w:w="11160" w:type="dxa"/>
            <w:vAlign w:val="bottom"/>
            <w:gridSpan w:val="11"/>
          </w:tcPr>
          <w:p>
            <w:pPr>
              <w:spacing w:after="0"/>
              <w:rPr>
                <w:rFonts w:ascii="Arial" w:cs="Arial" w:eastAsia="Arial" w:hAnsi="Arial"/>
                <w:sz w:val="19"/>
                <w:szCs w:val="19"/>
                <w:color w:val="0000EE"/>
              </w:rPr>
            </w:pPr>
            <w:hyperlink w:anchor="page219">
              <w:r>
                <w:rPr>
                  <w:rFonts w:ascii="Arial" w:cs="Arial" w:eastAsia="Arial" w:hAnsi="Arial"/>
                  <w:sz w:val="19"/>
                  <w:szCs w:val="19"/>
                  <w:color w:val="0000EE"/>
                </w:rPr>
                <w:t>Condensed Consolidated Statements of Cash Flows</w:t>
              </w:r>
            </w:hyperlink>
          </w:p>
        </w:tc>
        <w:tc>
          <w:tcPr>
            <w:tcW w:w="420" w:type="dxa"/>
            <w:vAlign w:val="bottom"/>
          </w:tcPr>
          <w:p>
            <w:pPr>
              <w:jc w:val="right"/>
              <w:spacing w:after="0"/>
              <w:rPr>
                <w:sz w:val="20"/>
                <w:szCs w:val="20"/>
                <w:color w:val="auto"/>
              </w:rPr>
            </w:pPr>
            <w:r>
              <w:rPr>
                <w:rFonts w:ascii="Arial" w:cs="Arial" w:eastAsia="Arial" w:hAnsi="Arial"/>
                <w:sz w:val="19"/>
                <w:szCs w:val="19"/>
                <w:color w:val="auto"/>
              </w:rPr>
              <w:t>F-28</w:t>
            </w:r>
          </w:p>
        </w:tc>
        <w:tc>
          <w:tcPr>
            <w:tcW w:w="0" w:type="dxa"/>
            <w:vAlign w:val="bottom"/>
          </w:tcPr>
          <w:p>
            <w:pPr>
              <w:spacing w:after="0"/>
              <w:rPr>
                <w:sz w:val="1"/>
                <w:szCs w:val="1"/>
                <w:color w:val="auto"/>
              </w:rPr>
            </w:pPr>
          </w:p>
        </w:tc>
      </w:tr>
      <w:tr>
        <w:trPr>
          <w:trHeight w:val="20"/>
        </w:trPr>
        <w:tc>
          <w:tcPr>
            <w:tcW w:w="3920" w:type="dxa"/>
            <w:vAlign w:val="bottom"/>
            <w:gridSpan w:val="5"/>
            <w:shd w:val="clear" w:color="auto" w:fill="0000EE"/>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1160" w:type="dxa"/>
            <w:vAlign w:val="bottom"/>
            <w:gridSpan w:val="11"/>
          </w:tcPr>
          <w:p>
            <w:pPr>
              <w:spacing w:after="0"/>
              <w:rPr>
                <w:rFonts w:ascii="Arial" w:cs="Arial" w:eastAsia="Arial" w:hAnsi="Arial"/>
                <w:sz w:val="19"/>
                <w:szCs w:val="19"/>
                <w:color w:val="0000EE"/>
              </w:rPr>
            </w:pPr>
            <w:hyperlink w:anchor="page220">
              <w:r>
                <w:rPr>
                  <w:rFonts w:ascii="Arial" w:cs="Arial" w:eastAsia="Arial" w:hAnsi="Arial"/>
                  <w:sz w:val="19"/>
                  <w:szCs w:val="19"/>
                  <w:color w:val="0000EE"/>
                </w:rPr>
                <w:t>Notes to Unaudited Interim Condensed Consolidated Financial Statements</w:t>
              </w:r>
            </w:hyperlink>
          </w:p>
        </w:tc>
        <w:tc>
          <w:tcPr>
            <w:tcW w:w="420" w:type="dxa"/>
            <w:vAlign w:val="bottom"/>
          </w:tcPr>
          <w:p>
            <w:pPr>
              <w:jc w:val="right"/>
              <w:spacing w:after="0"/>
              <w:rPr>
                <w:sz w:val="20"/>
                <w:szCs w:val="20"/>
                <w:color w:val="auto"/>
              </w:rPr>
            </w:pPr>
            <w:r>
              <w:rPr>
                <w:rFonts w:ascii="Arial" w:cs="Arial" w:eastAsia="Arial" w:hAnsi="Arial"/>
                <w:sz w:val="19"/>
                <w:szCs w:val="19"/>
                <w:color w:val="auto"/>
              </w:rPr>
              <w:t>F-29</w:t>
            </w:r>
          </w:p>
        </w:tc>
        <w:tc>
          <w:tcPr>
            <w:tcW w:w="0" w:type="dxa"/>
            <w:vAlign w:val="bottom"/>
          </w:tcPr>
          <w:p>
            <w:pPr>
              <w:spacing w:after="0"/>
              <w:rPr>
                <w:sz w:val="1"/>
                <w:szCs w:val="1"/>
                <w:color w:val="auto"/>
              </w:rPr>
            </w:pPr>
          </w:p>
        </w:tc>
      </w:tr>
      <w:tr>
        <w:trPr>
          <w:trHeight w:val="407"/>
        </w:trPr>
        <w:tc>
          <w:tcPr>
            <w:tcW w:w="220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5500" w:type="dxa"/>
            <w:vAlign w:val="bottom"/>
            <w:gridSpan w:val="3"/>
          </w:tcPr>
          <w:p>
            <w:pPr>
              <w:ind w:left="20"/>
              <w:spacing w:after="0"/>
              <w:rPr>
                <w:sz w:val="20"/>
                <w:szCs w:val="20"/>
                <w:color w:val="auto"/>
              </w:rPr>
            </w:pPr>
            <w:r>
              <w:rPr>
                <w:rFonts w:ascii="Arial" w:cs="Arial" w:eastAsia="Arial" w:hAnsi="Arial"/>
                <w:sz w:val="19"/>
                <w:szCs w:val="19"/>
                <w:color w:val="auto"/>
              </w:rPr>
              <w:t>F-1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760"/>
          </w:cols>
          <w:pgMar w:left="120" w:top="337" w:right="360" w:bottom="1440" w:gutter="0" w:footer="0" w:header="0"/>
        </w:sectPr>
      </w:pPr>
    </w:p>
    <w:bookmarkStart w:id="192" w:name="page193"/>
    <w:bookmarkEnd w:id="19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2740"/>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To the Stockholders and the Board of Directors of Alector, Inc.</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Opinion on the Financial Statements</w:t>
      </w:r>
    </w:p>
    <w:p>
      <w:pPr>
        <w:spacing w:after="0" w:line="130" w:lineRule="exact"/>
        <w:rPr>
          <w:sz w:val="20"/>
          <w:szCs w:val="20"/>
          <w:color w:val="auto"/>
        </w:rPr>
      </w:pPr>
    </w:p>
    <w:p>
      <w:pPr>
        <w:ind w:left="180" w:right="80"/>
        <w:spacing w:after="0" w:line="256" w:lineRule="auto"/>
        <w:rPr>
          <w:sz w:val="20"/>
          <w:szCs w:val="20"/>
          <w:color w:val="auto"/>
        </w:rPr>
      </w:pPr>
      <w:r>
        <w:rPr>
          <w:rFonts w:ascii="Arial" w:cs="Arial" w:eastAsia="Arial" w:hAnsi="Arial"/>
          <w:sz w:val="19"/>
          <w:szCs w:val="19"/>
          <w:color w:val="auto"/>
        </w:rPr>
        <w:t>We have audited the accompanying consolidated balance sheets of Alector, Inc. (the “Company”) as of December 31, 2016 and 2017, the related consolidated statements of operations and comprehensive loss,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2016 and 2017, and the results of its operations and its cash flows for each of the years then ended, in conformity with U.S. generally accepted accounting principles.</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Basis for Opinion</w:t>
      </w:r>
    </w:p>
    <w:p>
      <w:pPr>
        <w:spacing w:after="0" w:line="130" w:lineRule="exact"/>
        <w:rPr>
          <w:sz w:val="20"/>
          <w:szCs w:val="20"/>
          <w:color w:val="auto"/>
        </w:rPr>
      </w:pPr>
    </w:p>
    <w:p>
      <w:pPr>
        <w:ind w:left="180" w:right="20"/>
        <w:spacing w:after="0" w:line="259"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ind w:left="180"/>
        <w:spacing w:after="0" w:line="256"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4" w:lineRule="exact"/>
        <w:rPr>
          <w:sz w:val="20"/>
          <w:szCs w:val="20"/>
          <w:color w:val="auto"/>
        </w:rPr>
      </w:pPr>
    </w:p>
    <w:p>
      <w:pPr>
        <w:ind w:left="180"/>
        <w:spacing w:after="0" w:line="298"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/s/ Ernst &amp; Young LLP</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We have served as the Company’s auditor since 2017.</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9"/>
          <w:szCs w:val="19"/>
          <w:color w:val="auto"/>
        </w:rPr>
        <w:t>San Jose, California</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October 12, 2018</w:t>
      </w:r>
    </w:p>
    <w:p>
      <w:pPr>
        <w:spacing w:after="0" w:line="15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F-2</w:t>
      </w:r>
    </w:p>
    <w:p>
      <w:pPr>
        <w:sectPr>
          <w:pgSz w:w="12240" w:h="15840" w:orient="portrait"/>
          <w:cols w:equalWidth="0" w:num="1">
            <w:col w:w="11780"/>
          </w:cols>
          <w:pgMar w:left="120" w:top="337" w:right="340" w:bottom="1440" w:gutter="0" w:footer="0" w:header="0"/>
        </w:sectPr>
      </w:pPr>
    </w:p>
    <w:bookmarkStart w:id="193" w:name="page194"/>
    <w:bookmarkEnd w:id="19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Consolidated Balance Sheets</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i w:val="1"/>
          <w:iCs w:val="1"/>
          <w:color w:val="auto"/>
        </w:rPr>
        <w:t>(In thousands, except member unit, share, and per share data)</w:t>
      </w:r>
    </w:p>
    <w:p>
      <w:pPr>
        <w:spacing w:after="0" w:line="244"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5"/>
          </w:tcPr>
          <w:p>
            <w:pPr>
              <w:jc w:val="right"/>
              <w:ind w:right="52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6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75"/>
              <w:spacing w:after="0" w:line="151" w:lineRule="exact"/>
              <w:rPr>
                <w:sz w:val="20"/>
                <w:szCs w:val="20"/>
                <w:color w:val="auto"/>
              </w:rPr>
            </w:pPr>
            <w:r>
              <w:rPr>
                <w:rFonts w:ascii="Arial" w:cs="Arial" w:eastAsia="Arial" w:hAnsi="Arial"/>
                <w:sz w:val="15"/>
                <w:szCs w:val="15"/>
                <w:b w:val="1"/>
                <w:bCs w:val="1"/>
                <w:color w:val="auto"/>
              </w:rPr>
              <w:t>2016</w:t>
            </w:r>
          </w:p>
        </w:tc>
        <w:tc>
          <w:tcPr>
            <w:tcW w:w="44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5"/>
              <w:spacing w:after="0" w:line="151" w:lineRule="exact"/>
              <w:rPr>
                <w:sz w:val="20"/>
                <w:szCs w:val="20"/>
                <w:color w:val="auto"/>
              </w:rPr>
            </w:pPr>
            <w:r>
              <w:rPr>
                <w:rFonts w:ascii="Arial" w:cs="Arial" w:eastAsia="Arial" w:hAnsi="Arial"/>
                <w:sz w:val="15"/>
                <w:szCs w:val="15"/>
                <w:b w:val="1"/>
                <w:bCs w:val="1"/>
                <w:color w:val="auto"/>
              </w:rPr>
              <w:t>2017</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6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50,838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tcPr>
          <w:p>
            <w:pPr>
              <w:ind w:left="320"/>
              <w:spacing w:after="0"/>
              <w:rPr>
                <w:sz w:val="20"/>
                <w:szCs w:val="20"/>
                <w:color w:val="auto"/>
              </w:rPr>
            </w:pPr>
            <w:r>
              <w:rPr>
                <w:rFonts w:ascii="Arial" w:cs="Arial" w:eastAsia="Arial" w:hAnsi="Arial"/>
                <w:sz w:val="17"/>
                <w:szCs w:val="17"/>
                <w:color w:val="auto"/>
              </w:rPr>
              <w:t>Receivable from collaboration partner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receivable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0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current 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51,191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232,974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2,536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7"/>
                <w:szCs w:val="17"/>
                <w:color w:val="auto"/>
              </w:rPr>
              <w:t>Other assets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54,111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236,060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CONVERTIBLE PREFERRED STOCK, AND STOCKHOLDERS’ DEFICIT</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6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tcPr>
          <w:p>
            <w:pPr>
              <w:ind w:left="320"/>
              <w:spacing w:after="0"/>
              <w:rPr>
                <w:sz w:val="20"/>
                <w:szCs w:val="20"/>
                <w:color w:val="auto"/>
              </w:rPr>
            </w:pPr>
            <w:r>
              <w:rPr>
                <w:rFonts w:ascii="Arial" w:cs="Arial" w:eastAsia="Arial" w:hAnsi="Arial"/>
                <w:sz w:val="17"/>
                <w:szCs w:val="17"/>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1,152</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clinical supply costs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tcPr>
          <w:p>
            <w:pPr>
              <w:ind w:left="320"/>
              <w:spacing w:after="0"/>
              <w:rPr>
                <w:sz w:val="20"/>
                <w:szCs w:val="20"/>
                <w:color w:val="auto"/>
              </w:rPr>
            </w:pPr>
            <w:r>
              <w:rPr>
                <w:rFonts w:ascii="Arial" w:cs="Arial" w:eastAsia="Arial" w:hAnsi="Arial"/>
                <w:sz w:val="17"/>
                <w:szCs w:val="17"/>
                <w:color w:val="auto"/>
              </w:rPr>
              <w:t>Accrued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358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revenue, current portion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00" w:type="dxa"/>
            <w:vAlign w:val="bottom"/>
          </w:tcPr>
          <w:p>
            <w:pPr>
              <w:ind w:left="320"/>
              <w:spacing w:after="0"/>
              <w:rPr>
                <w:sz w:val="20"/>
                <w:szCs w:val="20"/>
                <w:color w:val="auto"/>
              </w:rPr>
            </w:pPr>
            <w:r>
              <w:rPr>
                <w:rFonts w:ascii="Arial" w:cs="Arial" w:eastAsia="Arial" w:hAnsi="Arial"/>
                <w:sz w:val="17"/>
                <w:szCs w:val="17"/>
                <w:color w:val="auto"/>
              </w:rPr>
              <w:t>Deferred rent, current portion</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current liabilities</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1,510</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7"/>
                <w:szCs w:val="17"/>
                <w:color w:val="auto"/>
              </w:rPr>
              <w:t>Deferred revenue, long-term portion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183,150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Deferred rent, long-term portion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1,533</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210,608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620" w:type="dxa"/>
            <w:vAlign w:val="bottom"/>
            <w:gridSpan w:val="2"/>
          </w:tcPr>
          <w:p>
            <w:pPr>
              <w:spacing w:after="0"/>
              <w:rPr>
                <w:sz w:val="20"/>
                <w:szCs w:val="20"/>
                <w:color w:val="auto"/>
              </w:rPr>
            </w:pPr>
            <w:r>
              <w:rPr>
                <w:rFonts w:ascii="Arial" w:cs="Arial" w:eastAsia="Arial" w:hAnsi="Arial"/>
                <w:sz w:val="17"/>
                <w:szCs w:val="17"/>
                <w:color w:val="auto"/>
              </w:rPr>
              <w:t>Commitments and Contingencies (Note 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w w:val="92"/>
              </w:rPr>
              <w:t>Preferred units; 36,001,203 and zero units issued and outstanding as of December 31, 2016 and 2017, respectively; liquidation preference</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of $77,804 as of December 31, 2016</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77,485</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8"/>
        </w:trPr>
        <w:tc>
          <w:tcPr>
            <w:tcW w:w="9620" w:type="dxa"/>
            <w:vAlign w:val="bottom"/>
            <w:gridSpan w:val="2"/>
          </w:tcPr>
          <w:p>
            <w:pPr>
              <w:spacing w:after="0"/>
              <w:rPr>
                <w:sz w:val="20"/>
                <w:szCs w:val="20"/>
                <w:color w:val="auto"/>
              </w:rPr>
            </w:pPr>
            <w:r>
              <w:rPr>
                <w:rFonts w:ascii="Arial" w:cs="Arial" w:eastAsia="Arial" w:hAnsi="Arial"/>
                <w:sz w:val="17"/>
                <w:szCs w:val="17"/>
                <w:color w:val="auto"/>
                <w:w w:val="93"/>
              </w:rPr>
              <w:t>Convertible preferred stock; $0.0001 par value; zero and 36,001,203 shares authorized as of December 31, 2016 and 2017, respectively;</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tcPr>
          <w:p>
            <w:pPr>
              <w:ind w:left="160"/>
              <w:spacing w:after="0"/>
              <w:rPr>
                <w:sz w:val="20"/>
                <w:szCs w:val="20"/>
                <w:color w:val="auto"/>
              </w:rPr>
            </w:pPr>
            <w:r>
              <w:rPr>
                <w:rFonts w:ascii="Arial" w:cs="Arial" w:eastAsia="Arial" w:hAnsi="Arial"/>
                <w:sz w:val="17"/>
                <w:szCs w:val="17"/>
                <w:color w:val="auto"/>
                <w:w w:val="92"/>
              </w:rPr>
              <w:t>zero and 36,001,203 shares issued and outstanding as of December 31, 2016 and 2017, respectively; liquidation preference of $77,804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160"/>
              <w:spacing w:after="0"/>
              <w:rPr>
                <w:sz w:val="20"/>
                <w:szCs w:val="20"/>
                <w:color w:val="auto"/>
              </w:rPr>
            </w:pPr>
            <w:r>
              <w:rPr>
                <w:rFonts w:ascii="Arial" w:cs="Arial" w:eastAsia="Arial" w:hAnsi="Arial"/>
                <w:sz w:val="17"/>
                <w:szCs w:val="17"/>
                <w:color w:val="auto"/>
              </w:rPr>
              <w:t>as of December 31, 2017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77,485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STOCKHOLDERS’ DEFICIT: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600" w:type="dxa"/>
            <w:vAlign w:val="bottom"/>
          </w:tcPr>
          <w:p>
            <w:pPr>
              <w:spacing w:after="0"/>
              <w:rPr>
                <w:sz w:val="20"/>
                <w:szCs w:val="20"/>
                <w:color w:val="auto"/>
              </w:rPr>
            </w:pPr>
            <w:r>
              <w:rPr>
                <w:rFonts w:ascii="Arial" w:cs="Arial" w:eastAsia="Arial" w:hAnsi="Arial"/>
                <w:sz w:val="17"/>
                <w:szCs w:val="17"/>
                <w:color w:val="auto"/>
                <w:w w:val="92"/>
              </w:rPr>
              <w:t>Common units, no par value; 13,550,000 and zero units authorized as of December 31, 2016 and 2017, respectively; 11,517,585 and zero</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160"/>
              <w:spacing w:after="0"/>
              <w:rPr>
                <w:sz w:val="20"/>
                <w:szCs w:val="20"/>
                <w:color w:val="auto"/>
              </w:rPr>
            </w:pPr>
            <w:r>
              <w:rPr>
                <w:rFonts w:ascii="Arial" w:cs="Arial" w:eastAsia="Arial" w:hAnsi="Arial"/>
                <w:sz w:val="17"/>
                <w:szCs w:val="17"/>
                <w:color w:val="auto"/>
              </w:rPr>
              <w:t>units issued and outstanding as of December 31, 2016 and 2017, respectively</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w w:val="94"/>
              </w:rPr>
              <w:t>Common stock, $0.0001 par value; zero and 52,000,000 shares authorized as of December 31, 2016 and 2017, respectively; zero and</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13,776,153 shares issued and outstanding as of December 31, 2016 and 2017, respectively</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4,800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88"/>
              </w:rPr>
              <w:t>(29,707)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4"/>
              </w:rPr>
              <w:t>(62,187)</w:t>
            </w: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spacing w:after="0"/>
              <w:rPr>
                <w:sz w:val="20"/>
                <w:szCs w:val="20"/>
                <w:color w:val="auto"/>
              </w:rPr>
            </w:pPr>
            <w:r>
              <w:rPr>
                <w:rFonts w:ascii="Arial" w:cs="Arial" w:eastAsia="Arial" w:hAnsi="Arial"/>
                <w:sz w:val="17"/>
                <w:szCs w:val="17"/>
                <w:color w:val="auto"/>
              </w:rPr>
              <w:t>TOTAL STOCKHOLDERS’ DEFICIT</w:t>
            </w: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96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w w:val="88"/>
              </w:rPr>
              <w:t>(24,907)</w:t>
            </w:r>
          </w:p>
        </w:tc>
        <w:tc>
          <w:tcPr>
            <w:tcW w:w="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(52,033)</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9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CONVERTIBLE PREFERRED STOCK, AND STOCKHOLDERS’ DEFICIT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54,111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236,060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jc w:val="center"/>
        <w:ind w:right="-179"/>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F-3</w:t>
      </w:r>
    </w:p>
    <w:p>
      <w:pPr>
        <w:sectPr>
          <w:pgSz w:w="12240" w:h="15840" w:orient="portrait"/>
          <w:cols w:equalWidth="0" w:num="1">
            <w:col w:w="11820"/>
          </w:cols>
          <w:pgMar w:left="120" w:top="336" w:right="300" w:bottom="1440" w:gutter="0" w:footer="0" w:header="0"/>
        </w:sectPr>
      </w:pPr>
    </w:p>
    <w:bookmarkStart w:id="194" w:name="page195"/>
    <w:bookmarkEnd w:id="19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Consolidated Statements of Operations and Comprehensive Loss</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i w:val="1"/>
          <w:iCs w:val="1"/>
          <w:color w:val="auto"/>
        </w:rPr>
        <w:t>(In thousands)</w:t>
      </w:r>
    </w:p>
    <w:p>
      <w:pPr>
        <w:spacing w:after="0" w:line="244"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5"/>
          </w:tcPr>
          <w:p>
            <w:pPr>
              <w:jc w:val="right"/>
              <w:ind w:right="56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9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08"/>
              <w:spacing w:after="0" w:line="151" w:lineRule="exact"/>
              <w:rPr>
                <w:sz w:val="20"/>
                <w:szCs w:val="20"/>
                <w:color w:val="auto"/>
              </w:rPr>
            </w:pPr>
            <w:r>
              <w:rPr>
                <w:rFonts w:ascii="Arial" w:cs="Arial" w:eastAsia="Arial" w:hAnsi="Arial"/>
                <w:sz w:val="15"/>
                <w:szCs w:val="15"/>
                <w:b w:val="1"/>
                <w:bCs w:val="1"/>
                <w:color w:val="auto"/>
              </w:rPr>
              <w:t>2016</w:t>
            </w:r>
          </w:p>
        </w:tc>
        <w:tc>
          <w:tcPr>
            <w:tcW w:w="7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26"/>
              <w:spacing w:after="0" w:line="151" w:lineRule="exact"/>
              <w:rPr>
                <w:sz w:val="20"/>
                <w:szCs w:val="20"/>
                <w:color w:val="auto"/>
              </w:rPr>
            </w:pPr>
            <w:r>
              <w:rPr>
                <w:rFonts w:ascii="Arial" w:cs="Arial" w:eastAsia="Arial" w:hAnsi="Arial"/>
                <w:sz w:val="15"/>
                <w:szCs w:val="15"/>
                <w:b w:val="1"/>
                <w:bCs w:val="1"/>
                <w:color w:val="auto"/>
              </w:rPr>
              <w:t>2017</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shd w:val="clear" w:color="auto" w:fill="CCEEFF"/>
          </w:tcPr>
          <w:p>
            <w:pPr>
              <w:spacing w:after="0" w:line="208" w:lineRule="exact"/>
              <w:rPr>
                <w:sz w:val="20"/>
                <w:szCs w:val="20"/>
                <w:color w:val="auto"/>
              </w:rPr>
            </w:pPr>
            <w:r>
              <w:rPr>
                <w:rFonts w:ascii="Arial" w:cs="Arial" w:eastAsia="Arial" w:hAnsi="Arial"/>
                <w:sz w:val="19"/>
                <w:szCs w:val="19"/>
                <w:color w:val="auto"/>
              </w:rPr>
              <w:t>Revenue: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Pr>
          <w:p>
            <w:pPr>
              <w:ind w:left="360"/>
              <w:spacing w:after="0"/>
              <w:rPr>
                <w:sz w:val="20"/>
                <w:szCs w:val="20"/>
                <w:color w:val="auto"/>
              </w:rPr>
            </w:pPr>
            <w:r>
              <w:rPr>
                <w:rFonts w:ascii="Arial" w:cs="Arial" w:eastAsia="Arial" w:hAnsi="Arial"/>
                <w:sz w:val="19"/>
                <w:szCs w:val="19"/>
                <w:color w:val="auto"/>
              </w:rPr>
              <w:t>Collaboration revenue</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20" w:type="dxa"/>
            <w:vAlign w:val="bottom"/>
            <w:gridSpan w:val="2"/>
          </w:tcPr>
          <w:p>
            <w:pPr>
              <w:jc w:val="right"/>
              <w:ind w:right="740"/>
              <w:spacing w:after="0"/>
              <w:rPr>
                <w:sz w:val="20"/>
                <w:szCs w:val="20"/>
                <w:color w:val="auto"/>
              </w:rPr>
            </w:pPr>
            <w:r>
              <w:rPr>
                <w:rFonts w:ascii="Arial" w:cs="Arial" w:eastAsia="Arial" w:hAnsi="Arial"/>
                <w:sz w:val="19"/>
                <w:szCs w:val="19"/>
                <w:color w:val="auto"/>
              </w:rPr>
              <w:t>—</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2,872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shd w:val="clear" w:color="auto" w:fill="CCEEFF"/>
          </w:tcPr>
          <w:p>
            <w:pPr>
              <w:ind w:left="360"/>
              <w:spacing w:after="0"/>
              <w:rPr>
                <w:sz w:val="20"/>
                <w:szCs w:val="20"/>
                <w:color w:val="auto"/>
              </w:rPr>
            </w:pPr>
            <w:r>
              <w:rPr>
                <w:rFonts w:ascii="Arial" w:cs="Arial" w:eastAsia="Arial" w:hAnsi="Arial"/>
                <w:sz w:val="19"/>
                <w:szCs w:val="19"/>
                <w:color w:val="auto"/>
              </w:rPr>
              <w:t>Grant revenue</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416</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863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920" w:type="dxa"/>
            <w:vAlign w:val="bottom"/>
          </w:tcPr>
          <w:p>
            <w:pPr>
              <w:ind w:left="740"/>
              <w:spacing w:after="0"/>
              <w:rPr>
                <w:sz w:val="20"/>
                <w:szCs w:val="20"/>
                <w:color w:val="auto"/>
              </w:rPr>
            </w:pPr>
            <w:r>
              <w:rPr>
                <w:rFonts w:ascii="Arial" w:cs="Arial" w:eastAsia="Arial" w:hAnsi="Arial"/>
                <w:sz w:val="19"/>
                <w:szCs w:val="19"/>
                <w:color w:val="auto"/>
              </w:rPr>
              <w:t>Total revenue</w:t>
            </w: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416</w:t>
            </w:r>
          </w:p>
        </w:tc>
        <w:tc>
          <w:tcPr>
            <w:tcW w:w="7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3,735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9"/>
                <w:szCs w:val="19"/>
                <w:color w:val="auto"/>
              </w:rPr>
              <w:t>Operating expenses: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Pr>
          <w:p>
            <w:pPr>
              <w:ind w:left="360"/>
              <w:spacing w:after="0"/>
              <w:rPr>
                <w:sz w:val="20"/>
                <w:szCs w:val="20"/>
                <w:color w:val="auto"/>
              </w:rPr>
            </w:pPr>
            <w:r>
              <w:rPr>
                <w:rFonts w:ascii="Arial" w:cs="Arial" w:eastAsia="Arial" w:hAnsi="Arial"/>
                <w:sz w:val="19"/>
                <w:szCs w:val="19"/>
                <w:color w:val="auto"/>
              </w:rPr>
              <w:t>Research and development</w:t>
            </w:r>
          </w:p>
        </w:tc>
        <w:tc>
          <w:tcPr>
            <w:tcW w:w="100" w:type="dxa"/>
            <w:vAlign w:val="bottom"/>
          </w:tcPr>
          <w:p>
            <w:pPr>
              <w:spacing w:after="0"/>
              <w:rPr>
                <w:sz w:val="19"/>
                <w:szCs w:val="19"/>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9"/>
                <w:szCs w:val="19"/>
                <w:color w:val="auto"/>
              </w:rPr>
              <w:t>13,674</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29,911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shd w:val="clear" w:color="auto" w:fill="CCEEFF"/>
          </w:tcPr>
          <w:p>
            <w:pPr>
              <w:ind w:left="360"/>
              <w:spacing w:after="0"/>
              <w:rPr>
                <w:sz w:val="20"/>
                <w:szCs w:val="20"/>
                <w:color w:val="auto"/>
              </w:rPr>
            </w:pPr>
            <w:r>
              <w:rPr>
                <w:rFonts w:ascii="Arial" w:cs="Arial" w:eastAsia="Arial" w:hAnsi="Arial"/>
                <w:sz w:val="19"/>
                <w:szCs w:val="19"/>
                <w:color w:val="auto"/>
              </w:rPr>
              <w:t>General and administrative</w:t>
            </w: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1,874</w:t>
            </w:r>
          </w:p>
        </w:tc>
        <w:tc>
          <w:tcPr>
            <w:tcW w:w="7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6,503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920" w:type="dxa"/>
            <w:vAlign w:val="bottom"/>
          </w:tcPr>
          <w:p>
            <w:pPr>
              <w:ind w:left="740"/>
              <w:spacing w:after="0"/>
              <w:rPr>
                <w:sz w:val="20"/>
                <w:szCs w:val="20"/>
                <w:color w:val="auto"/>
              </w:rPr>
            </w:pPr>
            <w:r>
              <w:rPr>
                <w:rFonts w:ascii="Arial" w:cs="Arial" w:eastAsia="Arial" w:hAnsi="Arial"/>
                <w:sz w:val="19"/>
                <w:szCs w:val="19"/>
                <w:color w:val="auto"/>
              </w:rPr>
              <w:t>Total operating expenses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15,548</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9"/>
                <w:szCs w:val="19"/>
                <w:color w:val="auto"/>
              </w:rPr>
              <w:t>36,414</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9"/>
                <w:szCs w:val="19"/>
                <w:color w:val="auto"/>
              </w:rPr>
              <w:t>Loss from operations</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9"/>
                <w:szCs w:val="19"/>
                <w:color w:val="auto"/>
              </w:rPr>
              <w:t>(15,132)</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(32,679)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9"/>
                <w:szCs w:val="19"/>
                <w:color w:val="auto"/>
              </w:rPr>
              <w:t>Other income, net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9"/>
                <w:szCs w:val="19"/>
                <w:color w:val="auto"/>
              </w:rPr>
              <w:t>199</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9"/>
                <w:szCs w:val="19"/>
                <w:color w:val="auto"/>
              </w:rPr>
              <w:t>Net loss and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9"/>
                <w:szCs w:val="19"/>
                <w:color w:val="auto"/>
              </w:rPr>
              <w:t>(15,110)</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(32,480)</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9"/>
                <w:szCs w:val="19"/>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9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20" w:type="dxa"/>
            <w:vAlign w:val="bottom"/>
            <w:gridSpan w:val="2"/>
          </w:tcPr>
          <w:p>
            <w:pPr>
              <w:jc w:val="right"/>
              <w:ind w:right="680"/>
              <w:spacing w:after="0"/>
              <w:rPr>
                <w:sz w:val="20"/>
                <w:szCs w:val="20"/>
                <w:color w:val="auto"/>
              </w:rPr>
            </w:pPr>
            <w:r>
              <w:rPr>
                <w:rFonts w:ascii="Arial" w:cs="Arial" w:eastAsia="Arial" w:hAnsi="Arial"/>
                <w:sz w:val="19"/>
                <w:szCs w:val="19"/>
                <w:color w:val="auto"/>
              </w:rPr>
              <w:t>(2.11)</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9"/>
                <w:szCs w:val="19"/>
                <w:color w:val="auto"/>
              </w:rPr>
              <w:t>Shares used in computing net loss per share, basic and diluted</w:t>
            </w: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9"/>
              </w:rPr>
              <w:t>7,173,441</w:t>
            </w:r>
          </w:p>
        </w:tc>
        <w:tc>
          <w:tcPr>
            <w:tcW w:w="7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9"/>
              </w:rPr>
              <w:t>9,142,688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9"/>
                <w:szCs w:val="19"/>
                <w:color w:val="auto"/>
              </w:rPr>
              <w:t>Pro forma net loss per share, basic and diluted (unaudited)</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9"/>
                <w:szCs w:val="19"/>
                <w:color w:val="auto"/>
              </w:rPr>
              <w:t>Shares used in computing pro forma net loss per share, basic and diluted (unaudited)</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88"/>
              </w:rPr>
              <w:t>45,143,891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F-4</w:t>
      </w:r>
    </w:p>
    <w:p>
      <w:pPr>
        <w:sectPr>
          <w:pgSz w:w="12240" w:h="15840" w:orient="portrait"/>
          <w:cols w:equalWidth="0" w:num="1">
            <w:col w:w="11820"/>
          </w:cols>
          <w:pgMar w:left="120" w:top="336" w:right="300" w:bottom="1440" w:gutter="0" w:footer="0" w:header="0"/>
        </w:sectPr>
      </w:pPr>
    </w:p>
    <w:bookmarkStart w:id="195" w:name="page196"/>
    <w:bookmarkEnd w:id="19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Consolidated Statement of Convertible Preferred Stock and Stockholders’ Deficit</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i w:val="1"/>
          <w:iCs w:val="1"/>
          <w:color w:val="auto"/>
        </w:rPr>
        <w:t>(In thousands, except member unit and share data)</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4"/>
          </w:tcPr>
          <w:p>
            <w:pPr>
              <w:jc w:val="right"/>
              <w:ind w:right="349"/>
              <w:spacing w:after="0" w:line="143" w:lineRule="exact"/>
              <w:rPr>
                <w:sz w:val="20"/>
                <w:szCs w:val="20"/>
                <w:color w:val="auto"/>
              </w:rPr>
            </w:pPr>
            <w:r>
              <w:rPr>
                <w:rFonts w:ascii="Arial" w:cs="Arial" w:eastAsia="Arial" w:hAnsi="Arial"/>
                <w:sz w:val="13"/>
                <w:szCs w:val="13"/>
                <w:b w:val="1"/>
                <w:bCs w:val="1"/>
                <w:color w:val="auto"/>
              </w:rPr>
              <w:t>Convertible</w:t>
            </w: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3" w:lineRule="exact"/>
              <w:rPr>
                <w:sz w:val="20"/>
                <w:szCs w:val="20"/>
                <w:color w:val="auto"/>
              </w:rPr>
            </w:pPr>
            <w:r>
              <w:rPr>
                <w:rFonts w:ascii="Arial" w:cs="Arial" w:eastAsia="Arial" w:hAnsi="Arial"/>
                <w:sz w:val="13"/>
                <w:szCs w:val="13"/>
                <w:b w:val="1"/>
                <w:bCs w:val="1"/>
                <w:color w:val="auto"/>
                <w:w w:val="96"/>
              </w:rPr>
              <w:t>Paid-In</w:t>
            </w:r>
          </w:p>
        </w:tc>
        <w:tc>
          <w:tcPr>
            <w:tcW w:w="60" w:type="dxa"/>
            <w:vAlign w:val="bottom"/>
          </w:tcPr>
          <w:p>
            <w:pPr>
              <w:spacing w:after="0"/>
              <w:rPr>
                <w:sz w:val="12"/>
                <w:szCs w:val="12"/>
                <w:color w:val="auto"/>
              </w:rPr>
            </w:pPr>
          </w:p>
        </w:tc>
        <w:tc>
          <w:tcPr>
            <w:tcW w:w="90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Accumulated</w:t>
            </w:r>
          </w:p>
        </w:tc>
        <w:tc>
          <w:tcPr>
            <w:tcW w:w="88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720" w:type="dxa"/>
            <w:vAlign w:val="bottom"/>
            <w:gridSpan w:val="6"/>
          </w:tcPr>
          <w:p>
            <w:pPr>
              <w:jc w:val="right"/>
              <w:ind w:right="480"/>
              <w:spacing w:after="0"/>
              <w:rPr>
                <w:sz w:val="20"/>
                <w:szCs w:val="20"/>
                <w:color w:val="auto"/>
              </w:rPr>
            </w:pPr>
            <w:r>
              <w:rPr>
                <w:rFonts w:ascii="Arial" w:cs="Arial" w:eastAsia="Arial" w:hAnsi="Arial"/>
                <w:sz w:val="13"/>
                <w:szCs w:val="13"/>
                <w:b w:val="1"/>
                <w:bCs w:val="1"/>
                <w:color w:val="auto"/>
              </w:rPr>
              <w:t>Preferred Units</w:t>
            </w:r>
          </w:p>
        </w:tc>
        <w:tc>
          <w:tcPr>
            <w:tcW w:w="1500" w:type="dxa"/>
            <w:vAlign w:val="bottom"/>
            <w:gridSpan w:val="4"/>
          </w:tcPr>
          <w:p>
            <w:pPr>
              <w:jc w:val="right"/>
              <w:ind w:right="229"/>
              <w:spacing w:after="0"/>
              <w:rPr>
                <w:sz w:val="20"/>
                <w:szCs w:val="20"/>
                <w:color w:val="auto"/>
              </w:rPr>
            </w:pPr>
            <w:r>
              <w:rPr>
                <w:rFonts w:ascii="Arial" w:cs="Arial" w:eastAsia="Arial" w:hAnsi="Arial"/>
                <w:sz w:val="13"/>
                <w:szCs w:val="13"/>
                <w:b w:val="1"/>
                <w:bCs w:val="1"/>
                <w:color w:val="auto"/>
              </w:rPr>
              <w:t>Preferred Stock</w:t>
            </w: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5"/>
          </w:tcPr>
          <w:p>
            <w:pPr>
              <w:ind w:left="320"/>
              <w:spacing w:after="0"/>
              <w:rPr>
                <w:sz w:val="20"/>
                <w:szCs w:val="20"/>
                <w:color w:val="auto"/>
              </w:rPr>
            </w:pPr>
            <w:r>
              <w:rPr>
                <w:rFonts w:ascii="Arial" w:cs="Arial" w:eastAsia="Arial" w:hAnsi="Arial"/>
                <w:sz w:val="13"/>
                <w:szCs w:val="13"/>
                <w:b w:val="1"/>
                <w:bCs w:val="1"/>
                <w:color w:val="auto"/>
              </w:rPr>
              <w:t>Common Units</w:t>
            </w:r>
          </w:p>
        </w:tc>
        <w:tc>
          <w:tcPr>
            <w:tcW w:w="120" w:type="dxa"/>
            <w:vAlign w:val="bottom"/>
          </w:tcPr>
          <w:p>
            <w:pPr>
              <w:spacing w:after="0"/>
              <w:rPr>
                <w:sz w:val="14"/>
                <w:szCs w:val="14"/>
                <w:color w:val="auto"/>
              </w:rPr>
            </w:pPr>
          </w:p>
        </w:tc>
        <w:tc>
          <w:tcPr>
            <w:tcW w:w="1460" w:type="dxa"/>
            <w:vAlign w:val="bottom"/>
            <w:gridSpan w:val="4"/>
          </w:tcPr>
          <w:p>
            <w:pPr>
              <w:jc w:val="right"/>
              <w:ind w:right="209"/>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6"/>
              </w:rPr>
              <w:t>Capital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320"/>
              <w:spacing w:after="0" w:line="137" w:lineRule="exact"/>
              <w:rPr>
                <w:sz w:val="20"/>
                <w:szCs w:val="20"/>
                <w:color w:val="auto"/>
              </w:rPr>
            </w:pPr>
            <w:r>
              <w:rPr>
                <w:rFonts w:ascii="Arial" w:cs="Arial" w:eastAsia="Arial" w:hAnsi="Arial"/>
                <w:sz w:val="13"/>
                <w:szCs w:val="13"/>
                <w:b w:val="1"/>
                <w:bCs w:val="1"/>
                <w:color w:val="auto"/>
              </w:rPr>
              <w:t>Units</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49"/>
              <w:spacing w:after="0" w:line="137"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800" w:type="dxa"/>
            <w:vAlign w:val="bottom"/>
            <w:tcBorders>
              <w:top w:val="single" w:sz="8" w:color="auto"/>
            </w:tcBorders>
            <w:gridSpan w:val="2"/>
          </w:tcPr>
          <w:p>
            <w:pPr>
              <w:ind w:left="140"/>
              <w:spacing w:after="0" w:line="137"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49"/>
              <w:spacing w:after="0" w:line="137" w:lineRule="exact"/>
              <w:rPr>
                <w:sz w:val="20"/>
                <w:szCs w:val="20"/>
                <w:color w:val="auto"/>
              </w:rPr>
            </w:pPr>
            <w:r>
              <w:rPr>
                <w:rFonts w:ascii="Arial" w:cs="Arial" w:eastAsia="Arial" w:hAnsi="Arial"/>
                <w:sz w:val="13"/>
                <w:szCs w:val="13"/>
                <w:b w:val="1"/>
                <w:bCs w:val="1"/>
                <w:color w:val="auto"/>
                <w:w w:val="93"/>
              </w:rPr>
              <w:t>Amount</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320"/>
              <w:spacing w:after="0" w:line="137" w:lineRule="exact"/>
              <w:rPr>
                <w:sz w:val="20"/>
                <w:szCs w:val="20"/>
                <w:color w:val="auto"/>
              </w:rPr>
            </w:pPr>
            <w:r>
              <w:rPr>
                <w:rFonts w:ascii="Arial" w:cs="Arial" w:eastAsia="Arial" w:hAnsi="Arial"/>
                <w:sz w:val="13"/>
                <w:szCs w:val="13"/>
                <w:b w:val="1"/>
                <w:bCs w:val="1"/>
                <w:color w:val="auto"/>
              </w:rPr>
              <w:t>Units</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line="137" w:lineRule="exact"/>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280"/>
              <w:spacing w:after="0" w:line="137"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9"/>
              <w:spacing w:after="0" w:line="137"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50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Balance — December 31, 2015</w:t>
            </w:r>
          </w:p>
        </w:tc>
        <w:tc>
          <w:tcPr>
            <w:tcW w:w="7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36,001,203</w:t>
            </w: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77,485</w:t>
            </w:r>
          </w:p>
        </w:tc>
        <w:tc>
          <w:tcPr>
            <w:tcW w:w="1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10,707,167</w:t>
            </w: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ind w:left="380"/>
              <w:spacing w:after="0" w:line="151" w:lineRule="exact"/>
              <w:rPr>
                <w:sz w:val="20"/>
                <w:szCs w:val="20"/>
                <w:color w:val="auto"/>
              </w:rPr>
            </w:pPr>
            <w:r>
              <w:rPr>
                <w:rFonts w:ascii="Arial" w:cs="Arial" w:eastAsia="Arial" w:hAnsi="Arial"/>
                <w:sz w:val="14"/>
                <w:szCs w:val="14"/>
                <w:color w:val="auto"/>
                <w:w w:val="99"/>
              </w:rPr>
              <w:t>—</w:t>
            </w:r>
          </w:p>
        </w:tc>
        <w:tc>
          <w:tcPr>
            <w:tcW w:w="1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gridSpan w:val="2"/>
            <w:shd w:val="clear" w:color="auto" w:fill="CCEEFF"/>
          </w:tcPr>
          <w:p>
            <w:pPr>
              <w:ind w:left="140"/>
              <w:spacing w:after="0" w:line="151"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2,837</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ind w:left="60"/>
              <w:spacing w:after="0" w:line="151"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gridSpan w:val="2"/>
            <w:shd w:val="clear" w:color="auto" w:fill="CCEEFF"/>
          </w:tcPr>
          <w:p>
            <w:pPr>
              <w:jc w:val="right"/>
              <w:ind w:right="100"/>
              <w:spacing w:after="0" w:line="151" w:lineRule="exact"/>
              <w:rPr>
                <w:sz w:val="20"/>
                <w:szCs w:val="20"/>
                <w:color w:val="auto"/>
              </w:rPr>
            </w:pPr>
            <w:r>
              <w:rPr>
                <w:rFonts w:ascii="Arial" w:cs="Arial" w:eastAsia="Arial" w:hAnsi="Arial"/>
                <w:sz w:val="14"/>
                <w:szCs w:val="14"/>
                <w:color w:val="auto"/>
              </w:rPr>
              <w:t>(14,597)</w:t>
            </w:r>
          </w:p>
        </w:tc>
        <w:tc>
          <w:tcPr>
            <w:tcW w:w="12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CCEEFF"/>
            </w:tcBorders>
            <w:gridSpan w:val="2"/>
            <w:shd w:val="clear" w:color="auto" w:fill="CCEEFF"/>
          </w:tcPr>
          <w:p>
            <w:pPr>
              <w:jc w:val="right"/>
              <w:ind w:right="60"/>
              <w:spacing w:after="0" w:line="151" w:lineRule="exact"/>
              <w:rPr>
                <w:sz w:val="20"/>
                <w:szCs w:val="20"/>
                <w:color w:val="auto"/>
              </w:rPr>
            </w:pPr>
            <w:r>
              <w:rPr>
                <w:rFonts w:ascii="Arial" w:cs="Arial" w:eastAsia="Arial" w:hAnsi="Arial"/>
                <w:sz w:val="14"/>
                <w:szCs w:val="14"/>
                <w:color w:val="auto"/>
              </w:rPr>
              <w:t>(11,760)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00" w:type="dxa"/>
            <w:vAlign w:val="bottom"/>
          </w:tcPr>
          <w:p>
            <w:pPr>
              <w:ind w:left="260"/>
              <w:spacing w:after="0" w:line="157" w:lineRule="exact"/>
              <w:rPr>
                <w:sz w:val="20"/>
                <w:szCs w:val="20"/>
                <w:color w:val="auto"/>
              </w:rPr>
            </w:pPr>
            <w:r>
              <w:rPr>
                <w:rFonts w:ascii="Arial" w:cs="Arial" w:eastAsia="Arial" w:hAnsi="Arial"/>
                <w:sz w:val="14"/>
                <w:szCs w:val="14"/>
                <w:color w:val="auto"/>
              </w:rPr>
              <w:t>Issuance of common units</w:t>
            </w:r>
          </w:p>
        </w:tc>
        <w:tc>
          <w:tcPr>
            <w:tcW w:w="8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3"/>
                <w:szCs w:val="13"/>
                <w:color w:val="auto"/>
              </w:rPr>
            </w:pPr>
          </w:p>
        </w:tc>
        <w:tc>
          <w:tcPr>
            <w:tcW w:w="7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1,136,500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380"/>
              <w:spacing w:after="0" w:line="157"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0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Cancellation of common units</w:t>
            </w:r>
          </w:p>
        </w:tc>
        <w:tc>
          <w:tcPr>
            <w:tcW w:w="8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3"/>
                <w:szCs w:val="13"/>
                <w:color w:val="auto"/>
              </w:rPr>
            </w:pPr>
          </w:p>
        </w:tc>
        <w:tc>
          <w:tcPr>
            <w:tcW w:w="880" w:type="dxa"/>
            <w:vAlign w:val="bottom"/>
            <w:gridSpan w:val="3"/>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(326,082)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00" w:type="dxa"/>
            <w:vAlign w:val="bottom"/>
          </w:tcPr>
          <w:p>
            <w:pPr>
              <w:ind w:left="260"/>
              <w:spacing w:after="0" w:line="157" w:lineRule="exact"/>
              <w:rPr>
                <w:sz w:val="20"/>
                <w:szCs w:val="20"/>
                <w:color w:val="auto"/>
              </w:rPr>
            </w:pPr>
            <w:r>
              <w:rPr>
                <w:rFonts w:ascii="Arial" w:cs="Arial" w:eastAsia="Arial" w:hAnsi="Arial"/>
                <w:sz w:val="14"/>
                <w:szCs w:val="14"/>
                <w:color w:val="auto"/>
              </w:rPr>
              <w:t>Stock-based compensation</w:t>
            </w:r>
          </w:p>
        </w:tc>
        <w:tc>
          <w:tcPr>
            <w:tcW w:w="8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380"/>
              <w:spacing w:after="0" w:line="157"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7" w:lineRule="exact"/>
              <w:rPr>
                <w:sz w:val="20"/>
                <w:szCs w:val="20"/>
                <w:color w:val="auto"/>
              </w:rPr>
            </w:pPr>
            <w:r>
              <w:rPr>
                <w:rFonts w:ascii="Arial" w:cs="Arial" w:eastAsia="Arial" w:hAnsi="Arial"/>
                <w:sz w:val="14"/>
                <w:szCs w:val="14"/>
                <w:color w:val="auto"/>
              </w:rPr>
              <w:t>1,963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1,963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0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Net loss and comprehensive loss</w:t>
            </w:r>
          </w:p>
        </w:tc>
        <w:tc>
          <w:tcPr>
            <w:tcW w:w="8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(15,110)</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(15,110)</w:t>
            </w:r>
          </w:p>
        </w:tc>
        <w:tc>
          <w:tcPr>
            <w:tcW w:w="0" w:type="dxa"/>
            <w:vAlign w:val="bottom"/>
          </w:tcPr>
          <w:p>
            <w:pPr>
              <w:spacing w:after="0"/>
              <w:rPr>
                <w:sz w:val="1"/>
                <w:szCs w:val="1"/>
                <w:color w:val="auto"/>
              </w:rPr>
            </w:pPr>
          </w:p>
        </w:tc>
      </w:tr>
      <w:tr>
        <w:trPr>
          <w:trHeight w:val="20"/>
        </w:trPr>
        <w:tc>
          <w:tcPr>
            <w:tcW w:w="2520" w:type="dxa"/>
            <w:vAlign w:val="bottom"/>
            <w:gridSpan w:val="2"/>
            <w:vMerge w:val="restart"/>
          </w:tcPr>
          <w:p>
            <w:pPr>
              <w:spacing w:after="0"/>
              <w:rPr>
                <w:sz w:val="20"/>
                <w:szCs w:val="20"/>
                <w:color w:val="auto"/>
              </w:rPr>
            </w:pPr>
            <w:r>
              <w:rPr>
                <w:rFonts w:ascii="Arial" w:cs="Arial" w:eastAsia="Arial" w:hAnsi="Arial"/>
                <w:sz w:val="14"/>
                <w:szCs w:val="14"/>
                <w:color w:val="auto"/>
              </w:rPr>
              <w:t>Balance — December 31, 2016</w:t>
            </w: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520" w:type="dxa"/>
            <w:vAlign w:val="bottom"/>
            <w:gridSpan w:val="2"/>
            <w:vMerge w:val="continue"/>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36,001,203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77,485</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11,517,585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ind w:left="3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4,800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(29,707)</w:t>
            </w:r>
          </w:p>
        </w:tc>
        <w:tc>
          <w:tcPr>
            <w:tcW w:w="1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(24,907)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0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Issuance of common units</w:t>
            </w:r>
          </w:p>
        </w:tc>
        <w:tc>
          <w:tcPr>
            <w:tcW w:w="8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2,483,500</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00" w:type="dxa"/>
            <w:vAlign w:val="bottom"/>
          </w:tcPr>
          <w:p>
            <w:pPr>
              <w:ind w:left="260"/>
              <w:spacing w:after="0" w:line="157" w:lineRule="exact"/>
              <w:rPr>
                <w:sz w:val="20"/>
                <w:szCs w:val="20"/>
                <w:color w:val="auto"/>
              </w:rPr>
            </w:pPr>
            <w:r>
              <w:rPr>
                <w:rFonts w:ascii="Arial" w:cs="Arial" w:eastAsia="Arial" w:hAnsi="Arial"/>
                <w:sz w:val="14"/>
                <w:szCs w:val="14"/>
                <w:color w:val="auto"/>
              </w:rPr>
              <w:t>Cancellation of common units</w:t>
            </w:r>
          </w:p>
        </w:tc>
        <w:tc>
          <w:tcPr>
            <w:tcW w:w="8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3"/>
                <w:szCs w:val="13"/>
                <w:color w:val="auto"/>
              </w:rPr>
            </w:pPr>
          </w:p>
        </w:tc>
        <w:tc>
          <w:tcPr>
            <w:tcW w:w="880" w:type="dxa"/>
            <w:vAlign w:val="bottom"/>
            <w:gridSpan w:val="3"/>
          </w:tcPr>
          <w:p>
            <w:pPr>
              <w:jc w:val="right"/>
              <w:ind w:right="60"/>
              <w:spacing w:after="0" w:line="157" w:lineRule="exact"/>
              <w:rPr>
                <w:sz w:val="20"/>
                <w:szCs w:val="20"/>
                <w:color w:val="auto"/>
              </w:rPr>
            </w:pPr>
            <w:r>
              <w:rPr>
                <w:rFonts w:ascii="Arial" w:cs="Arial" w:eastAsia="Arial" w:hAnsi="Arial"/>
                <w:sz w:val="14"/>
                <w:szCs w:val="14"/>
                <w:color w:val="auto"/>
              </w:rPr>
              <w:t>(8,333)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380"/>
              <w:spacing w:after="0" w:line="157"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00" w:type="dxa"/>
            <w:vAlign w:val="bottom"/>
            <w:shd w:val="clear" w:color="auto" w:fill="CCEEFF"/>
          </w:tcPr>
          <w:p>
            <w:pPr>
              <w:ind w:left="260"/>
              <w:spacing w:after="0" w:line="146" w:lineRule="exact"/>
              <w:rPr>
                <w:sz w:val="20"/>
                <w:szCs w:val="20"/>
                <w:color w:val="auto"/>
              </w:rPr>
            </w:pPr>
            <w:r>
              <w:rPr>
                <w:rFonts w:ascii="Arial" w:cs="Arial" w:eastAsia="Arial" w:hAnsi="Arial"/>
                <w:sz w:val="14"/>
                <w:szCs w:val="14"/>
                <w:color w:val="auto"/>
              </w:rPr>
              <w:t>Conversion from LLC to corporation</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(Note 1)</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8"/>
              </w:rPr>
              <w:t>(36,001,203)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(77,485)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36,001,203</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77,485</w:t>
            </w:r>
          </w:p>
        </w:tc>
        <w:tc>
          <w:tcPr>
            <w:tcW w:w="100" w:type="dxa"/>
            <w:vAlign w:val="bottom"/>
            <w:tcBorders>
              <w:right w:val="single" w:sz="8" w:color="auto"/>
            </w:tcBorders>
            <w:shd w:val="clear" w:color="auto" w:fill="CCEEFF"/>
          </w:tcPr>
          <w:p>
            <w:pPr>
              <w:spacing w:after="0"/>
              <w:rPr>
                <w:sz w:val="14"/>
                <w:szCs w:val="14"/>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(13,992,752)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9"/>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13,825,387</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00" w:type="dxa"/>
            <w:vAlign w:val="bottom"/>
          </w:tcPr>
          <w:p>
            <w:pPr>
              <w:ind w:left="260"/>
              <w:spacing w:after="0" w:line="146" w:lineRule="exact"/>
              <w:rPr>
                <w:sz w:val="20"/>
                <w:szCs w:val="20"/>
                <w:color w:val="auto"/>
              </w:rPr>
            </w:pPr>
            <w:r>
              <w:rPr>
                <w:rFonts w:ascii="Arial" w:cs="Arial" w:eastAsia="Arial" w:hAnsi="Arial"/>
                <w:sz w:val="14"/>
                <w:szCs w:val="14"/>
                <w:color w:val="auto"/>
              </w:rPr>
              <w:t>Cancellation of restricted common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tcPr>
          <w:p>
            <w:pPr>
              <w:ind w:left="400"/>
              <w:spacing w:after="0"/>
              <w:rPr>
                <w:sz w:val="20"/>
                <w:szCs w:val="20"/>
                <w:color w:val="auto"/>
              </w:rPr>
            </w:pPr>
            <w:r>
              <w:rPr>
                <w:rFonts w:ascii="Arial" w:cs="Arial" w:eastAsia="Arial" w:hAnsi="Arial"/>
                <w:sz w:val="14"/>
                <w:szCs w:val="14"/>
                <w:color w:val="auto"/>
              </w:rPr>
              <w:t>stock post-conversion</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ind w:left="380"/>
              <w:spacing w:after="0"/>
              <w:rPr>
                <w:sz w:val="20"/>
                <w:szCs w:val="20"/>
                <w:color w:val="auto"/>
              </w:rPr>
            </w:pPr>
            <w:r>
              <w:rPr>
                <w:rFonts w:ascii="Arial" w:cs="Arial" w:eastAsia="Arial" w:hAnsi="Arial"/>
                <w:sz w:val="14"/>
                <w:szCs w:val="14"/>
                <w:color w:val="auto"/>
                <w:w w:val="99"/>
              </w:rPr>
              <w:t>—</w:t>
            </w: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(49,234)</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0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Stock-based compensation</w:t>
            </w:r>
          </w:p>
        </w:tc>
        <w:tc>
          <w:tcPr>
            <w:tcW w:w="8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5,354</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5,354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00" w:type="dxa"/>
            <w:vAlign w:val="bottom"/>
          </w:tcPr>
          <w:p>
            <w:pPr>
              <w:ind w:left="260"/>
              <w:spacing w:after="0" w:line="157" w:lineRule="exact"/>
              <w:rPr>
                <w:sz w:val="20"/>
                <w:szCs w:val="20"/>
                <w:color w:val="auto"/>
              </w:rPr>
            </w:pPr>
            <w:r>
              <w:rPr>
                <w:rFonts w:ascii="Arial" w:cs="Arial" w:eastAsia="Arial" w:hAnsi="Arial"/>
                <w:sz w:val="14"/>
                <w:szCs w:val="14"/>
                <w:color w:val="auto"/>
              </w:rPr>
              <w:t>Net loss and comprehensive loss</w:t>
            </w:r>
          </w:p>
        </w:tc>
        <w:tc>
          <w:tcPr>
            <w:tcW w:w="8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380"/>
              <w:spacing w:after="0" w:line="157"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(32,480)</w:t>
            </w:r>
          </w:p>
        </w:tc>
        <w:tc>
          <w:tcPr>
            <w:tcW w:w="120" w:type="dxa"/>
            <w:vAlign w:val="bottom"/>
          </w:tcPr>
          <w:p>
            <w:pPr>
              <w:spacing w:after="0"/>
              <w:rPr>
                <w:sz w:val="13"/>
                <w:szCs w:val="13"/>
                <w:color w:val="auto"/>
              </w:rPr>
            </w:pPr>
          </w:p>
        </w:tc>
        <w:tc>
          <w:tcPr>
            <w:tcW w:w="7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(32,480)</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2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25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Balance — December 31, 2017</w:t>
            </w:r>
          </w:p>
        </w:tc>
        <w:tc>
          <w:tcPr>
            <w:tcW w:w="8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w w:val="94"/>
              </w:rPr>
              <w:t>36,001,203</w:t>
            </w:r>
          </w:p>
        </w:tc>
        <w:tc>
          <w:tcPr>
            <w:tcW w:w="1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77,485</w:t>
            </w: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w w:val="99"/>
              </w:rPr>
              <w:t>—</w:t>
            </w:r>
          </w:p>
        </w:tc>
        <w:tc>
          <w:tcPr>
            <w:tcW w:w="9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13,776,153</w:t>
            </w: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w:t>
            </w:r>
          </w:p>
        </w:tc>
        <w:tc>
          <w:tcPr>
            <w:tcW w:w="220" w:type="dxa"/>
            <w:vAlign w:val="bottom"/>
            <w:gridSpan w:val="2"/>
            <w:shd w:val="clear" w:color="auto" w:fill="CCEEFF"/>
          </w:tcPr>
          <w:p>
            <w:pPr>
              <w:ind w:left="140"/>
              <w:spacing w:after="0" w:line="157"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10,153</w:t>
            </w:r>
          </w:p>
        </w:tc>
        <w:tc>
          <w:tcPr>
            <w:tcW w:w="8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6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(62,187)</w:t>
            </w:r>
          </w:p>
        </w:tc>
        <w:tc>
          <w:tcPr>
            <w:tcW w:w="1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(52,033)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F-5</w:t>
      </w:r>
    </w:p>
    <w:p>
      <w:pPr>
        <w:sectPr>
          <w:pgSz w:w="12240" w:h="15840" w:orient="portrait"/>
          <w:cols w:equalWidth="0" w:num="1">
            <w:col w:w="11820"/>
          </w:cols>
          <w:pgMar w:left="120" w:top="336" w:right="300" w:bottom="1440" w:gutter="0" w:footer="0" w:header="0"/>
        </w:sectPr>
      </w:pPr>
    </w:p>
    <w:bookmarkStart w:id="196" w:name="page197"/>
    <w:bookmarkEnd w:id="19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Consolidated Statements of Cash Flows</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i w:val="1"/>
          <w:iCs w:val="1"/>
          <w:color w:val="auto"/>
        </w:rPr>
        <w:t>(In thousands)</w:t>
      </w:r>
    </w:p>
    <w:p>
      <w:pPr>
        <w:spacing w:after="0" w:line="244"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5"/>
          </w:tcPr>
          <w:p>
            <w:pPr>
              <w:jc w:val="right"/>
              <w:ind w:right="320"/>
              <w:spacing w:after="0"/>
              <w:rPr>
                <w:sz w:val="20"/>
                <w:szCs w:val="20"/>
                <w:color w:val="auto"/>
              </w:rPr>
            </w:pPr>
            <w:r>
              <w:rPr>
                <w:rFonts w:ascii="Arial" w:cs="Arial" w:eastAsia="Arial" w:hAnsi="Arial"/>
                <w:sz w:val="15"/>
                <w:szCs w:val="15"/>
                <w:b w:val="1"/>
                <w:bCs w:val="1"/>
                <w:color w:val="auto"/>
                <w:w w:val="94"/>
              </w:rPr>
              <w:t>Year Ended December 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180" w:type="dxa"/>
            <w:vAlign w:val="bottom"/>
            <w:tcBorders>
              <w:bottom w:val="single" w:sz="8" w:color="CCEEFF"/>
            </w:tcBorders>
          </w:tcPr>
          <w:p>
            <w:pPr>
              <w:spacing w:after="0"/>
              <w:rPr>
                <w:sz w:val="13"/>
                <w:szCs w:val="13"/>
                <w:color w:val="auto"/>
              </w:rPr>
            </w:pPr>
          </w:p>
        </w:tc>
        <w:tc>
          <w:tcPr>
            <w:tcW w:w="12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47"/>
              <w:spacing w:after="0" w:line="151" w:lineRule="exact"/>
              <w:rPr>
                <w:sz w:val="20"/>
                <w:szCs w:val="20"/>
                <w:color w:val="auto"/>
              </w:rPr>
            </w:pPr>
            <w:r>
              <w:rPr>
                <w:rFonts w:ascii="Arial" w:cs="Arial" w:eastAsia="Arial" w:hAnsi="Arial"/>
                <w:sz w:val="15"/>
                <w:szCs w:val="15"/>
                <w:b w:val="1"/>
                <w:bCs w:val="1"/>
                <w:color w:val="auto"/>
              </w:rPr>
              <w:t>2016</w:t>
            </w:r>
          </w:p>
        </w:tc>
        <w:tc>
          <w:tcPr>
            <w:tcW w:w="56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46"/>
              <w:spacing w:after="0" w:line="151" w:lineRule="exact"/>
              <w:rPr>
                <w:sz w:val="20"/>
                <w:szCs w:val="20"/>
                <w:color w:val="auto"/>
              </w:rPr>
            </w:pPr>
            <w:r>
              <w:rPr>
                <w:rFonts w:ascii="Arial" w:cs="Arial" w:eastAsia="Arial" w:hAnsi="Arial"/>
                <w:sz w:val="15"/>
                <w:szCs w:val="15"/>
                <w:b w:val="1"/>
                <w:bCs w:val="1"/>
                <w:color w:val="auto"/>
              </w:rPr>
              <w:t>2017</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80" w:type="dxa"/>
            <w:vAlign w:val="bottom"/>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CASH FLOWS FROM OPERATING ACTIVITIES: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9"/>
                <w:szCs w:val="19"/>
                <w:color w:val="auto"/>
              </w:rPr>
              <w:t>Net loss</w:t>
            </w:r>
          </w:p>
        </w:tc>
        <w:tc>
          <w:tcPr>
            <w:tcW w:w="13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9"/>
                <w:szCs w:val="19"/>
                <w:color w:val="auto"/>
                <w:w w:val="96"/>
              </w:rPr>
              <w:t>(15,110)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9"/>
                <w:szCs w:val="19"/>
                <w:color w:val="auto"/>
                <w:w w:val="93"/>
              </w:rPr>
              <w:t>(32,480)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9"/>
                <w:szCs w:val="19"/>
                <w:color w:val="auto"/>
              </w:rPr>
              <w:t>Adjustments to reconcile net loss to net cash used in operating activities:</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tcPr>
          <w:p>
            <w:pPr>
              <w:ind w:left="360"/>
              <w:spacing w:after="0"/>
              <w:rPr>
                <w:sz w:val="20"/>
                <w:szCs w:val="20"/>
                <w:color w:val="auto"/>
              </w:rPr>
            </w:pPr>
            <w:r>
              <w:rPr>
                <w:rFonts w:ascii="Arial" w:cs="Arial" w:eastAsia="Arial" w:hAnsi="Arial"/>
                <w:sz w:val="19"/>
                <w:szCs w:val="19"/>
                <w:color w:val="auto"/>
              </w:rPr>
              <w:t>Depreciation and amortization</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9"/>
                <w:szCs w:val="19"/>
                <w:color w:val="auto"/>
              </w:rPr>
              <w:t>201</w:t>
            </w: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9"/>
                <w:szCs w:val="19"/>
                <w:color w:val="auto"/>
              </w:rPr>
              <w:t>680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Stock-based compensation</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9"/>
                <w:szCs w:val="19"/>
                <w:color w:val="auto"/>
              </w:rPr>
              <w:t>1,963</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5,354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tcPr>
          <w:p>
            <w:pPr>
              <w:ind w:left="360"/>
              <w:spacing w:after="0"/>
              <w:rPr>
                <w:sz w:val="20"/>
                <w:szCs w:val="20"/>
                <w:color w:val="auto"/>
              </w:rPr>
            </w:pPr>
            <w:r>
              <w:rPr>
                <w:rFonts w:ascii="Arial" w:cs="Arial" w:eastAsia="Arial" w:hAnsi="Arial"/>
                <w:sz w:val="19"/>
                <w:szCs w:val="19"/>
                <w:color w:val="auto"/>
              </w:rPr>
              <w:t>Changes in operating assets and liabilities: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shd w:val="clear" w:color="auto" w:fill="CCEEFF"/>
          </w:tcPr>
          <w:p>
            <w:pPr>
              <w:ind w:left="740"/>
              <w:spacing w:after="0"/>
              <w:rPr>
                <w:sz w:val="20"/>
                <w:szCs w:val="20"/>
                <w:color w:val="auto"/>
              </w:rPr>
            </w:pPr>
            <w:r>
              <w:rPr>
                <w:rFonts w:ascii="Arial" w:cs="Arial" w:eastAsia="Arial" w:hAnsi="Arial"/>
                <w:sz w:val="19"/>
                <w:szCs w:val="19"/>
                <w:color w:val="auto"/>
              </w:rPr>
              <w:t>Accounts receivable</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9"/>
                <w:szCs w:val="19"/>
                <w:color w:val="auto"/>
              </w:rPr>
              <w:t>(218)</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tcPr>
          <w:p>
            <w:pPr>
              <w:ind w:left="740"/>
              <w:spacing w:after="0"/>
              <w:rPr>
                <w:sz w:val="20"/>
                <w:szCs w:val="20"/>
                <w:color w:val="auto"/>
              </w:rPr>
            </w:pPr>
            <w:r>
              <w:rPr>
                <w:rFonts w:ascii="Arial" w:cs="Arial" w:eastAsia="Arial" w:hAnsi="Arial"/>
                <w:sz w:val="19"/>
                <w:szCs w:val="19"/>
                <w:color w:val="auto"/>
              </w:rPr>
              <w:t>Prepaid expenses and other current assets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9"/>
                <w:szCs w:val="19"/>
                <w:color w:val="auto"/>
              </w:rPr>
              <w:t>(22)</w:t>
            </w: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9"/>
                <w:szCs w:val="19"/>
                <w:color w:val="auto"/>
              </w:rPr>
              <w:t>(150)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shd w:val="clear" w:color="auto" w:fill="CCEEFF"/>
          </w:tcPr>
          <w:p>
            <w:pPr>
              <w:ind w:left="740"/>
              <w:spacing w:after="0"/>
              <w:rPr>
                <w:sz w:val="20"/>
                <w:szCs w:val="20"/>
                <w:color w:val="auto"/>
              </w:rPr>
            </w:pPr>
            <w:r>
              <w:rPr>
                <w:rFonts w:ascii="Arial" w:cs="Arial" w:eastAsia="Arial" w:hAnsi="Arial"/>
                <w:sz w:val="19"/>
                <w:szCs w:val="19"/>
                <w:color w:val="auto"/>
              </w:rPr>
              <w:t>Other assets</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9"/>
                <w:szCs w:val="19"/>
                <w:color w:val="auto"/>
              </w:rPr>
              <w:t>(184)</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tcPr>
          <w:p>
            <w:pPr>
              <w:ind w:left="740"/>
              <w:spacing w:after="0"/>
              <w:rPr>
                <w:sz w:val="20"/>
                <w:szCs w:val="20"/>
                <w:color w:val="auto"/>
              </w:rPr>
            </w:pPr>
            <w:r>
              <w:rPr>
                <w:rFonts w:ascii="Arial" w:cs="Arial" w:eastAsia="Arial" w:hAnsi="Arial"/>
                <w:sz w:val="19"/>
                <w:szCs w:val="19"/>
                <w:color w:val="auto"/>
              </w:rPr>
              <w:t>Accounts payable</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9"/>
                <w:szCs w:val="19"/>
                <w:color w:val="auto"/>
              </w:rPr>
              <w:t>708</w:t>
            </w: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9"/>
                <w:szCs w:val="19"/>
                <w:color w:val="auto"/>
              </w:rPr>
              <w:t>(41)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shd w:val="clear" w:color="auto" w:fill="CCEEFF"/>
          </w:tcPr>
          <w:p>
            <w:pPr>
              <w:ind w:left="740"/>
              <w:spacing w:after="0"/>
              <w:rPr>
                <w:sz w:val="20"/>
                <w:szCs w:val="20"/>
                <w:color w:val="auto"/>
              </w:rPr>
            </w:pPr>
            <w:r>
              <w:rPr>
                <w:rFonts w:ascii="Arial" w:cs="Arial" w:eastAsia="Arial" w:hAnsi="Arial"/>
                <w:sz w:val="19"/>
                <w:szCs w:val="19"/>
                <w:color w:val="auto"/>
              </w:rPr>
              <w:t>Accrued liabilities and accrued clinical supply costs</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9"/>
                <w:szCs w:val="19"/>
                <w:color w:val="auto"/>
              </w:rPr>
              <w:t>(354)</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6,716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tcPr>
          <w:p>
            <w:pPr>
              <w:ind w:left="740"/>
              <w:spacing w:after="0"/>
              <w:rPr>
                <w:sz w:val="20"/>
                <w:szCs w:val="20"/>
                <w:color w:val="auto"/>
              </w:rPr>
            </w:pPr>
            <w:r>
              <w:rPr>
                <w:rFonts w:ascii="Arial" w:cs="Arial" w:eastAsia="Arial" w:hAnsi="Arial"/>
                <w:sz w:val="19"/>
                <w:szCs w:val="19"/>
                <w:color w:val="auto"/>
              </w:rPr>
              <w:t>Deferred revenue</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2,128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shd w:val="clear" w:color="auto" w:fill="CCEEFF"/>
          </w:tcPr>
          <w:p>
            <w:pPr>
              <w:ind w:left="740"/>
              <w:spacing w:after="0"/>
              <w:rPr>
                <w:sz w:val="20"/>
                <w:szCs w:val="20"/>
                <w:color w:val="auto"/>
              </w:rPr>
            </w:pPr>
            <w:r>
              <w:rPr>
                <w:rFonts w:ascii="Arial" w:cs="Arial" w:eastAsia="Arial" w:hAnsi="Arial"/>
                <w:sz w:val="19"/>
                <w:szCs w:val="19"/>
                <w:color w:val="auto"/>
              </w:rPr>
              <w:t>Deferred rent</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9"/>
                <w:szCs w:val="19"/>
                <w:color w:val="auto"/>
              </w:rPr>
              <w:t>23</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80" w:type="dxa"/>
            <w:vAlign w:val="bottom"/>
          </w:tcPr>
          <w:p>
            <w:pPr>
              <w:ind w:left="740"/>
              <w:spacing w:after="0"/>
              <w:rPr>
                <w:sz w:val="20"/>
                <w:szCs w:val="20"/>
                <w:color w:val="auto"/>
              </w:rPr>
            </w:pPr>
            <w:r>
              <w:rPr>
                <w:rFonts w:ascii="Arial" w:cs="Arial" w:eastAsia="Arial" w:hAnsi="Arial"/>
                <w:sz w:val="19"/>
                <w:szCs w:val="19"/>
                <w:color w:val="auto"/>
              </w:rPr>
              <w:t>Other long-term liabilities</w:t>
            </w:r>
          </w:p>
        </w:tc>
        <w:tc>
          <w:tcPr>
            <w:tcW w:w="1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shd w:val="clear" w:color="auto" w:fill="CCEEFF"/>
          </w:tcPr>
          <w:p>
            <w:pPr>
              <w:ind w:left="1120"/>
              <w:spacing w:after="0"/>
              <w:rPr>
                <w:sz w:val="20"/>
                <w:szCs w:val="20"/>
                <w:color w:val="auto"/>
              </w:rPr>
            </w:pPr>
            <w:r>
              <w:rPr>
                <w:rFonts w:ascii="Arial" w:cs="Arial" w:eastAsia="Arial" w:hAnsi="Arial"/>
                <w:sz w:val="19"/>
                <w:szCs w:val="19"/>
                <w:color w:val="auto"/>
              </w:rPr>
              <w:t>Net cash used in operating activities</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9"/>
                <w:szCs w:val="19"/>
                <w:color w:val="auto"/>
                <w:w w:val="96"/>
              </w:rPr>
              <w:t>(12,993)</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3"/>
              </w:rPr>
              <w:t>(17,771)</w:t>
            </w:r>
          </w:p>
        </w:tc>
        <w:tc>
          <w:tcPr>
            <w:tcW w:w="0" w:type="dxa"/>
            <w:vAlign w:val="bottom"/>
          </w:tcPr>
          <w:p>
            <w:pPr>
              <w:spacing w:after="0"/>
              <w:rPr>
                <w:sz w:val="1"/>
                <w:szCs w:val="1"/>
                <w:color w:val="auto"/>
              </w:rPr>
            </w:pPr>
          </w:p>
        </w:tc>
      </w:tr>
      <w:tr>
        <w:trPr>
          <w:trHeight w:val="236"/>
        </w:trPr>
        <w:tc>
          <w:tcPr>
            <w:tcW w:w="8200" w:type="dxa"/>
            <w:vAlign w:val="bottom"/>
            <w:gridSpan w:val="2"/>
          </w:tcPr>
          <w:p>
            <w:pPr>
              <w:spacing w:after="0"/>
              <w:rPr>
                <w:sz w:val="20"/>
                <w:szCs w:val="20"/>
                <w:color w:val="auto"/>
              </w:rPr>
            </w:pPr>
            <w:r>
              <w:rPr>
                <w:rFonts w:ascii="Arial" w:cs="Arial" w:eastAsia="Arial" w:hAnsi="Arial"/>
                <w:sz w:val="19"/>
                <w:szCs w:val="19"/>
                <w:b w:val="1"/>
                <w:bCs w:val="1"/>
                <w:color w:val="auto"/>
              </w:rPr>
              <w:t>CASH FLOWS FROM INVESTING ACTIVITIES:</w:t>
            </w:r>
          </w:p>
        </w:tc>
        <w:tc>
          <w:tcPr>
            <w:tcW w:w="1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Purchase of property and equipment</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9"/>
                <w:szCs w:val="19"/>
                <w:color w:val="auto"/>
              </w:rPr>
              <w:t>(2,250)</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vMerge w:val="restart"/>
          </w:tcPr>
          <w:p>
            <w:pPr>
              <w:ind w:left="1120"/>
              <w:spacing w:after="0"/>
              <w:rPr>
                <w:sz w:val="20"/>
                <w:szCs w:val="20"/>
                <w:color w:val="auto"/>
              </w:rPr>
            </w:pPr>
            <w:r>
              <w:rPr>
                <w:rFonts w:ascii="Arial" w:cs="Arial" w:eastAsia="Arial" w:hAnsi="Arial"/>
                <w:sz w:val="19"/>
                <w:szCs w:val="19"/>
                <w:color w:val="auto"/>
              </w:rPr>
              <w:t>Net cash used in investing activities</w:t>
            </w:r>
          </w:p>
        </w:tc>
        <w:tc>
          <w:tcPr>
            <w:tcW w:w="1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8180" w:type="dxa"/>
            <w:vAlign w:val="bottom"/>
            <w:vMerge w:val="continue"/>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9"/>
                <w:szCs w:val="19"/>
                <w:color w:val="auto"/>
              </w:rPr>
              <w:t>(2,250)</w:t>
            </w:r>
          </w:p>
        </w:tc>
        <w:tc>
          <w:tcPr>
            <w:tcW w:w="14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9"/>
                <w:szCs w:val="19"/>
                <w:color w:val="auto"/>
              </w:rPr>
              <w:t>(801)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CASH FLOWS FROM FINANCING ACTIVITIES:</w:t>
            </w:r>
          </w:p>
        </w:tc>
        <w:tc>
          <w:tcPr>
            <w:tcW w:w="12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tcPr>
          <w:p>
            <w:pPr>
              <w:ind w:left="360"/>
              <w:spacing w:after="0"/>
              <w:rPr>
                <w:sz w:val="20"/>
                <w:szCs w:val="20"/>
                <w:color w:val="auto"/>
              </w:rPr>
            </w:pPr>
            <w:r>
              <w:rPr>
                <w:rFonts w:ascii="Arial" w:cs="Arial" w:eastAsia="Arial" w:hAnsi="Arial"/>
                <w:sz w:val="19"/>
                <w:szCs w:val="19"/>
                <w:color w:val="auto"/>
              </w:rPr>
              <w:t>Payments of convertible preferred stock issuance costs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9"/>
                <w:szCs w:val="19"/>
                <w:color w:val="auto"/>
              </w:rPr>
              <w:t>(77)</w:t>
            </w: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shd w:val="clear" w:color="auto" w:fill="CCEEFF"/>
          </w:tcPr>
          <w:p>
            <w:pPr>
              <w:ind w:left="1120"/>
              <w:spacing w:after="0"/>
              <w:rPr>
                <w:sz w:val="20"/>
                <w:szCs w:val="20"/>
                <w:color w:val="auto"/>
              </w:rPr>
            </w:pPr>
            <w:r>
              <w:rPr>
                <w:rFonts w:ascii="Arial" w:cs="Arial" w:eastAsia="Arial" w:hAnsi="Arial"/>
                <w:sz w:val="19"/>
                <w:szCs w:val="19"/>
                <w:color w:val="auto"/>
              </w:rPr>
              <w:t>Net cash used in financing activities</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9"/>
                <w:szCs w:val="19"/>
                <w:color w:val="auto"/>
              </w:rPr>
              <w:t>(77)</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9"/>
                <w:szCs w:val="19"/>
                <w:color w:val="auto"/>
              </w:rPr>
              <w:t>Net decrease in cash, cash equivalents and restricted cash</w:t>
            </w:r>
          </w:p>
        </w:tc>
        <w:tc>
          <w:tcPr>
            <w:tcW w:w="1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200" w:type="dxa"/>
            <w:vAlign w:val="bottom"/>
            <w:gridSpan w:val="2"/>
            <w:vMerge w:val="continue"/>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9"/>
                <w:szCs w:val="19"/>
                <w:color w:val="auto"/>
                <w:w w:val="96"/>
              </w:rPr>
              <w:t>(15,320)</w:t>
            </w:r>
          </w:p>
        </w:tc>
        <w:tc>
          <w:tcPr>
            <w:tcW w:w="14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9"/>
                <w:szCs w:val="19"/>
                <w:color w:val="auto"/>
                <w:w w:val="93"/>
              </w:rPr>
              <w:t>(18,587)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9"/>
                <w:szCs w:val="19"/>
                <w:color w:val="auto"/>
              </w:rPr>
              <w:t>Cash, cash equivalents, and restricted cash at beginning of period</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66,358</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51,038</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9"/>
                <w:szCs w:val="19"/>
                <w:color w:val="auto"/>
              </w:rPr>
              <w:t>Cash, cash equivalents, and restricted cash at end of period</w:t>
            </w:r>
          </w:p>
        </w:tc>
        <w:tc>
          <w:tcPr>
            <w:tcW w:w="1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200" w:type="dxa"/>
            <w:vAlign w:val="bottom"/>
            <w:gridSpan w:val="2"/>
            <w:vMerge w:val="continue"/>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51,038</w:t>
            </w:r>
          </w:p>
        </w:tc>
        <w:tc>
          <w:tcPr>
            <w:tcW w:w="5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9"/>
                <w:szCs w:val="19"/>
                <w:color w:val="auto"/>
              </w:rPr>
              <w:t>32,451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NON-CASH INVESTING AND FINANCING ACTIVITIES:</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tcPr>
          <w:p>
            <w:pPr>
              <w:ind w:left="360"/>
              <w:spacing w:after="0"/>
              <w:rPr>
                <w:sz w:val="20"/>
                <w:szCs w:val="20"/>
                <w:color w:val="auto"/>
              </w:rPr>
            </w:pPr>
            <w:r>
              <w:rPr>
                <w:rFonts w:ascii="Arial" w:cs="Arial" w:eastAsia="Arial" w:hAnsi="Arial"/>
                <w:sz w:val="19"/>
                <w:szCs w:val="19"/>
                <w:color w:val="auto"/>
              </w:rPr>
              <w:t>Property and equipment purchases included in accounts payable and accrued liabilities</w:t>
            </w:r>
          </w:p>
        </w:tc>
        <w:tc>
          <w:tcPr>
            <w:tcW w:w="13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9"/>
                <w:szCs w:val="19"/>
                <w:color w:val="auto"/>
              </w:rPr>
              <w:t>176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9"/>
                <w:szCs w:val="19"/>
                <w:color w:val="auto"/>
              </w:rPr>
              <w:t>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81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Issuance costs for convertible preferred stock included in accounts payable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F-6</w:t>
      </w:r>
    </w:p>
    <w:p>
      <w:pPr>
        <w:sectPr>
          <w:pgSz w:w="12240" w:h="15840" w:orient="portrait"/>
          <w:cols w:equalWidth="0" w:num="1">
            <w:col w:w="11820"/>
          </w:cols>
          <w:pgMar w:left="120" w:top="336" w:right="300" w:bottom="1440" w:gutter="0" w:footer="0" w:header="0"/>
        </w:sectPr>
      </w:pPr>
    </w:p>
    <w:bookmarkStart w:id="197" w:name="page198"/>
    <w:bookmarkEnd w:id="19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66" w:lineRule="exact"/>
        <w:rPr>
          <w:sz w:val="20"/>
          <w:szCs w:val="20"/>
          <w:color w:val="auto"/>
        </w:rPr>
      </w:pPr>
    </w:p>
    <w:p>
      <w:pPr>
        <w:ind w:left="640" w:hanging="461"/>
        <w:spacing w:after="0"/>
        <w:tabs>
          <w:tab w:leader="none" w:pos="640" w:val="left"/>
        </w:tabs>
        <w:numPr>
          <w:ilvl w:val="0"/>
          <w:numId w:val="124"/>
        </w:numPr>
        <w:rPr>
          <w:rFonts w:ascii="Arial" w:cs="Arial" w:eastAsia="Arial" w:hAnsi="Arial"/>
          <w:sz w:val="19"/>
          <w:szCs w:val="19"/>
          <w:b w:val="1"/>
          <w:bCs w:val="1"/>
          <w:color w:val="auto"/>
        </w:rPr>
      </w:pPr>
      <w:r>
        <w:rPr>
          <w:rFonts w:ascii="Arial" w:cs="Arial" w:eastAsia="Arial" w:hAnsi="Arial"/>
          <w:sz w:val="19"/>
          <w:szCs w:val="19"/>
          <w:b w:val="1"/>
          <w:bCs w:val="1"/>
          <w:color w:val="auto"/>
        </w:rPr>
        <w:t>The Company and Liquidity</w:t>
      </w:r>
    </w:p>
    <w:p>
      <w:pPr>
        <w:spacing w:after="0" w:line="129" w:lineRule="exact"/>
        <w:rPr>
          <w:rFonts w:ascii="Arial" w:cs="Arial" w:eastAsia="Arial" w:hAnsi="Arial"/>
          <w:sz w:val="19"/>
          <w:szCs w:val="19"/>
          <w:b w:val="1"/>
          <w:bCs w:val="1"/>
          <w:color w:val="auto"/>
        </w:rPr>
      </w:pPr>
    </w:p>
    <w:p>
      <w:pPr>
        <w:ind w:left="640" w:right="112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Alector, Inc. (“Alector” or the “Company”) is a Delaware corporation headquartered in South San Francisco, California. Alector is a biotechnology company focused on harnessing the immune system to cure neurodegenerative diseases.</w:t>
      </w:r>
    </w:p>
    <w:p>
      <w:pPr>
        <w:spacing w:after="0" w:line="297" w:lineRule="exact"/>
        <w:rPr>
          <w:rFonts w:ascii="Arial" w:cs="Arial" w:eastAsia="Arial" w:hAnsi="Arial"/>
          <w:sz w:val="19"/>
          <w:szCs w:val="19"/>
          <w:b w:val="1"/>
          <w:bCs w:val="1"/>
          <w:color w:val="auto"/>
        </w:rPr>
      </w:pPr>
    </w:p>
    <w:p>
      <w:pPr>
        <w:ind w:left="640"/>
        <w:spacing w:after="0"/>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Conversion</w:t>
      </w:r>
    </w:p>
    <w:p>
      <w:pPr>
        <w:spacing w:after="0" w:line="123" w:lineRule="exact"/>
        <w:rPr>
          <w:rFonts w:ascii="Arial" w:cs="Arial" w:eastAsia="Arial" w:hAnsi="Arial"/>
          <w:sz w:val="19"/>
          <w:szCs w:val="19"/>
          <w:b w:val="1"/>
          <w:bCs w:val="1"/>
          <w:color w:val="auto"/>
        </w:rPr>
      </w:pPr>
    </w:p>
    <w:p>
      <w:pPr>
        <w:ind w:left="640"/>
        <w:spacing w:after="0" w:line="287" w:lineRule="auto"/>
        <w:rPr>
          <w:rFonts w:ascii="Arial" w:cs="Arial" w:eastAsia="Arial" w:hAnsi="Arial"/>
          <w:sz w:val="19"/>
          <w:szCs w:val="19"/>
          <w:b w:val="1"/>
          <w:bCs w:val="1"/>
          <w:color w:val="auto"/>
        </w:rPr>
      </w:pPr>
      <w:r>
        <w:rPr>
          <w:rFonts w:ascii="Arial" w:cs="Arial" w:eastAsia="Arial" w:hAnsi="Arial"/>
          <w:sz w:val="17"/>
          <w:szCs w:val="17"/>
          <w:color w:val="auto"/>
        </w:rPr>
        <w:t>Alector was originally formed in May 2013 as a Delaware limited liability company under the name Alector LLC. In October 2017, the Company completed a reorganization whereby the Company converted from a Delaware limited liability company named Alector LLC to a Delaware corporation named under the name Alector, Inc. (the “Conversion”). In conjunction with the Conversion, (i) all of the Company’s outstanding common units converted on a 1-for-1 basis into shares of common stock, par value $0.0001; (ii) all of the Company’s outstanding preferred units converted on a 1-for-1 basis into shares of convertible preferred stock, par value $0.0001; and (iii) the Company’s 202,924 unvested restricted units converted on a 1-for-1 basis into shares of unvested restricted common stock. Prior to the Conversion, the Company had issued profit interest units to employees. The Company’s vested profit interest units converted on a net issuance basis into shares of common stock and the Company’s unvested profit interest units converted on a net issuance basis into restricted common stock. Fractional shares related to the conversion of profit interest grants were settled in cash. All vesting provisions remained the same following the Conversion.</w:t>
      </w:r>
    </w:p>
    <w:p>
      <w:pPr>
        <w:spacing w:after="0" w:line="292" w:lineRule="exact"/>
        <w:rPr>
          <w:rFonts w:ascii="Arial" w:cs="Arial" w:eastAsia="Arial" w:hAnsi="Arial"/>
          <w:sz w:val="19"/>
          <w:szCs w:val="19"/>
          <w:b w:val="1"/>
          <w:bCs w:val="1"/>
          <w:color w:val="auto"/>
        </w:rPr>
      </w:pPr>
    </w:p>
    <w:p>
      <w:pPr>
        <w:ind w:left="640"/>
        <w:spacing w:after="0"/>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Liquidity and Capital Resources</w:t>
      </w:r>
    </w:p>
    <w:p>
      <w:pPr>
        <w:spacing w:after="0" w:line="123" w:lineRule="exact"/>
        <w:rPr>
          <w:rFonts w:ascii="Arial" w:cs="Arial" w:eastAsia="Arial" w:hAnsi="Arial"/>
          <w:sz w:val="19"/>
          <w:szCs w:val="19"/>
          <w:b w:val="1"/>
          <w:bCs w:val="1"/>
          <w:color w:val="auto"/>
        </w:rPr>
      </w:pPr>
    </w:p>
    <w:p>
      <w:pPr>
        <w:ind w:left="640" w:right="80"/>
        <w:spacing w:after="0" w:line="268" w:lineRule="auto"/>
        <w:rPr>
          <w:rFonts w:ascii="Arial" w:cs="Arial" w:eastAsia="Arial" w:hAnsi="Arial"/>
          <w:sz w:val="19"/>
          <w:szCs w:val="19"/>
          <w:b w:val="1"/>
          <w:bCs w:val="1"/>
          <w:color w:val="auto"/>
        </w:rPr>
      </w:pPr>
      <w:r>
        <w:rPr>
          <w:rFonts w:ascii="Arial" w:cs="Arial" w:eastAsia="Arial" w:hAnsi="Arial"/>
          <w:sz w:val="18"/>
          <w:szCs w:val="18"/>
          <w:color w:val="auto"/>
        </w:rPr>
        <w:t>The Company has incurred net operating losses since inception. As of December 31, 2016 and 2017, the Company had an accumulated deficit of approximately $29.7 million and $62.2 million and has not generated positive cash flows from operations. Management believes that its existing financial resources are sufficient to continue operating activities at least one year past the issuance date of these consolidated financial statements. To date, the Company has been able to fund its operations through the issuance and sale of preferred units and convertible preferred stock in addition to the Company’s license and collaboration agreement with AbbVie Biotechnology, Ltd. (“AbbVie”). Future capital requirements will depend on many factors, including the timing and extent of spending on research and development and the market acceptance of the Company’s products.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 These factors would have a material adverse effect on the Company’s future financial results, financial position, and cash flows.</w:t>
      </w:r>
    </w:p>
    <w:p>
      <w:pPr>
        <w:spacing w:after="0" w:line="346" w:lineRule="exact"/>
        <w:rPr>
          <w:rFonts w:ascii="Arial" w:cs="Arial" w:eastAsia="Arial" w:hAnsi="Arial"/>
          <w:sz w:val="19"/>
          <w:szCs w:val="19"/>
          <w:b w:val="1"/>
          <w:bCs w:val="1"/>
          <w:color w:val="auto"/>
        </w:rPr>
      </w:pPr>
    </w:p>
    <w:p>
      <w:pPr>
        <w:ind w:left="640" w:right="7620" w:hanging="461"/>
        <w:spacing w:after="0" w:line="379" w:lineRule="auto"/>
        <w:tabs>
          <w:tab w:leader="none" w:pos="631" w:val="left"/>
        </w:tabs>
        <w:numPr>
          <w:ilvl w:val="0"/>
          <w:numId w:val="12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Summary of Significant Accounting Policies </w:t>
      </w:r>
      <w:r>
        <w:rPr>
          <w:rFonts w:ascii="Arial" w:cs="Arial" w:eastAsia="Arial" w:hAnsi="Arial"/>
          <w:sz w:val="19"/>
          <w:szCs w:val="19"/>
          <w:b w:val="1"/>
          <w:bCs w:val="1"/>
          <w:i w:val="1"/>
          <w:iCs w:val="1"/>
          <w:color w:val="auto"/>
        </w:rPr>
        <w:t>Basis of Presentation</w:t>
      </w:r>
    </w:p>
    <w:p>
      <w:pPr>
        <w:ind w:left="640" w:right="460"/>
        <w:spacing w:after="0" w:line="308" w:lineRule="auto"/>
        <w:rPr>
          <w:rFonts w:ascii="Arial" w:cs="Arial" w:eastAsia="Arial" w:hAnsi="Arial"/>
          <w:sz w:val="19"/>
          <w:szCs w:val="19"/>
          <w:b w:val="1"/>
          <w:bCs w:val="1"/>
          <w:color w:val="auto"/>
        </w:rPr>
      </w:pPr>
      <w:r>
        <w:rPr>
          <w:rFonts w:ascii="Arial" w:cs="Arial" w:eastAsia="Arial" w:hAnsi="Arial"/>
          <w:sz w:val="17"/>
          <w:szCs w:val="17"/>
          <w:color w:val="auto"/>
        </w:rPr>
        <w:t>The consolidated financial statements have been prepared in conformity with generally accepted accounting principles in the United States (“GAAP”) as defined by the Financial Accounting Standards Board (“FASB”). The consolidated financial statements include the accounts of Alector, Inc. and its wholly owned subsidiaries. All intercompany balances and transactions have been eliminated in consolidation.</w:t>
      </w:r>
    </w:p>
    <w:p>
      <w:pPr>
        <w:spacing w:after="0" w:line="274" w:lineRule="exact"/>
        <w:rPr>
          <w:rFonts w:ascii="Arial" w:cs="Arial" w:eastAsia="Arial" w:hAnsi="Arial"/>
          <w:sz w:val="19"/>
          <w:szCs w:val="19"/>
          <w:b w:val="1"/>
          <w:bCs w:val="1"/>
          <w:color w:val="auto"/>
        </w:rPr>
      </w:pPr>
    </w:p>
    <w:p>
      <w:pPr>
        <w:ind w:left="640"/>
        <w:spacing w:after="0"/>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Use of Estimates</w:t>
      </w:r>
    </w:p>
    <w:p>
      <w:pPr>
        <w:spacing w:after="0" w:line="123" w:lineRule="exact"/>
        <w:rPr>
          <w:rFonts w:ascii="Arial" w:cs="Arial" w:eastAsia="Arial" w:hAnsi="Arial"/>
          <w:sz w:val="19"/>
          <w:szCs w:val="19"/>
          <w:b w:val="1"/>
          <w:bCs w:val="1"/>
          <w:color w:val="auto"/>
        </w:rPr>
      </w:pPr>
    </w:p>
    <w:p>
      <w:pPr>
        <w:ind w:left="640" w:right="42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The preparation of consolidated financial statements in conformity with GAAP requires management to make estimates and assumptions that affect the reported amounts of assets and liabilities and disclosure of</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F-7</w:t>
      </w:r>
    </w:p>
    <w:p>
      <w:pPr>
        <w:sectPr>
          <w:pgSz w:w="12240" w:h="15840" w:orient="portrait"/>
          <w:cols w:equalWidth="0" w:num="1">
            <w:col w:w="11820"/>
          </w:cols>
          <w:pgMar w:left="120" w:top="336" w:right="300" w:bottom="1440" w:gutter="0" w:footer="0" w:header="0"/>
        </w:sectPr>
      </w:pPr>
    </w:p>
    <w:bookmarkStart w:id="198" w:name="page199"/>
    <w:bookmarkEnd w:id="19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spacing w:after="0" w:line="256" w:lineRule="auto"/>
        <w:rPr>
          <w:sz w:val="20"/>
          <w:szCs w:val="20"/>
          <w:color w:val="auto"/>
        </w:rPr>
      </w:pPr>
      <w:r>
        <w:rPr>
          <w:rFonts w:ascii="Arial" w:cs="Arial" w:eastAsia="Arial" w:hAnsi="Arial"/>
          <w:sz w:val="19"/>
          <w:szCs w:val="19"/>
          <w:color w:val="auto"/>
        </w:rPr>
        <w:t>contingent assets and liabilities at the date of the consolidated financial statements and the reported amounts of revenue and expense during the reporting period. The Company evaluates its estimates, including those related to revenue recognition, manufacturing accruals, fair value of assets and liabilities, income taxes uncertainties, stock-based compensation, and related assumptions on an ongoing basis using historical experience and other factors and adjusts those estimates and assumptions when facts and circumstances dictate. Actual results could materially differ from those estimates</w:t>
      </w:r>
      <w:r>
        <w:rPr>
          <w:rFonts w:ascii="Arial" w:cs="Arial" w:eastAsia="Arial" w:hAnsi="Arial"/>
          <w:sz w:val="19"/>
          <w:szCs w:val="19"/>
          <w:i w:val="1"/>
          <w:iCs w:val="1"/>
          <w:color w:val="auto"/>
        </w:rPr>
        <w:t>.</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Concentration of Credit Risk</w:t>
      </w:r>
    </w:p>
    <w:p>
      <w:pPr>
        <w:spacing w:after="0" w:line="124" w:lineRule="exact"/>
        <w:rPr>
          <w:sz w:val="20"/>
          <w:szCs w:val="20"/>
          <w:color w:val="auto"/>
        </w:rPr>
      </w:pPr>
    </w:p>
    <w:p>
      <w:pPr>
        <w:ind w:left="640" w:right="540"/>
        <w:spacing w:after="0" w:line="308"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and cash equivalents. Cash and cash equivalents are deposited in checking and sweep accounts at a financial institution. Such deposits may, at times, exceed federally insured limits. The Company has not experienced any losses on its deposits of cash and cash equivalents.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Cash, Cash Equivalents, and Restricted Cash</w:t>
      </w:r>
    </w:p>
    <w:p>
      <w:pPr>
        <w:spacing w:after="0" w:line="124" w:lineRule="exact"/>
        <w:rPr>
          <w:sz w:val="20"/>
          <w:szCs w:val="20"/>
          <w:color w:val="auto"/>
        </w:rPr>
      </w:pPr>
    </w:p>
    <w:p>
      <w:pPr>
        <w:ind w:left="640" w:right="40"/>
        <w:spacing w:after="0" w:line="263" w:lineRule="auto"/>
        <w:rPr>
          <w:sz w:val="20"/>
          <w:szCs w:val="20"/>
          <w:color w:val="auto"/>
        </w:rPr>
      </w:pPr>
      <w:r>
        <w:rPr>
          <w:rFonts w:ascii="Arial" w:cs="Arial" w:eastAsia="Arial" w:hAnsi="Arial"/>
          <w:sz w:val="19"/>
          <w:szCs w:val="19"/>
          <w:color w:val="auto"/>
        </w:rPr>
        <w:t>The Company considers all highly liquid investments with original maturities of 90 days or less at the date of purchase to be cash and cash equivalents. Cash equivalents, which consist of amounts invested in money market funds, are stated at fair value. There are no unrealized gains or losses on the money market funds for the periods presented.</w:t>
      </w:r>
    </w:p>
    <w:p>
      <w:pPr>
        <w:spacing w:after="0" w:line="80" w:lineRule="exact"/>
        <w:rPr>
          <w:sz w:val="20"/>
          <w:szCs w:val="20"/>
          <w:color w:val="auto"/>
        </w:rPr>
      </w:pPr>
    </w:p>
    <w:p>
      <w:pPr>
        <w:ind w:left="640" w:right="680"/>
        <w:spacing w:after="0" w:line="275" w:lineRule="auto"/>
        <w:rPr>
          <w:sz w:val="20"/>
          <w:szCs w:val="20"/>
          <w:color w:val="auto"/>
        </w:rPr>
      </w:pPr>
      <w:r>
        <w:rPr>
          <w:rFonts w:ascii="Arial" w:cs="Arial" w:eastAsia="Arial" w:hAnsi="Arial"/>
          <w:sz w:val="19"/>
          <w:szCs w:val="19"/>
          <w:color w:val="auto"/>
        </w:rPr>
        <w:t>Restricted cash consists of a money market account that serves as collateral for a credit card agreement at one of the Company’s financial institutions. The entire amount was refunded to the Company in December 2017.</w:t>
      </w:r>
    </w:p>
    <w:p>
      <w:pPr>
        <w:spacing w:after="0" w:line="70" w:lineRule="exact"/>
        <w:rPr>
          <w:sz w:val="20"/>
          <w:szCs w:val="20"/>
          <w:color w:val="auto"/>
        </w:rPr>
      </w:pPr>
    </w:p>
    <w:p>
      <w:pPr>
        <w:ind w:left="640" w:right="40"/>
        <w:spacing w:after="0" w:line="271" w:lineRule="auto"/>
        <w:rPr>
          <w:sz w:val="20"/>
          <w:szCs w:val="20"/>
          <w:color w:val="auto"/>
        </w:rPr>
      </w:pPr>
      <w:r>
        <w:rPr>
          <w:rFonts w:ascii="Arial" w:cs="Arial" w:eastAsia="Arial" w:hAnsi="Arial"/>
          <w:sz w:val="18"/>
          <w:szCs w:val="18"/>
          <w:color w:val="auto"/>
        </w:rPr>
        <w:t xml:space="preserve">In November 2016, the FASB issued Accounting Standards Update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which requires restricted cash to be presented with cash and cash equivalents on the consolidated statement of cash flows when reconciling the beginning-of-period and end-of-period total amounts and disclosure of how the amounts on the consolidated statement of cash flows reconciles to the balance sheet. The Company early adopted the standard as of January 1, 2017, on a retrospective basis, wherein the statement of cash flow of each period presented was adjusted to reflect the effects of applying the new guidance. The following table provides a reconciliation of cash, cash equivalents, and restricted cash reported within the consolidated balance sheets that sum to the total of the same amounts shown in the consolidated statements of cash flows:</w:t>
      </w:r>
    </w:p>
    <w:p>
      <w:pPr>
        <w:spacing w:after="0" w:line="209" w:lineRule="exact"/>
        <w:rPr>
          <w:sz w:val="20"/>
          <w:szCs w:val="20"/>
          <w:color w:val="auto"/>
        </w:rPr>
      </w:pPr>
    </w:p>
    <w:tbl>
      <w:tblPr>
        <w:tblLayout w:type="fixed"/>
        <w:tblInd w:w="1580" w:type="dxa"/>
        <w:tblCellMar>
          <w:top w:w="0" w:type="dxa"/>
          <w:left w:w="0" w:type="dxa"/>
          <w:bottom w:w="0" w:type="dxa"/>
          <w:right w:w="0" w:type="dxa"/>
        </w:tblCellMar>
      </w:tblPr>
      <w:tr>
        <w:trPr>
          <w:trHeight w:val="180"/>
        </w:trPr>
        <w:tc>
          <w:tcPr>
            <w:tcW w:w="5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5"/>
          </w:tcPr>
          <w:p>
            <w:pPr>
              <w:jc w:val="right"/>
              <w:ind w:right="340"/>
              <w:spacing w:after="0"/>
              <w:rPr>
                <w:sz w:val="20"/>
                <w:szCs w:val="20"/>
                <w:color w:val="auto"/>
              </w:rPr>
            </w:pPr>
            <w:r>
              <w:rPr>
                <w:rFonts w:ascii="Arial" w:cs="Arial" w:eastAsia="Arial" w:hAnsi="Arial"/>
                <w:sz w:val="15"/>
                <w:szCs w:val="15"/>
                <w:b w:val="1"/>
                <w:bCs w:val="1"/>
                <w:color w:val="auto"/>
                <w:w w:val="97"/>
              </w:rPr>
              <w:t>Year Ended December 31,</w:t>
            </w:r>
          </w:p>
        </w:tc>
      </w:tr>
      <w:tr>
        <w:trPr>
          <w:trHeight w:val="151"/>
        </w:trPr>
        <w:tc>
          <w:tcPr>
            <w:tcW w:w="5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4"/>
              <w:spacing w:after="0" w:line="151" w:lineRule="exact"/>
              <w:rPr>
                <w:sz w:val="20"/>
                <w:szCs w:val="20"/>
                <w:color w:val="auto"/>
              </w:rPr>
            </w:pPr>
            <w:r>
              <w:rPr>
                <w:rFonts w:ascii="Arial" w:cs="Arial" w:eastAsia="Arial" w:hAnsi="Arial"/>
                <w:sz w:val="15"/>
                <w:szCs w:val="15"/>
                <w:b w:val="1"/>
                <w:bCs w:val="1"/>
                <w:color w:val="auto"/>
              </w:rPr>
              <w:t>2016</w:t>
            </w:r>
          </w:p>
        </w:tc>
        <w:tc>
          <w:tcPr>
            <w:tcW w:w="7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0"/>
              <w:spacing w:after="0" w:line="151" w:lineRule="exact"/>
              <w:rPr>
                <w:sz w:val="20"/>
                <w:szCs w:val="20"/>
                <w:color w:val="auto"/>
              </w:rPr>
            </w:pPr>
            <w:r>
              <w:rPr>
                <w:rFonts w:ascii="Arial" w:cs="Arial" w:eastAsia="Arial" w:hAnsi="Arial"/>
                <w:sz w:val="15"/>
                <w:szCs w:val="15"/>
                <w:b w:val="1"/>
                <w:bCs w:val="1"/>
                <w:color w:val="auto"/>
              </w:rPr>
              <w:t>2017</w:t>
            </w:r>
          </w:p>
        </w:tc>
        <w:tc>
          <w:tcPr>
            <w:tcW w:w="60" w:type="dxa"/>
            <w:vAlign w:val="bottom"/>
          </w:tcPr>
          <w:p>
            <w:pPr>
              <w:spacing w:after="0"/>
              <w:rPr>
                <w:sz w:val="13"/>
                <w:szCs w:val="13"/>
                <w:color w:val="auto"/>
              </w:rPr>
            </w:pPr>
          </w:p>
        </w:tc>
      </w:tr>
      <w:tr>
        <w:trPr>
          <w:trHeight w:val="151"/>
        </w:trPr>
        <w:tc>
          <w:tcPr>
            <w:tcW w:w="5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3"/>
          </w:tcPr>
          <w:p>
            <w:pPr>
              <w:jc w:val="right"/>
              <w:spacing w:after="0" w:line="151" w:lineRule="exact"/>
              <w:rPr>
                <w:sz w:val="20"/>
                <w:szCs w:val="20"/>
                <w:color w:val="auto"/>
              </w:rPr>
            </w:pPr>
            <w:r>
              <w:rPr>
                <w:rFonts w:ascii="Arial" w:cs="Arial" w:eastAsia="Arial" w:hAnsi="Arial"/>
                <w:sz w:val="15"/>
                <w:szCs w:val="15"/>
                <w:b w:val="1"/>
                <w:bCs w:val="1"/>
                <w:color w:val="auto"/>
              </w:rPr>
              <w:t>(In thousands)</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8"/>
        </w:trPr>
        <w:tc>
          <w:tcPr>
            <w:tcW w:w="5260" w:type="dxa"/>
            <w:vAlign w:val="bottom"/>
            <w:shd w:val="clear" w:color="auto" w:fill="CCEEFF"/>
          </w:tcPr>
          <w:p>
            <w:pPr>
              <w:spacing w:after="0"/>
              <w:rPr>
                <w:sz w:val="20"/>
                <w:szCs w:val="20"/>
                <w:color w:val="auto"/>
              </w:rPr>
            </w:pPr>
            <w:r>
              <w:rPr>
                <w:rFonts w:ascii="Arial" w:cs="Arial" w:eastAsia="Arial" w:hAnsi="Arial"/>
                <w:sz w:val="19"/>
                <w:szCs w:val="19"/>
                <w:color w:val="auto"/>
              </w:rPr>
              <w:t>Cash and cash equivalents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9"/>
                <w:szCs w:val="19"/>
                <w:color w:val="auto"/>
                <w:w w:val="99"/>
              </w:rPr>
              <w:t>50,838</w:t>
            </w: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9"/>
              </w:rPr>
              <w:t>32,451</w:t>
            </w:r>
          </w:p>
        </w:tc>
      </w:tr>
      <w:tr>
        <w:trPr>
          <w:trHeight w:val="228"/>
        </w:trPr>
        <w:tc>
          <w:tcPr>
            <w:tcW w:w="5260" w:type="dxa"/>
            <w:vAlign w:val="bottom"/>
          </w:tcPr>
          <w:p>
            <w:pPr>
              <w:spacing w:after="0"/>
              <w:rPr>
                <w:sz w:val="20"/>
                <w:szCs w:val="20"/>
                <w:color w:val="auto"/>
              </w:rPr>
            </w:pPr>
            <w:r>
              <w:rPr>
                <w:rFonts w:ascii="Arial" w:cs="Arial" w:eastAsia="Arial" w:hAnsi="Arial"/>
                <w:sz w:val="19"/>
                <w:szCs w:val="19"/>
                <w:color w:val="auto"/>
              </w:rPr>
              <w:t>Restricted cash</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200</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r>
      <w:tr>
        <w:trPr>
          <w:trHeight w:val="29"/>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52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cash, cash equivalents, and restricted cash</w:t>
            </w: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9"/>
              </w:rPr>
              <w:t>51,038</w:t>
            </w: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9"/>
              </w:rPr>
              <w:t>32,451</w:t>
            </w:r>
          </w:p>
        </w:tc>
      </w:tr>
      <w:tr>
        <w:trPr>
          <w:trHeight w:val="20"/>
        </w:trPr>
        <w:tc>
          <w:tcPr>
            <w:tcW w:w="5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Fair Value of Financial Instruments</w:t>
      </w:r>
    </w:p>
    <w:p>
      <w:pPr>
        <w:spacing w:after="0" w:line="124" w:lineRule="exact"/>
        <w:rPr>
          <w:sz w:val="20"/>
          <w:szCs w:val="20"/>
          <w:color w:val="auto"/>
        </w:rPr>
      </w:pPr>
    </w:p>
    <w:p>
      <w:pPr>
        <w:ind w:left="640" w:right="260"/>
        <w:spacing w:after="0" w:line="275" w:lineRule="auto"/>
        <w:rPr>
          <w:sz w:val="20"/>
          <w:szCs w:val="20"/>
          <w:color w:val="auto"/>
        </w:rPr>
      </w:pPr>
      <w:r>
        <w:rPr>
          <w:rFonts w:ascii="Arial" w:cs="Arial" w:eastAsia="Arial" w:hAnsi="Arial"/>
          <w:sz w:val="19"/>
          <w:szCs w:val="19"/>
          <w:color w:val="auto"/>
        </w:rPr>
        <w:t>The Company’s financial instruments include cash and cash equivalents, receivables, accounts payable, and accrued liabilities. The Company’s financial instruments approximate fair value due to their relatively short maturities.</w:t>
      </w:r>
    </w:p>
    <w:p>
      <w:pPr>
        <w:spacing w:after="0" w:line="70" w:lineRule="exact"/>
        <w:rPr>
          <w:sz w:val="20"/>
          <w:szCs w:val="20"/>
          <w:color w:val="auto"/>
        </w:rPr>
      </w:pPr>
    </w:p>
    <w:p>
      <w:pPr>
        <w:ind w:left="640" w:right="100"/>
        <w:spacing w:after="0" w:line="275" w:lineRule="auto"/>
        <w:rPr>
          <w:sz w:val="20"/>
          <w:szCs w:val="20"/>
          <w:color w:val="auto"/>
        </w:rPr>
      </w:pPr>
      <w:r>
        <w:rPr>
          <w:rFonts w:ascii="Arial" w:cs="Arial" w:eastAsia="Arial" w:hAnsi="Arial"/>
          <w:sz w:val="19"/>
          <w:szCs w:val="19"/>
          <w:color w:val="auto"/>
        </w:rPr>
        <w:t>The Company utilizes valuation techniques that maximize the use of observable inputs and minimize the use of unobservable inputs to the extent possible. The Company determines the fair value of its financial</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F-8</w:t>
      </w:r>
    </w:p>
    <w:p>
      <w:pPr>
        <w:sectPr>
          <w:pgSz w:w="12240" w:h="15840" w:orient="portrait"/>
          <w:cols w:equalWidth="0" w:num="1">
            <w:col w:w="11780"/>
          </w:cols>
          <w:pgMar w:left="120" w:top="336" w:right="340" w:bottom="1440" w:gutter="0" w:footer="0" w:header="0"/>
        </w:sectPr>
      </w:pPr>
    </w:p>
    <w:bookmarkStart w:id="199" w:name="page200"/>
    <w:bookmarkEnd w:id="19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spacing w:after="0" w:line="263" w:lineRule="auto"/>
        <w:rPr>
          <w:sz w:val="20"/>
          <w:szCs w:val="20"/>
          <w:color w:val="auto"/>
        </w:rPr>
      </w:pPr>
      <w:r>
        <w:rPr>
          <w:rFonts w:ascii="Arial" w:cs="Arial" w:eastAsia="Arial" w:hAnsi="Arial"/>
          <w:sz w:val="19"/>
          <w:szCs w:val="19"/>
          <w:color w:val="auto"/>
        </w:rPr>
        <w:t>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80" w:lineRule="exact"/>
        <w:rPr>
          <w:sz w:val="20"/>
          <w:szCs w:val="20"/>
          <w:color w:val="auto"/>
        </w:rPr>
      </w:pPr>
    </w:p>
    <w:p>
      <w:pPr>
        <w:ind w:left="1120"/>
        <w:spacing w:after="0"/>
        <w:rPr>
          <w:sz w:val="20"/>
          <w:szCs w:val="20"/>
          <w:color w:val="auto"/>
        </w:rPr>
      </w:pPr>
      <w:r>
        <w:rPr>
          <w:rFonts w:ascii="Arial" w:cs="Arial" w:eastAsia="Arial" w:hAnsi="Arial"/>
          <w:sz w:val="19"/>
          <w:szCs w:val="19"/>
          <w:i w:val="1"/>
          <w:iCs w:val="1"/>
          <w:color w:val="auto"/>
        </w:rPr>
        <w:t xml:space="preserve">Level 1 </w:t>
      </w:r>
      <w:r>
        <w:rPr>
          <w:rFonts w:ascii="Arial" w:cs="Arial" w:eastAsia="Arial" w:hAnsi="Arial"/>
          <w:sz w:val="19"/>
          <w:szCs w:val="19"/>
          <w:color w:val="auto"/>
        </w:rPr>
        <w:t>– Inputs are unadjusted, quoted prices in active markets for identical assets or liabilities at the measurement date;</w:t>
      </w:r>
    </w:p>
    <w:p>
      <w:pPr>
        <w:spacing w:after="0" w:line="124" w:lineRule="exact"/>
        <w:rPr>
          <w:sz w:val="20"/>
          <w:szCs w:val="20"/>
          <w:color w:val="auto"/>
        </w:rPr>
      </w:pPr>
    </w:p>
    <w:p>
      <w:pPr>
        <w:ind w:left="1120"/>
        <w:spacing w:after="0" w:line="263" w:lineRule="auto"/>
        <w:rPr>
          <w:sz w:val="20"/>
          <w:szCs w:val="20"/>
          <w:color w:val="auto"/>
        </w:rPr>
      </w:pPr>
      <w:r>
        <w:rPr>
          <w:rFonts w:ascii="Arial" w:cs="Arial" w:eastAsia="Arial" w:hAnsi="Arial"/>
          <w:sz w:val="19"/>
          <w:szCs w:val="19"/>
          <w:i w:val="1"/>
          <w:iCs w:val="1"/>
          <w:color w:val="auto"/>
        </w:rPr>
        <w:t xml:space="preserve">Level 2 </w:t>
      </w:r>
      <w:r>
        <w:rPr>
          <w:rFonts w:ascii="Arial" w:cs="Arial" w:eastAsia="Arial" w:hAnsi="Arial"/>
          <w:sz w:val="19"/>
          <w:szCs w:val="19"/>
          <w:color w:val="auto"/>
        </w:rPr>
        <w:t>– Inputs are observable, unadjusted quoted prices in active markets for similar assets or liabilities, unadjusted quoted prices for</w:t>
      </w:r>
      <w:r>
        <w:rPr>
          <w:rFonts w:ascii="Arial" w:cs="Arial" w:eastAsia="Arial" w:hAnsi="Arial"/>
          <w:sz w:val="19"/>
          <w:szCs w:val="19"/>
          <w:i w:val="1"/>
          <w:iCs w:val="1"/>
          <w:color w:val="auto"/>
        </w:rPr>
        <w:t xml:space="preserve"> </w:t>
      </w:r>
      <w:r>
        <w:rPr>
          <w:rFonts w:ascii="Arial" w:cs="Arial" w:eastAsia="Arial" w:hAnsi="Arial"/>
          <w:sz w:val="19"/>
          <w:szCs w:val="19"/>
          <w:color w:val="auto"/>
        </w:rPr>
        <w:t>identical or similar assets or liabilities in markets that are not active, or other inputs that are observable or can be corroborated by observable market data for substantially the full term of the related assets or liabilities; and</w:t>
      </w:r>
    </w:p>
    <w:p>
      <w:pPr>
        <w:spacing w:after="0" w:line="80" w:lineRule="exact"/>
        <w:rPr>
          <w:sz w:val="20"/>
          <w:szCs w:val="20"/>
          <w:color w:val="auto"/>
        </w:rPr>
      </w:pPr>
    </w:p>
    <w:p>
      <w:pPr>
        <w:ind w:left="1120" w:right="140"/>
        <w:spacing w:after="0" w:line="275" w:lineRule="auto"/>
        <w:rPr>
          <w:sz w:val="20"/>
          <w:szCs w:val="20"/>
          <w:color w:val="auto"/>
        </w:rPr>
      </w:pPr>
      <w:r>
        <w:rPr>
          <w:rFonts w:ascii="Arial" w:cs="Arial" w:eastAsia="Arial" w:hAnsi="Arial"/>
          <w:sz w:val="19"/>
          <w:szCs w:val="19"/>
          <w:i w:val="1"/>
          <w:iCs w:val="1"/>
          <w:color w:val="auto"/>
        </w:rPr>
        <w:t xml:space="preserve">Level 3 </w:t>
      </w:r>
      <w:r>
        <w:rPr>
          <w:rFonts w:ascii="Arial" w:cs="Arial" w:eastAsia="Arial" w:hAnsi="Arial"/>
          <w:sz w:val="19"/>
          <w:szCs w:val="19"/>
          <w:color w:val="auto"/>
        </w:rPr>
        <w:t>– Unobservable inputs that are significant to the measurement of the fair value of the assets or liabilities that are supported by little</w:t>
      </w:r>
      <w:r>
        <w:rPr>
          <w:rFonts w:ascii="Arial" w:cs="Arial" w:eastAsia="Arial" w:hAnsi="Arial"/>
          <w:sz w:val="19"/>
          <w:szCs w:val="19"/>
          <w:i w:val="1"/>
          <w:iCs w:val="1"/>
          <w:color w:val="auto"/>
        </w:rPr>
        <w:t xml:space="preserve"> </w:t>
      </w:r>
      <w:r>
        <w:rPr>
          <w:rFonts w:ascii="Arial" w:cs="Arial" w:eastAsia="Arial" w:hAnsi="Arial"/>
          <w:sz w:val="19"/>
          <w:szCs w:val="19"/>
          <w:color w:val="auto"/>
        </w:rPr>
        <w:t>or no market data.</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Property and Equipment</w:t>
      </w:r>
    </w:p>
    <w:p>
      <w:pPr>
        <w:spacing w:after="0" w:line="124" w:lineRule="exact"/>
        <w:rPr>
          <w:sz w:val="20"/>
          <w:szCs w:val="20"/>
          <w:color w:val="auto"/>
        </w:rPr>
      </w:pPr>
    </w:p>
    <w:p>
      <w:pPr>
        <w:ind w:left="640" w:right="40"/>
        <w:spacing w:after="0" w:line="255" w:lineRule="auto"/>
        <w:rPr>
          <w:sz w:val="20"/>
          <w:szCs w:val="20"/>
          <w:color w:val="auto"/>
        </w:rPr>
      </w:pPr>
      <w:r>
        <w:rPr>
          <w:rFonts w:ascii="Arial" w:cs="Arial" w:eastAsia="Arial" w:hAnsi="Arial"/>
          <w:sz w:val="19"/>
          <w:szCs w:val="19"/>
          <w:color w:val="auto"/>
        </w:rPr>
        <w:t>Property and equipment are stated at cost, net of accumulated depreciation and amortization. Depreciation and amortization is computed using the straight-line method over the estimated useful lives of the respective assets, generally three to five years. Leasehold improvements are amortized over the lesser of their useful lives or the remaining life of the lease. When assets are retired or otherwise disposed of, the cost and related accumulated depreciation and amortization are removed from the consolidated balance sheet and the resulting gain or loss is reflected in the consolidated statements of operations in the period realized. Maintenance and repairs are charged to the consolidated statements of operations as incurred.</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Impairment of Long-Lived Assets</w:t>
      </w:r>
    </w:p>
    <w:p>
      <w:pPr>
        <w:spacing w:after="0" w:line="124" w:lineRule="exact"/>
        <w:rPr>
          <w:sz w:val="20"/>
          <w:szCs w:val="20"/>
          <w:color w:val="auto"/>
        </w:rPr>
      </w:pPr>
    </w:p>
    <w:p>
      <w:pPr>
        <w:ind w:left="640"/>
        <w:spacing w:after="0" w:line="256" w:lineRule="auto"/>
        <w:rPr>
          <w:sz w:val="20"/>
          <w:szCs w:val="20"/>
          <w:color w:val="auto"/>
        </w:rPr>
      </w:pPr>
      <w:r>
        <w:rPr>
          <w:rFonts w:ascii="Arial" w:cs="Arial" w:eastAsia="Arial" w:hAnsi="Arial"/>
          <w:sz w:val="19"/>
          <w:szCs w:val="19"/>
          <w:color w:val="auto"/>
        </w:rPr>
        <w:t>The Company reviews long-lived assets for impairment whenever events or changes in circumstances indicate that the carrying amount of an asset may not be recoverable. Recoverability is measured by comparing the carrying amount to the future net undiscounted cash flows which the assets are expected to generate. If such assets are considered to be impaired, the impairment to be recognized is measured by the amount by which the carrying amount of the assets exceeds the projected discounted future net cash flows arising from the asset. The Company has not identified any such impairment losses to date.</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124" w:lineRule="exact"/>
        <w:rPr>
          <w:sz w:val="20"/>
          <w:szCs w:val="20"/>
          <w:color w:val="auto"/>
        </w:rPr>
      </w:pPr>
    </w:p>
    <w:p>
      <w:pPr>
        <w:ind w:left="640" w:right="120"/>
        <w:spacing w:after="0" w:line="269"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This new standard will replace most of the existing revenue recognition guidance in GAAP. The Company has early adopted the new standard using the full retrospective method as of January 1, 2017. Prior to January 1, 2017, the Company’s revenues were derived from a government grant. The adoption of ASC 606 did not affect the Company’s accounting for the government grant. Under ASC 606, an entity recognizes revenue when control of promised goods or services are transferred to customers in an amount that reflects the consideration that is expected to be received for those goods or services. In determining the appropriate amount of revenue to be recognized as the Company fulfills its obligations under arrangements, the Company performs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the performance obligation.</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F-9</w:t>
      </w:r>
    </w:p>
    <w:p>
      <w:pPr>
        <w:sectPr>
          <w:pgSz w:w="12240" w:h="15840" w:orient="portrait"/>
          <w:cols w:equalWidth="0" w:num="1">
            <w:col w:w="11800"/>
          </w:cols>
          <w:pgMar w:left="120" w:top="336" w:right="320" w:bottom="1440" w:gutter="0" w:footer="0" w:header="0"/>
        </w:sectPr>
      </w:pPr>
    </w:p>
    <w:bookmarkStart w:id="200" w:name="page201"/>
    <w:bookmarkEnd w:id="20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Collaboration Revenue</w:t>
      </w:r>
    </w:p>
    <w:p>
      <w:pPr>
        <w:spacing w:after="0" w:line="124" w:lineRule="exact"/>
        <w:rPr>
          <w:sz w:val="20"/>
          <w:szCs w:val="20"/>
          <w:color w:val="auto"/>
        </w:rPr>
      </w:pPr>
    </w:p>
    <w:p>
      <w:pPr>
        <w:ind w:left="640"/>
        <w:spacing w:after="0" w:line="268" w:lineRule="auto"/>
        <w:rPr>
          <w:sz w:val="20"/>
          <w:szCs w:val="20"/>
          <w:color w:val="auto"/>
        </w:rPr>
      </w:pPr>
      <w:r>
        <w:rPr>
          <w:rFonts w:ascii="Arial" w:cs="Arial" w:eastAsia="Arial" w:hAnsi="Arial"/>
          <w:sz w:val="18"/>
          <w:szCs w:val="18"/>
          <w:color w:val="auto"/>
        </w:rPr>
        <w:t>The Company signed an agreement in October 2017 with AbbVie to co-develop antibodies to two program targets in preclinical development. Under the terms of the agreement, AbbVie made $205.0 million in upfront payments, of which $5.0 million and $200.0 million was received by the Company in October 2017 and January 2018, respectively. The Company will perform research and development services for the antibodies to the two programs through the end of Phase 2 clinical trials which the Company expects to conduct through 2023. AbbVie will then have the exclusive right to exercise an option to enter into a license and collaboration agreement with the Company for one or both of the programs for $250.0 million each. If AbbVie exercises its option for the programs, AbbVie will take over the development of the product candidates for such program and costs will be split between the parties. The Company will also share in profits and losses upon commercialization of any products from such program. However, following AbbVie’s exercise of its option for a program, the Company may opt out of sharing in development costs and profits or losses for that program and instead receive tiered royalties. Additionally, under the terms of the agreement, the Company will be eligible to earn up to an additional $242.8 million in milestone payments per program related to the initiation of certain clinical studies and regulatory approval for up to three indications per program. The Company assessed its collaboration agreement with AbbVie in the context of the delivery of the research and development services.</w:t>
      </w:r>
    </w:p>
    <w:p>
      <w:pPr>
        <w:spacing w:after="0" w:line="79" w:lineRule="exact"/>
        <w:rPr>
          <w:sz w:val="20"/>
          <w:szCs w:val="20"/>
          <w:color w:val="auto"/>
        </w:rPr>
      </w:pPr>
    </w:p>
    <w:p>
      <w:pPr>
        <w:ind w:left="640"/>
        <w:spacing w:after="0" w:line="269" w:lineRule="auto"/>
        <w:rPr>
          <w:sz w:val="20"/>
          <w:szCs w:val="20"/>
          <w:color w:val="auto"/>
        </w:rPr>
      </w:pPr>
      <w:r>
        <w:rPr>
          <w:rFonts w:ascii="Arial" w:cs="Arial" w:eastAsia="Arial" w:hAnsi="Arial"/>
          <w:sz w:val="18"/>
          <w:szCs w:val="18"/>
          <w:color w:val="auto"/>
        </w:rPr>
        <w:t>The Company has determined that there are two research and development performance obligations as part of the agreement with AbbVie, one research and development performance obligation for each of the two research and development programs. The non-refundable upfront cash payments of $5.0 million and $200.0 million received in October 2017 and January 2018, respectively, were included in the transaction price. None of the remaining development and regulatory milestone and program opt-in payment amounts have been included in the transaction price, as all these amounts were fully constrained as of December 31, 2017. As part of the Company’s evaluation of the constraint, the Company considered numerous factors, including that receipt of the milestone amounts is outside the control of the Company and contingent upon success in future clinical trials. Any consideration related to royalties on net product sales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80" w:lineRule="exact"/>
        <w:rPr>
          <w:sz w:val="20"/>
          <w:szCs w:val="20"/>
          <w:color w:val="auto"/>
        </w:rPr>
      </w:pPr>
    </w:p>
    <w:p>
      <w:pPr>
        <w:ind w:left="640"/>
        <w:spacing w:after="0" w:line="289" w:lineRule="auto"/>
        <w:rPr>
          <w:sz w:val="20"/>
          <w:szCs w:val="20"/>
          <w:color w:val="auto"/>
        </w:rPr>
      </w:pPr>
      <w:r>
        <w:rPr>
          <w:rFonts w:ascii="Arial" w:cs="Arial" w:eastAsia="Arial" w:hAnsi="Arial"/>
          <w:sz w:val="17"/>
          <w:szCs w:val="17"/>
          <w:color w:val="auto"/>
        </w:rPr>
        <w:t>The Company recognizes collaboration revenue by measuring the progress toward complete satisfaction of the performance obligation using an input measure. In order to recognize revenue over the research and development period, the Company measures actual costs incurred to date compared to the overall total expected costs to satisfy the performance obligation. Revenues are recognized as the program costs are incurred. The Company will re-evaluate the estimate of expected costs to satisfy the performance obligation each reporting period and make adjustments for any significant changes. Collaboration revenue under the Company’s collaboration agreement with AbbVie during 2017 was $2.9 million. The Company recorded deferred revenue of $202.1 million as of December 31, 2017. The deferred revenue is expected to be recognized over the research and development period of the programs through the completion of Phase 2 clinical trials.</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Grant Revenue</w:t>
      </w:r>
    </w:p>
    <w:p>
      <w:pPr>
        <w:spacing w:after="0" w:line="124" w:lineRule="exact"/>
        <w:rPr>
          <w:sz w:val="20"/>
          <w:szCs w:val="20"/>
          <w:color w:val="auto"/>
        </w:rPr>
      </w:pPr>
    </w:p>
    <w:p>
      <w:pPr>
        <w:ind w:left="640" w:right="40"/>
        <w:spacing w:after="0" w:line="259" w:lineRule="auto"/>
        <w:rPr>
          <w:sz w:val="20"/>
          <w:szCs w:val="20"/>
          <w:color w:val="auto"/>
        </w:rPr>
      </w:pPr>
      <w:r>
        <w:rPr>
          <w:rFonts w:ascii="Arial" w:cs="Arial" w:eastAsia="Arial" w:hAnsi="Arial"/>
          <w:sz w:val="19"/>
          <w:szCs w:val="19"/>
          <w:color w:val="auto"/>
        </w:rPr>
        <w:t>The Company has grant revenue from the U.S. government. In March 2016, the National Institute on Aging, a division of the National Institute of Health of the U.S. government, awarded the Company a Small Business Innovation Research grant. The Company recognized $0.4 million and $0.9 million in 2016 and 2017, respectively, related to research performed under the grant. The Company recognizes grant revenue as the related research services are performed.</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F-10</w:t>
      </w:r>
    </w:p>
    <w:p>
      <w:pPr>
        <w:sectPr>
          <w:pgSz w:w="12240" w:h="15840" w:orient="portrait"/>
          <w:cols w:equalWidth="0" w:num="1">
            <w:col w:w="11780"/>
          </w:cols>
          <w:pgMar w:left="120" w:top="337" w:right="340" w:bottom="1440" w:gutter="0" w:footer="0" w:header="0"/>
        </w:sectPr>
      </w:pPr>
    </w:p>
    <w:bookmarkStart w:id="201" w:name="page202"/>
    <w:bookmarkEnd w:id="20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Research and Development Costs</w:t>
      </w:r>
    </w:p>
    <w:p>
      <w:pPr>
        <w:spacing w:after="0" w:line="124" w:lineRule="exact"/>
        <w:rPr>
          <w:sz w:val="20"/>
          <w:szCs w:val="20"/>
          <w:color w:val="auto"/>
        </w:rPr>
      </w:pPr>
    </w:p>
    <w:p>
      <w:pPr>
        <w:ind w:left="640" w:right="40"/>
        <w:spacing w:after="0" w:line="256" w:lineRule="auto"/>
        <w:rPr>
          <w:sz w:val="20"/>
          <w:szCs w:val="20"/>
          <w:color w:val="auto"/>
        </w:rPr>
      </w:pPr>
      <w:r>
        <w:rPr>
          <w:rFonts w:ascii="Arial" w:cs="Arial" w:eastAsia="Arial" w:hAnsi="Arial"/>
          <w:sz w:val="19"/>
          <w:szCs w:val="19"/>
          <w:color w:val="auto"/>
        </w:rPr>
        <w:t>Research and development costs are expensed as incurred and consist primarily of new product development. Research and development costs include salaries and benefits, consultants’ fees, process development costs, stock-based compensation and laboratory supplies, as well as fees paid to third parties that conduct certain research and development activities on the Company’s behalf. In addition, research and development costs include the reimbursable costs incurred for the grant agreements, which includes payroll costs for time incurred on projects, laboratory supplies, and third-party research and development activities.</w:t>
      </w:r>
    </w:p>
    <w:p>
      <w:pPr>
        <w:spacing w:after="0" w:line="90" w:lineRule="exact"/>
        <w:rPr>
          <w:sz w:val="20"/>
          <w:szCs w:val="20"/>
          <w:color w:val="auto"/>
        </w:rPr>
      </w:pPr>
    </w:p>
    <w:p>
      <w:pPr>
        <w:ind w:left="640"/>
        <w:spacing w:after="0" w:line="287" w:lineRule="auto"/>
        <w:rPr>
          <w:sz w:val="20"/>
          <w:szCs w:val="20"/>
          <w:color w:val="auto"/>
        </w:rPr>
      </w:pPr>
      <w:r>
        <w:rPr>
          <w:rFonts w:ascii="Arial" w:cs="Arial" w:eastAsia="Arial" w:hAnsi="Arial"/>
          <w:sz w:val="17"/>
          <w:szCs w:val="17"/>
          <w:color w:val="auto"/>
        </w:rPr>
        <w:t>A substantial portion of the Company’s ongoing research and development activities are conducted by third-party service providers. The Company records accrued expenses for estimated preclinical study and clinical trial expenses. Estimates are based on the services performed pursuant to contracts with research institutions, contract research organizations in connection with clinical studies, investigative sites in connection with clinical studies, vendors in connection with preclinical development activities, and contract manufacturing organizations in connection with the production of materials for clinical trials. Further, the Company accrues expenses related to clinical trials based on the level of patient enrollment and activity according to the related agreement. The Company monitors patient enrollment levels and related activity to the extent reasonably possible and make judgments and estimates in determining the accrued balance in each reporting period. If the Company underestimates or overestimates the level of services performed or the costs of these services, actual expenses could differ from estimates. To date, the Company has not experienced significant changes in its estimates of preclinical studies and clinical trial accruals.</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Stock-based Compensation</w:t>
      </w:r>
    </w:p>
    <w:p>
      <w:pPr>
        <w:spacing w:after="0" w:line="124"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Stock-based compensation for employee awards is measured on the grant date based on the fair value of the award and recognized on a straight-line basis over the requisite service period. The fair value of units granted without a strike price and restricted common stock is estimated using the Company’s unit or share price on the grant date. The fair value of units with a strike price and options to purchase common stock are measured using the Black-Scholes option-pricing model. The Company accounts for forfeitures as they occur.</w:t>
      </w:r>
    </w:p>
    <w:p>
      <w:pPr>
        <w:spacing w:after="0" w:line="71" w:lineRule="exact"/>
        <w:rPr>
          <w:sz w:val="20"/>
          <w:szCs w:val="20"/>
          <w:color w:val="auto"/>
        </w:rPr>
      </w:pPr>
    </w:p>
    <w:p>
      <w:pPr>
        <w:ind w:left="640" w:right="300"/>
        <w:spacing w:after="0" w:line="275" w:lineRule="auto"/>
        <w:rPr>
          <w:sz w:val="20"/>
          <w:szCs w:val="20"/>
          <w:color w:val="auto"/>
        </w:rPr>
      </w:pPr>
      <w:r>
        <w:rPr>
          <w:rFonts w:ascii="Arial" w:cs="Arial" w:eastAsia="Arial" w:hAnsi="Arial"/>
          <w:sz w:val="19"/>
          <w:szCs w:val="19"/>
          <w:color w:val="auto"/>
        </w:rPr>
        <w:t>Stock-based compensation arrangements with nonemployees are recognized on the date of grant and remeasured to fair value at each reporting period. The expense is recognized over the vesting period which is generally the service period.</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Comprehensive Loss</w:t>
      </w:r>
    </w:p>
    <w:p>
      <w:pPr>
        <w:spacing w:after="0" w:line="124" w:lineRule="exact"/>
        <w:rPr>
          <w:sz w:val="20"/>
          <w:szCs w:val="20"/>
          <w:color w:val="auto"/>
        </w:rPr>
      </w:pPr>
    </w:p>
    <w:p>
      <w:pPr>
        <w:ind w:left="640" w:right="500"/>
        <w:spacing w:after="0" w:line="275" w:lineRule="auto"/>
        <w:rPr>
          <w:sz w:val="20"/>
          <w:szCs w:val="20"/>
          <w:color w:val="auto"/>
        </w:rPr>
      </w:pPr>
      <w:r>
        <w:rPr>
          <w:rFonts w:ascii="Arial" w:cs="Arial" w:eastAsia="Arial" w:hAnsi="Arial"/>
          <w:sz w:val="19"/>
          <w:szCs w:val="19"/>
          <w:color w:val="auto"/>
        </w:rPr>
        <w:t>There are no components of other comprehensive loss for the Company. Thus, comprehensive loss is the same as the net loss for the periods presented.</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Income Taxes</w:t>
      </w:r>
    </w:p>
    <w:p>
      <w:pPr>
        <w:spacing w:after="0" w:line="124" w:lineRule="exact"/>
        <w:rPr>
          <w:sz w:val="20"/>
          <w:szCs w:val="20"/>
          <w:color w:val="auto"/>
        </w:rPr>
      </w:pPr>
    </w:p>
    <w:p>
      <w:pPr>
        <w:ind w:left="640" w:right="300"/>
        <w:spacing w:after="0" w:line="277" w:lineRule="auto"/>
        <w:rPr>
          <w:sz w:val="20"/>
          <w:szCs w:val="20"/>
          <w:color w:val="auto"/>
        </w:rPr>
      </w:pPr>
      <w:r>
        <w:rPr>
          <w:rFonts w:ascii="Arial" w:cs="Arial" w:eastAsia="Arial" w:hAnsi="Arial"/>
          <w:sz w:val="18"/>
          <w:szCs w:val="18"/>
          <w:color w:val="auto"/>
        </w:rPr>
        <w:t>Alector LLC was a Delaware limited liability company and “pass-through” entity for federal and state income tax purposes. As a result, the Company’s taxable losses were allocated to the members in accordance with the LLC operating agreement. Accordingly, no federal or state income tax was assessed to Alector LLC from inception through October 12, 2017. Subsequent to the Conversion, Alector, Inc., as a Delaware corporation and parent company of Alector LLC, is subject to federal, state, and local income taxes.</w:t>
      </w:r>
    </w:p>
    <w:p>
      <w:pPr>
        <w:spacing w:after="0" w:line="71" w:lineRule="exact"/>
        <w:rPr>
          <w:sz w:val="20"/>
          <w:szCs w:val="20"/>
          <w:color w:val="auto"/>
        </w:rPr>
      </w:pPr>
    </w:p>
    <w:p>
      <w:pPr>
        <w:ind w:left="640" w:right="140"/>
        <w:spacing w:after="0" w:line="275" w:lineRule="auto"/>
        <w:rPr>
          <w:sz w:val="20"/>
          <w:szCs w:val="20"/>
          <w:color w:val="auto"/>
        </w:rPr>
      </w:pPr>
      <w:r>
        <w:rPr>
          <w:rFonts w:ascii="Arial" w:cs="Arial" w:eastAsia="Arial" w:hAnsi="Arial"/>
          <w:sz w:val="19"/>
          <w:szCs w:val="19"/>
          <w:color w:val="auto"/>
        </w:rPr>
        <w:t>The Company accounts for income taxes under the asset and liability method, which requires the recognition of deferred tax assets and liabilities for the expected future tax consequences of events that have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F-11</w:t>
      </w:r>
    </w:p>
    <w:p>
      <w:pPr>
        <w:sectPr>
          <w:pgSz w:w="12240" w:h="15840" w:orient="portrait"/>
          <w:cols w:equalWidth="0" w:num="1">
            <w:col w:w="11800"/>
          </w:cols>
          <w:pgMar w:left="120" w:top="336" w:right="320" w:bottom="1440" w:gutter="0" w:footer="0" w:header="0"/>
        </w:sectPr>
      </w:pPr>
    </w:p>
    <w:bookmarkStart w:id="202" w:name="page203"/>
    <w:bookmarkEnd w:id="20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right="160"/>
        <w:spacing w:after="0" w:line="259" w:lineRule="auto"/>
        <w:rPr>
          <w:sz w:val="20"/>
          <w:szCs w:val="20"/>
          <w:color w:val="auto"/>
        </w:rPr>
      </w:pPr>
      <w:r>
        <w:rPr>
          <w:rFonts w:ascii="Arial" w:cs="Arial" w:eastAsia="Arial" w:hAnsi="Arial"/>
          <w:sz w:val="19"/>
          <w:szCs w:val="19"/>
          <w:color w:val="auto"/>
        </w:rPr>
        <w:t>been included in the financial statements. Under this method, deferred tax assets and liabilities are determined on the basis of the differences between the financial statement and tax bases of assets and liabilities by using enacted tax rates in effect for the year in which the differences are expected to recover or settle. The effect of a change in tax rates on deferred tax assets and liabilities is recognized in income in the period that includes the enactment date.</w:t>
      </w:r>
    </w:p>
    <w:p>
      <w:pPr>
        <w:spacing w:after="0" w:line="84" w:lineRule="exact"/>
        <w:rPr>
          <w:sz w:val="20"/>
          <w:szCs w:val="20"/>
          <w:color w:val="auto"/>
        </w:rPr>
      </w:pPr>
    </w:p>
    <w:p>
      <w:pPr>
        <w:ind w:left="640" w:right="20"/>
        <w:spacing w:after="0" w:line="259" w:lineRule="auto"/>
        <w:rPr>
          <w:sz w:val="20"/>
          <w:szCs w:val="20"/>
          <w:color w:val="auto"/>
        </w:rPr>
      </w:pPr>
      <w:r>
        <w:rPr>
          <w:rFonts w:ascii="Arial" w:cs="Arial" w:eastAsia="Arial" w:hAnsi="Arial"/>
          <w:sz w:val="19"/>
          <w:szCs w:val="19"/>
          <w:color w:val="auto"/>
        </w:rPr>
        <w:t>The deferred tax assets are recognized to the extent the Company believes that these assets are more likely than not to be realized. A valuation allowance is provided when it is more likely than not that some portion or all of a deferred tax asset will not be realized. Due to the Company’s historical operating performance and the recorded cumulative net losses in prior fiscal periods, the net deferred tax assets have been fully offset by a valuation allowance.</w:t>
      </w:r>
    </w:p>
    <w:p>
      <w:pPr>
        <w:spacing w:after="0" w:line="84" w:lineRule="exact"/>
        <w:rPr>
          <w:sz w:val="20"/>
          <w:szCs w:val="20"/>
          <w:color w:val="auto"/>
        </w:rPr>
      </w:pPr>
    </w:p>
    <w:p>
      <w:pPr>
        <w:ind w:left="640" w:right="160"/>
        <w:spacing w:after="0" w:line="259" w:lineRule="auto"/>
        <w:rPr>
          <w:sz w:val="20"/>
          <w:szCs w:val="20"/>
          <w:color w:val="auto"/>
        </w:rPr>
      </w:pPr>
      <w:r>
        <w:rPr>
          <w:rFonts w:ascii="Arial" w:cs="Arial" w:eastAsia="Arial" w:hAnsi="Arial"/>
          <w:sz w:val="19"/>
          <w:szCs w:val="19"/>
          <w:color w:val="auto"/>
        </w:rPr>
        <w:t>The Company records uncertain tax positions using a two-step process. First, the Company determines whether it is more likely than not that the tax positions will be sustained on the basis of the technical merits of the position. Second, for those tax positions that meet the more-likely-than-not recognition threshold, the Company recognizes the largest amount of tax benefit that is more than 50% likely to be realized upon ultimate settlement with the related tax authority.</w:t>
      </w:r>
    </w:p>
    <w:p>
      <w:pPr>
        <w:spacing w:after="0" w:line="84" w:lineRule="exact"/>
        <w:rPr>
          <w:sz w:val="20"/>
          <w:szCs w:val="20"/>
          <w:color w:val="auto"/>
        </w:rPr>
      </w:pPr>
    </w:p>
    <w:p>
      <w:pPr>
        <w:ind w:left="640" w:right="80"/>
        <w:spacing w:after="0" w:line="263" w:lineRule="auto"/>
        <w:rPr>
          <w:sz w:val="20"/>
          <w:szCs w:val="20"/>
          <w:color w:val="auto"/>
        </w:rPr>
      </w:pPr>
      <w:r>
        <w:rPr>
          <w:rFonts w:ascii="Arial" w:cs="Arial" w:eastAsia="Arial" w:hAnsi="Arial"/>
          <w:sz w:val="19"/>
          <w:szCs w:val="19"/>
          <w:color w:val="auto"/>
        </w:rPr>
        <w:t>The Company recognizes interest and penalties related to unrecognized tax benefits on the interest expense line and other expense line, respectively, in the accompanying statements of operations. Accrued interest and penalties are included on the related liability lines in the balance sheet.</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Employee 401(k) Plan</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has a qualified contributory savings plan under Section 401(k) of the Internal Revenue Code (the “Code”) covering substantially all</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 employees of Alector. The 401(k) plan is designed to provide tax-deferred retirement benefits in accordance with the provisions of</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401(k) of the Code. Eligible employees may defer up to 100% of their eligible compensation up to the annual maximum as determined by</w:t>
      </w:r>
    </w:p>
    <w:p>
      <w:pPr>
        <w:spacing w:after="0" w:line="3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Internal Revenue Service. The Company’s contributions to the plan are discretionary. For the years ended December 31, 2016 and 2017, the</w:t>
      </w:r>
    </w:p>
    <w:p>
      <w:pPr>
        <w:spacing w:after="0" w:line="3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Company did not make any contributions to the plan.</w:t>
      </w:r>
    </w:p>
    <w:p>
      <w:pPr>
        <w:spacing w:after="0" w:line="33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Segments</w:t>
      </w:r>
    </w:p>
    <w:p>
      <w:pPr>
        <w:spacing w:after="0" w:line="124" w:lineRule="exact"/>
        <w:rPr>
          <w:sz w:val="20"/>
          <w:szCs w:val="20"/>
          <w:color w:val="auto"/>
        </w:rPr>
      </w:pPr>
    </w:p>
    <w:p>
      <w:pPr>
        <w:ind w:left="640" w:right="140"/>
        <w:spacing w:after="0" w:line="275" w:lineRule="auto"/>
        <w:rPr>
          <w:sz w:val="20"/>
          <w:szCs w:val="20"/>
          <w:color w:val="auto"/>
        </w:rPr>
      </w:pPr>
      <w:r>
        <w:rPr>
          <w:rFonts w:ascii="Arial" w:cs="Arial" w:eastAsia="Arial" w:hAnsi="Arial"/>
          <w:sz w:val="19"/>
          <w:szCs w:val="19"/>
          <w:color w:val="auto"/>
        </w:rPr>
        <w:t>The Company has one operating segment. The Company’s chief decision maker, its Chief Executive Officer, manages the Company’s operations on a consolidated basis for purposes of allocating resources.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Reclassifications</w:t>
      </w:r>
    </w:p>
    <w:p>
      <w:pPr>
        <w:spacing w:after="0" w:line="124" w:lineRule="exact"/>
        <w:rPr>
          <w:sz w:val="20"/>
          <w:szCs w:val="20"/>
          <w:color w:val="auto"/>
        </w:rPr>
      </w:pPr>
    </w:p>
    <w:p>
      <w:pPr>
        <w:ind w:left="640" w:right="460"/>
        <w:spacing w:after="0" w:line="275" w:lineRule="auto"/>
        <w:rPr>
          <w:sz w:val="20"/>
          <w:szCs w:val="20"/>
          <w:color w:val="auto"/>
        </w:rPr>
      </w:pPr>
      <w:r>
        <w:rPr>
          <w:rFonts w:ascii="Arial" w:cs="Arial" w:eastAsia="Arial" w:hAnsi="Arial"/>
          <w:sz w:val="19"/>
          <w:szCs w:val="19"/>
          <w:color w:val="auto"/>
        </w:rPr>
        <w:t>Preferred units has been reclassified to mezzanine equity from permanent equity on the consolidated financial statements for prior periods to conform with the current period presentation.</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Recent Accounting Pronouncements</w:t>
      </w:r>
    </w:p>
    <w:p>
      <w:pPr>
        <w:spacing w:after="0" w:line="124" w:lineRule="exact"/>
        <w:rPr>
          <w:sz w:val="20"/>
          <w:szCs w:val="20"/>
          <w:color w:val="auto"/>
        </w:rPr>
      </w:pPr>
    </w:p>
    <w:p>
      <w:pPr>
        <w:ind w:left="640"/>
        <w:spacing w:after="0" w:line="255" w:lineRule="auto"/>
        <w:rPr>
          <w:sz w:val="20"/>
          <w:szCs w:val="20"/>
          <w:color w:val="auto"/>
        </w:rPr>
      </w:pPr>
      <w:r>
        <w:rPr>
          <w:rFonts w:ascii="Arial" w:cs="Arial" w:eastAsia="Arial" w:hAnsi="Arial"/>
          <w:sz w:val="19"/>
          <w:szCs w:val="19"/>
          <w:color w:val="auto"/>
        </w:rPr>
        <w:t xml:space="preserve">In February 2016, the FASB issued ASU No. 2016-02, </w:t>
      </w:r>
      <w:r>
        <w:rPr>
          <w:rFonts w:ascii="Arial" w:cs="Arial" w:eastAsia="Arial" w:hAnsi="Arial"/>
          <w:sz w:val="19"/>
          <w:szCs w:val="19"/>
          <w:i w:val="1"/>
          <w:iCs w:val="1"/>
          <w:color w:val="auto"/>
        </w:rPr>
        <w:t>Leases</w:t>
      </w:r>
      <w:r>
        <w:rPr>
          <w:rFonts w:ascii="Arial" w:cs="Arial" w:eastAsia="Arial" w:hAnsi="Arial"/>
          <w:sz w:val="19"/>
          <w:szCs w:val="19"/>
          <w:color w:val="auto"/>
        </w:rPr>
        <w:t xml:space="preserve"> (“ASU 2016-02”).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similar to existing guidance for operating leases. The Company will</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F-12</w:t>
      </w:r>
    </w:p>
    <w:p>
      <w:pPr>
        <w:sectPr>
          <w:pgSz w:w="12240" w:h="15840" w:orient="portrait"/>
          <w:cols w:equalWidth="0" w:num="1">
            <w:col w:w="11800"/>
          </w:cols>
          <w:pgMar w:left="120" w:top="336" w:right="320" w:bottom="1440" w:gutter="0" w:footer="0" w:header="0"/>
        </w:sectPr>
      </w:pPr>
    </w:p>
    <w:bookmarkStart w:id="203" w:name="page204"/>
    <w:bookmarkEnd w:id="20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right="40"/>
        <w:spacing w:after="0" w:line="289" w:lineRule="auto"/>
        <w:rPr>
          <w:sz w:val="20"/>
          <w:szCs w:val="20"/>
          <w:color w:val="auto"/>
        </w:rPr>
      </w:pPr>
      <w:r>
        <w:rPr>
          <w:rFonts w:ascii="Arial" w:cs="Arial" w:eastAsia="Arial" w:hAnsi="Arial"/>
          <w:sz w:val="17"/>
          <w:szCs w:val="17"/>
          <w:color w:val="auto"/>
        </w:rPr>
        <w:t xml:space="preserve">adopt ASU 2016-02 effective January 1, 2019. In July 2018, the FASB issued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xml:space="preserve"> (“ASU 2018-11”). In issuing ASU 2018-11, the FASB is permitting another transition method for ASU 2016-02, which allows the transition to the new lease standard by recognizing a cumulative-effect adjustment to the opening balance of retained earnings in the period of adoption. The Company is currently in the process of evaluating the impact the adoption of this new standard on the Company’s financial statements and related disclosures. Management expects that the adoption of this standard will result in the recognition of a right-of-use asset for leased facilities and recognition of a liability for the lease payments remaining on the lease. These changes will be reflected on the consolidated balance sheets. Management does not expect a material change to the consolidated statement of operations and comprehensive loss or cash flows.</w:t>
      </w:r>
    </w:p>
    <w:p>
      <w:pPr>
        <w:spacing w:after="0" w:line="64" w:lineRule="exact"/>
        <w:rPr>
          <w:sz w:val="20"/>
          <w:szCs w:val="20"/>
          <w:color w:val="auto"/>
        </w:rPr>
      </w:pPr>
    </w:p>
    <w:p>
      <w:pPr>
        <w:ind w:left="640"/>
        <w:spacing w:after="0" w:line="274"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The new standard simplifies the accounting for share-based payments to nonemployees by aligning it with the accounting for share-based payments to employees, with certain exceptions. The new standard is effective for public companies for fiscal years beginning after December 15, 2018, including interim periods within that fiscal year. Early adoption is permitted, but no earlier than a company’s adoption date of ASC 606. The Company is currently assessing the impact of this standard on its financial statements and related disclosures.</w:t>
      </w:r>
    </w:p>
    <w:p>
      <w:pPr>
        <w:spacing w:after="0" w:line="338" w:lineRule="exact"/>
        <w:rPr>
          <w:sz w:val="20"/>
          <w:szCs w:val="20"/>
          <w:color w:val="auto"/>
        </w:rPr>
      </w:pPr>
    </w:p>
    <w:p>
      <w:pPr>
        <w:ind w:left="640" w:hanging="461"/>
        <w:spacing w:after="0"/>
        <w:tabs>
          <w:tab w:leader="none" w:pos="640" w:val="left"/>
        </w:tabs>
        <w:numPr>
          <w:ilvl w:val="0"/>
          <w:numId w:val="125"/>
        </w:numPr>
        <w:rPr>
          <w:rFonts w:ascii="Arial" w:cs="Arial" w:eastAsia="Arial" w:hAnsi="Arial"/>
          <w:sz w:val="19"/>
          <w:szCs w:val="19"/>
          <w:b w:val="1"/>
          <w:bCs w:val="1"/>
          <w:color w:val="auto"/>
        </w:rPr>
      </w:pPr>
      <w:r>
        <w:rPr>
          <w:rFonts w:ascii="Arial" w:cs="Arial" w:eastAsia="Arial" w:hAnsi="Arial"/>
          <w:sz w:val="19"/>
          <w:szCs w:val="19"/>
          <w:b w:val="1"/>
          <w:bCs w:val="1"/>
          <w:color w:val="auto"/>
        </w:rPr>
        <w:t>Fair Value Measurements</w:t>
      </w:r>
    </w:p>
    <w:p>
      <w:pPr>
        <w:spacing w:after="0" w:line="129" w:lineRule="exact"/>
        <w:rPr>
          <w:rFonts w:ascii="Arial" w:cs="Arial" w:eastAsia="Arial" w:hAnsi="Arial"/>
          <w:sz w:val="19"/>
          <w:szCs w:val="19"/>
          <w:b w:val="1"/>
          <w:bCs w:val="1"/>
          <w:color w:val="auto"/>
        </w:rPr>
      </w:pPr>
    </w:p>
    <w:p>
      <w:pPr>
        <w:ind w:left="640" w:right="82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The following tables summarize the Company’s financial assets measured at fair value on a recurring basis by level within the fair value hierarchy:</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80"/>
        </w:trPr>
        <w:tc>
          <w:tcPr>
            <w:tcW w:w="65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w w:val="90"/>
              </w:rPr>
              <w:t>December 31, 2016</w:t>
            </w: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1"/>
        </w:trPr>
        <w:tc>
          <w:tcPr>
            <w:tcW w:w="6580" w:type="dxa"/>
            <w:vAlign w:val="bottom"/>
          </w:tcPr>
          <w:p>
            <w:pPr>
              <w:spacing w:after="0"/>
              <w:rPr>
                <w:sz w:val="13"/>
                <w:szCs w:val="13"/>
                <w:color w:val="auto"/>
              </w:rPr>
            </w:pPr>
          </w:p>
        </w:tc>
        <w:tc>
          <w:tcPr>
            <w:tcW w:w="960" w:type="dxa"/>
            <w:vAlign w:val="bottom"/>
            <w:tcBorders>
              <w:bottom w:val="single" w:sz="8" w:color="auto"/>
            </w:tcBorders>
            <w:gridSpan w:val="2"/>
          </w:tcPr>
          <w:p>
            <w:pPr>
              <w:jc w:val="center"/>
              <w:ind w:right="340"/>
              <w:spacing w:after="0" w:line="151" w:lineRule="exact"/>
              <w:rPr>
                <w:sz w:val="20"/>
                <w:szCs w:val="20"/>
                <w:color w:val="auto"/>
              </w:rPr>
            </w:pPr>
            <w:r>
              <w:rPr>
                <w:rFonts w:ascii="Arial" w:cs="Arial" w:eastAsia="Arial" w:hAnsi="Arial"/>
                <w:sz w:val="15"/>
                <w:szCs w:val="15"/>
                <w:b w:val="1"/>
                <w:bCs w:val="1"/>
                <w:color w:val="auto"/>
                <w:w w:val="90"/>
              </w:rPr>
              <w:t>Level 1</w:t>
            </w:r>
          </w:p>
        </w:tc>
        <w:tc>
          <w:tcPr>
            <w:tcW w:w="3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spacing w:after="0" w:line="151" w:lineRule="exact"/>
              <w:rPr>
                <w:sz w:val="20"/>
                <w:szCs w:val="20"/>
                <w:color w:val="auto"/>
              </w:rPr>
            </w:pPr>
            <w:r>
              <w:rPr>
                <w:rFonts w:ascii="Arial" w:cs="Arial" w:eastAsia="Arial" w:hAnsi="Arial"/>
                <w:sz w:val="15"/>
                <w:szCs w:val="15"/>
                <w:b w:val="1"/>
                <w:bCs w:val="1"/>
                <w:color w:val="auto"/>
                <w:w w:val="90"/>
              </w:rPr>
              <w:t>Level 2</w:t>
            </w:r>
          </w:p>
        </w:tc>
        <w:tc>
          <w:tcPr>
            <w:tcW w:w="6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ind w:left="20"/>
              <w:spacing w:after="0" w:line="151" w:lineRule="exact"/>
              <w:rPr>
                <w:sz w:val="20"/>
                <w:szCs w:val="20"/>
                <w:color w:val="auto"/>
              </w:rPr>
            </w:pPr>
            <w:r>
              <w:rPr>
                <w:rFonts w:ascii="Arial" w:cs="Arial" w:eastAsia="Arial" w:hAnsi="Arial"/>
                <w:sz w:val="15"/>
                <w:szCs w:val="15"/>
                <w:b w:val="1"/>
                <w:bCs w:val="1"/>
                <w:color w:val="auto"/>
                <w:w w:val="86"/>
              </w:rPr>
              <w:t>Level 3</w:t>
            </w:r>
          </w:p>
        </w:tc>
        <w:tc>
          <w:tcPr>
            <w:tcW w:w="5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5"/>
                <w:szCs w:val="15"/>
                <w:b w:val="1"/>
                <w:bCs w:val="1"/>
                <w:color w:val="auto"/>
                <w:w w:val="94"/>
              </w:rPr>
              <w:t>Total</w:t>
            </w:r>
          </w:p>
        </w:tc>
        <w:tc>
          <w:tcPr>
            <w:tcW w:w="60" w:type="dxa"/>
            <w:vAlign w:val="bottom"/>
          </w:tcPr>
          <w:p>
            <w:pPr>
              <w:spacing w:after="0"/>
              <w:rPr>
                <w:sz w:val="13"/>
                <w:szCs w:val="13"/>
                <w:color w:val="auto"/>
              </w:rPr>
            </w:pPr>
          </w:p>
        </w:tc>
      </w:tr>
      <w:tr>
        <w:trPr>
          <w:trHeight w:val="151"/>
        </w:trPr>
        <w:tc>
          <w:tcPr>
            <w:tcW w:w="6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160"/>
              <w:spacing w:after="0" w:line="151" w:lineRule="exact"/>
              <w:rPr>
                <w:sz w:val="20"/>
                <w:szCs w:val="20"/>
                <w:color w:val="auto"/>
              </w:rPr>
            </w:pPr>
            <w:r>
              <w:rPr>
                <w:rFonts w:ascii="Arial" w:cs="Arial" w:eastAsia="Arial" w:hAnsi="Arial"/>
                <w:sz w:val="15"/>
                <w:szCs w:val="15"/>
                <w:b w:val="1"/>
                <w:bCs w:val="1"/>
                <w:color w:val="auto"/>
              </w:rPr>
              <w:t>(In thousands)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8"/>
        </w:trPr>
        <w:tc>
          <w:tcPr>
            <w:tcW w:w="658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Assets:</w:t>
            </w: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6580" w:type="dxa"/>
            <w:vAlign w:val="bottom"/>
          </w:tcPr>
          <w:p>
            <w:pPr>
              <w:ind w:left="380"/>
              <w:spacing w:after="0"/>
              <w:rPr>
                <w:sz w:val="20"/>
                <w:szCs w:val="20"/>
                <w:color w:val="auto"/>
              </w:rPr>
            </w:pPr>
            <w:r>
              <w:rPr>
                <w:rFonts w:ascii="Arial" w:cs="Arial" w:eastAsia="Arial" w:hAnsi="Arial"/>
                <w:sz w:val="19"/>
                <w:szCs w:val="19"/>
                <w:color w:val="auto"/>
              </w:rPr>
              <w:t>Money market fund</w:t>
            </w:r>
          </w:p>
        </w:tc>
        <w:tc>
          <w:tcPr>
            <w:tcW w:w="960" w:type="dxa"/>
            <w:vAlign w:val="bottom"/>
            <w:gridSpan w:val="2"/>
          </w:tcPr>
          <w:p>
            <w:pPr>
              <w:jc w:val="center"/>
              <w:ind w:right="340"/>
              <w:spacing w:after="0"/>
              <w:rPr>
                <w:sz w:val="20"/>
                <w:szCs w:val="20"/>
                <w:color w:val="auto"/>
              </w:rPr>
            </w:pPr>
            <w:r>
              <w:rPr>
                <w:rFonts w:ascii="Arial" w:cs="Arial" w:eastAsia="Arial" w:hAnsi="Arial"/>
                <w:sz w:val="19"/>
                <w:szCs w:val="19"/>
                <w:u w:val="single" w:color="auto"/>
                <w:color w:val="auto"/>
                <w:w w:val="90"/>
              </w:rPr>
              <w:t>$</w:t>
            </w:r>
            <w:r>
              <w:rPr>
                <w:rFonts w:ascii="Arial" w:cs="Arial" w:eastAsia="Arial" w:hAnsi="Arial"/>
                <w:sz w:val="19"/>
                <w:szCs w:val="19"/>
                <w:color w:val="auto"/>
                <w:w w:val="90"/>
              </w:rPr>
              <w:t>50,588</w:t>
            </w:r>
          </w:p>
        </w:tc>
        <w:tc>
          <w:tcPr>
            <w:tcW w:w="440" w:type="dxa"/>
            <w:vAlign w:val="bottom"/>
            <w:gridSpan w:val="2"/>
          </w:tcPr>
          <w:p>
            <w:pPr>
              <w:ind w:left="320"/>
              <w:spacing w:after="0"/>
              <w:rPr>
                <w:sz w:val="20"/>
                <w:szCs w:val="20"/>
                <w:color w:val="auto"/>
              </w:rPr>
            </w:pPr>
            <w:r>
              <w:rPr>
                <w:rFonts w:ascii="Arial" w:cs="Arial" w:eastAsia="Arial" w:hAnsi="Arial"/>
                <w:sz w:val="19"/>
                <w:szCs w:val="19"/>
                <w:color w:val="auto"/>
                <w:w w:val="94"/>
              </w:rPr>
              <w:t>$</w:t>
            </w:r>
          </w:p>
        </w:tc>
        <w:tc>
          <w:tcPr>
            <w:tcW w:w="360" w:type="dxa"/>
            <w:vAlign w:val="bottom"/>
          </w:tcPr>
          <w:p>
            <w:pPr>
              <w:ind w:left="160"/>
              <w:spacing w:after="0"/>
              <w:rPr>
                <w:sz w:val="20"/>
                <w:szCs w:val="20"/>
                <w:color w:val="auto"/>
              </w:rPr>
            </w:pPr>
            <w:r>
              <w:rPr>
                <w:rFonts w:ascii="Arial" w:cs="Arial" w:eastAsia="Arial" w:hAnsi="Arial"/>
                <w:sz w:val="19"/>
                <w:szCs w:val="19"/>
                <w:color w:val="auto"/>
                <w:w w:val="94"/>
              </w:rPr>
              <w:t>—</w:t>
            </w:r>
          </w:p>
        </w:tc>
        <w:tc>
          <w:tcPr>
            <w:tcW w:w="900" w:type="dxa"/>
            <w:vAlign w:val="bottom"/>
            <w:gridSpan w:val="2"/>
          </w:tcPr>
          <w:p>
            <w:pPr>
              <w:ind w:left="640"/>
              <w:spacing w:after="0"/>
              <w:rPr>
                <w:sz w:val="20"/>
                <w:szCs w:val="20"/>
                <w:color w:val="auto"/>
              </w:rPr>
            </w:pPr>
            <w:r>
              <w:rPr>
                <w:rFonts w:ascii="Arial" w:cs="Arial" w:eastAsia="Arial" w:hAnsi="Arial"/>
                <w:sz w:val="19"/>
                <w:szCs w:val="19"/>
                <w:color w:val="auto"/>
              </w:rPr>
              <w:t>$</w:t>
            </w:r>
          </w:p>
        </w:tc>
        <w:tc>
          <w:tcPr>
            <w:tcW w:w="220" w:type="dxa"/>
            <w:vAlign w:val="bottom"/>
          </w:tcPr>
          <w:p>
            <w:pPr>
              <w:ind w:left="20"/>
              <w:spacing w:after="0"/>
              <w:rPr>
                <w:sz w:val="20"/>
                <w:szCs w:val="20"/>
                <w:color w:val="auto"/>
              </w:rPr>
            </w:pPr>
            <w:r>
              <w:rPr>
                <w:rFonts w:ascii="Arial" w:cs="Arial" w:eastAsia="Arial" w:hAnsi="Arial"/>
                <w:sz w:val="19"/>
                <w:szCs w:val="19"/>
                <w:color w:val="auto"/>
                <w:w w:val="94"/>
              </w:rPr>
              <w:t>—</w:t>
            </w:r>
          </w:p>
        </w:tc>
        <w:tc>
          <w:tcPr>
            <w:tcW w:w="1220" w:type="dxa"/>
            <w:vAlign w:val="bottom"/>
            <w:gridSpan w:val="3"/>
          </w:tcPr>
          <w:p>
            <w:pPr>
              <w:jc w:val="center"/>
              <w:ind w:left="385"/>
              <w:spacing w:after="0"/>
              <w:rPr>
                <w:sz w:val="20"/>
                <w:szCs w:val="20"/>
                <w:color w:val="auto"/>
              </w:rPr>
            </w:pPr>
            <w:r>
              <w:rPr>
                <w:rFonts w:ascii="Arial" w:cs="Arial" w:eastAsia="Arial" w:hAnsi="Arial"/>
                <w:sz w:val="19"/>
                <w:szCs w:val="19"/>
                <w:u w:val="single" w:color="auto"/>
                <w:color w:val="auto"/>
                <w:w w:val="90"/>
              </w:rPr>
              <w:t>$</w:t>
            </w:r>
            <w:r>
              <w:rPr>
                <w:rFonts w:ascii="Arial" w:cs="Arial" w:eastAsia="Arial" w:hAnsi="Arial"/>
                <w:sz w:val="19"/>
                <w:szCs w:val="19"/>
                <w:color w:val="auto"/>
                <w:w w:val="90"/>
              </w:rPr>
              <w:t>50,588</w:t>
            </w:r>
          </w:p>
        </w:tc>
      </w:tr>
      <w:tr>
        <w:trPr>
          <w:trHeight w:val="29"/>
        </w:trPr>
        <w:tc>
          <w:tcPr>
            <w:tcW w:w="6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6580" w:type="dxa"/>
            <w:vAlign w:val="bottom"/>
            <w:shd w:val="clear" w:color="auto" w:fill="CCEEFF"/>
          </w:tcPr>
          <w:p>
            <w:pPr>
              <w:ind w:left="760"/>
              <w:spacing w:after="0"/>
              <w:rPr>
                <w:sz w:val="20"/>
                <w:szCs w:val="20"/>
                <w:color w:val="auto"/>
              </w:rPr>
            </w:pPr>
            <w:r>
              <w:rPr>
                <w:rFonts w:ascii="Arial" w:cs="Arial" w:eastAsia="Arial" w:hAnsi="Arial"/>
                <w:sz w:val="19"/>
                <w:szCs w:val="19"/>
                <w:color w:val="auto"/>
              </w:rPr>
              <w:t>Total financial assets</w:t>
            </w:r>
          </w:p>
        </w:tc>
        <w:tc>
          <w:tcPr>
            <w:tcW w:w="960" w:type="dxa"/>
            <w:vAlign w:val="bottom"/>
            <w:gridSpan w:val="2"/>
            <w:shd w:val="clear" w:color="auto" w:fill="CCEEFF"/>
          </w:tcPr>
          <w:p>
            <w:pPr>
              <w:jc w:val="center"/>
              <w:ind w:right="340"/>
              <w:spacing w:after="0"/>
              <w:rPr>
                <w:sz w:val="20"/>
                <w:szCs w:val="20"/>
                <w:color w:val="auto"/>
              </w:rPr>
            </w:pPr>
            <w:r>
              <w:rPr>
                <w:rFonts w:ascii="Arial" w:cs="Arial" w:eastAsia="Arial" w:hAnsi="Arial"/>
                <w:sz w:val="19"/>
                <w:szCs w:val="19"/>
                <w:u w:val="single" w:color="auto"/>
                <w:color w:val="auto"/>
                <w:w w:val="90"/>
              </w:rPr>
              <w:t>$</w:t>
            </w:r>
            <w:r>
              <w:rPr>
                <w:rFonts w:ascii="Arial" w:cs="Arial" w:eastAsia="Arial" w:hAnsi="Arial"/>
                <w:sz w:val="19"/>
                <w:szCs w:val="19"/>
                <w:color w:val="auto"/>
                <w:w w:val="90"/>
              </w:rPr>
              <w:t>50,588</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9"/>
                <w:szCs w:val="19"/>
                <w:color w:val="auto"/>
                <w:w w:val="94"/>
              </w:rPr>
              <w:t>$</w:t>
            </w:r>
          </w:p>
        </w:tc>
        <w:tc>
          <w:tcPr>
            <w:tcW w:w="360" w:type="dxa"/>
            <w:vAlign w:val="bottom"/>
            <w:shd w:val="clear" w:color="auto" w:fill="CCEEFF"/>
          </w:tcPr>
          <w:p>
            <w:pPr>
              <w:ind w:left="160"/>
              <w:spacing w:after="0"/>
              <w:rPr>
                <w:sz w:val="20"/>
                <w:szCs w:val="20"/>
                <w:color w:val="auto"/>
              </w:rPr>
            </w:pPr>
            <w:r>
              <w:rPr>
                <w:rFonts w:ascii="Arial" w:cs="Arial" w:eastAsia="Arial" w:hAnsi="Arial"/>
                <w:sz w:val="19"/>
                <w:szCs w:val="19"/>
                <w:color w:val="auto"/>
                <w:w w:val="94"/>
              </w:rPr>
              <w:t>—</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9"/>
                <w:szCs w:val="19"/>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9"/>
                <w:szCs w:val="19"/>
                <w:color w:val="auto"/>
                <w:w w:val="94"/>
              </w:rPr>
              <w:t>—</w:t>
            </w:r>
          </w:p>
        </w:tc>
        <w:tc>
          <w:tcPr>
            <w:tcW w:w="1220" w:type="dxa"/>
            <w:vAlign w:val="bottom"/>
            <w:gridSpan w:val="3"/>
            <w:shd w:val="clear" w:color="auto" w:fill="CCEEFF"/>
          </w:tcPr>
          <w:p>
            <w:pPr>
              <w:jc w:val="center"/>
              <w:ind w:left="385"/>
              <w:spacing w:after="0"/>
              <w:rPr>
                <w:sz w:val="20"/>
                <w:szCs w:val="20"/>
                <w:color w:val="auto"/>
              </w:rPr>
            </w:pPr>
            <w:r>
              <w:rPr>
                <w:rFonts w:ascii="Arial" w:cs="Arial" w:eastAsia="Arial" w:hAnsi="Arial"/>
                <w:sz w:val="19"/>
                <w:szCs w:val="19"/>
                <w:u w:val="single" w:color="auto"/>
                <w:color w:val="auto"/>
                <w:w w:val="90"/>
              </w:rPr>
              <w:t>$</w:t>
            </w:r>
            <w:r>
              <w:rPr>
                <w:rFonts w:ascii="Arial" w:cs="Arial" w:eastAsia="Arial" w:hAnsi="Arial"/>
                <w:sz w:val="19"/>
                <w:szCs w:val="19"/>
                <w:color w:val="auto"/>
                <w:w w:val="90"/>
              </w:rPr>
              <w:t>50,588</w:t>
            </w:r>
          </w:p>
        </w:tc>
      </w:tr>
      <w:tr>
        <w:trPr>
          <w:trHeight w:val="20"/>
        </w:trPr>
        <w:tc>
          <w:tcPr>
            <w:tcW w:w="6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2"/>
        </w:trPr>
        <w:tc>
          <w:tcPr>
            <w:tcW w:w="65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w w:val="90"/>
              </w:rPr>
              <w:t>December 31, 2017</w:t>
            </w: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1"/>
        </w:trPr>
        <w:tc>
          <w:tcPr>
            <w:tcW w:w="6580" w:type="dxa"/>
            <w:vAlign w:val="bottom"/>
          </w:tcPr>
          <w:p>
            <w:pPr>
              <w:spacing w:after="0"/>
              <w:rPr>
                <w:sz w:val="13"/>
                <w:szCs w:val="13"/>
                <w:color w:val="auto"/>
              </w:rPr>
            </w:pPr>
          </w:p>
        </w:tc>
        <w:tc>
          <w:tcPr>
            <w:tcW w:w="960" w:type="dxa"/>
            <w:vAlign w:val="bottom"/>
            <w:tcBorders>
              <w:bottom w:val="single" w:sz="8" w:color="auto"/>
            </w:tcBorders>
            <w:gridSpan w:val="2"/>
          </w:tcPr>
          <w:p>
            <w:pPr>
              <w:jc w:val="center"/>
              <w:ind w:right="340"/>
              <w:spacing w:after="0" w:line="151" w:lineRule="exact"/>
              <w:rPr>
                <w:sz w:val="20"/>
                <w:szCs w:val="20"/>
                <w:color w:val="auto"/>
              </w:rPr>
            </w:pPr>
            <w:r>
              <w:rPr>
                <w:rFonts w:ascii="Arial" w:cs="Arial" w:eastAsia="Arial" w:hAnsi="Arial"/>
                <w:sz w:val="15"/>
                <w:szCs w:val="15"/>
                <w:b w:val="1"/>
                <w:bCs w:val="1"/>
                <w:color w:val="auto"/>
                <w:w w:val="90"/>
              </w:rPr>
              <w:t>Level 1</w:t>
            </w:r>
          </w:p>
        </w:tc>
        <w:tc>
          <w:tcPr>
            <w:tcW w:w="3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spacing w:after="0" w:line="151" w:lineRule="exact"/>
              <w:rPr>
                <w:sz w:val="20"/>
                <w:szCs w:val="20"/>
                <w:color w:val="auto"/>
              </w:rPr>
            </w:pPr>
            <w:r>
              <w:rPr>
                <w:rFonts w:ascii="Arial" w:cs="Arial" w:eastAsia="Arial" w:hAnsi="Arial"/>
                <w:sz w:val="15"/>
                <w:szCs w:val="15"/>
                <w:b w:val="1"/>
                <w:bCs w:val="1"/>
                <w:color w:val="auto"/>
                <w:w w:val="90"/>
              </w:rPr>
              <w:t>Level 2</w:t>
            </w:r>
          </w:p>
        </w:tc>
        <w:tc>
          <w:tcPr>
            <w:tcW w:w="6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ind w:left="20"/>
              <w:spacing w:after="0" w:line="151" w:lineRule="exact"/>
              <w:rPr>
                <w:sz w:val="20"/>
                <w:szCs w:val="20"/>
                <w:color w:val="auto"/>
              </w:rPr>
            </w:pPr>
            <w:r>
              <w:rPr>
                <w:rFonts w:ascii="Arial" w:cs="Arial" w:eastAsia="Arial" w:hAnsi="Arial"/>
                <w:sz w:val="15"/>
                <w:szCs w:val="15"/>
                <w:b w:val="1"/>
                <w:bCs w:val="1"/>
                <w:color w:val="auto"/>
                <w:w w:val="86"/>
              </w:rPr>
              <w:t>Level 3</w:t>
            </w:r>
          </w:p>
        </w:tc>
        <w:tc>
          <w:tcPr>
            <w:tcW w:w="5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5"/>
                <w:szCs w:val="15"/>
                <w:b w:val="1"/>
                <w:bCs w:val="1"/>
                <w:color w:val="auto"/>
                <w:w w:val="94"/>
              </w:rPr>
              <w:t>Total</w:t>
            </w:r>
          </w:p>
        </w:tc>
        <w:tc>
          <w:tcPr>
            <w:tcW w:w="60" w:type="dxa"/>
            <w:vAlign w:val="bottom"/>
          </w:tcPr>
          <w:p>
            <w:pPr>
              <w:spacing w:after="0"/>
              <w:rPr>
                <w:sz w:val="13"/>
                <w:szCs w:val="13"/>
                <w:color w:val="auto"/>
              </w:rPr>
            </w:pPr>
          </w:p>
        </w:tc>
      </w:tr>
      <w:tr>
        <w:trPr>
          <w:trHeight w:val="151"/>
        </w:trPr>
        <w:tc>
          <w:tcPr>
            <w:tcW w:w="6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160"/>
              <w:spacing w:after="0" w:line="151" w:lineRule="exact"/>
              <w:rPr>
                <w:sz w:val="20"/>
                <w:szCs w:val="20"/>
                <w:color w:val="auto"/>
              </w:rPr>
            </w:pPr>
            <w:r>
              <w:rPr>
                <w:rFonts w:ascii="Arial" w:cs="Arial" w:eastAsia="Arial" w:hAnsi="Arial"/>
                <w:sz w:val="15"/>
                <w:szCs w:val="15"/>
                <w:b w:val="1"/>
                <w:bCs w:val="1"/>
                <w:color w:val="auto"/>
              </w:rPr>
              <w:t>(In thousands)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8"/>
        </w:trPr>
        <w:tc>
          <w:tcPr>
            <w:tcW w:w="658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Assets:</w:t>
            </w: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6580" w:type="dxa"/>
            <w:vAlign w:val="bottom"/>
          </w:tcPr>
          <w:p>
            <w:pPr>
              <w:ind w:left="380"/>
              <w:spacing w:after="0"/>
              <w:rPr>
                <w:sz w:val="20"/>
                <w:szCs w:val="20"/>
                <w:color w:val="auto"/>
              </w:rPr>
            </w:pPr>
            <w:r>
              <w:rPr>
                <w:rFonts w:ascii="Arial" w:cs="Arial" w:eastAsia="Arial" w:hAnsi="Arial"/>
                <w:sz w:val="19"/>
                <w:szCs w:val="19"/>
                <w:color w:val="auto"/>
              </w:rPr>
              <w:t>Money market fund</w:t>
            </w:r>
          </w:p>
        </w:tc>
        <w:tc>
          <w:tcPr>
            <w:tcW w:w="960" w:type="dxa"/>
            <w:vAlign w:val="bottom"/>
            <w:gridSpan w:val="2"/>
          </w:tcPr>
          <w:p>
            <w:pPr>
              <w:jc w:val="center"/>
              <w:ind w:right="340"/>
              <w:spacing w:after="0"/>
              <w:rPr>
                <w:sz w:val="20"/>
                <w:szCs w:val="20"/>
                <w:color w:val="auto"/>
              </w:rPr>
            </w:pPr>
            <w:r>
              <w:rPr>
                <w:rFonts w:ascii="Arial" w:cs="Arial" w:eastAsia="Arial" w:hAnsi="Arial"/>
                <w:sz w:val="19"/>
                <w:szCs w:val="19"/>
                <w:u w:val="single" w:color="auto"/>
                <w:color w:val="auto"/>
                <w:w w:val="90"/>
              </w:rPr>
              <w:t>$</w:t>
            </w:r>
            <w:r>
              <w:rPr>
                <w:rFonts w:ascii="Arial" w:cs="Arial" w:eastAsia="Arial" w:hAnsi="Arial"/>
                <w:sz w:val="19"/>
                <w:szCs w:val="19"/>
                <w:color w:val="auto"/>
                <w:w w:val="90"/>
              </w:rPr>
              <w:t>27,201</w:t>
            </w:r>
          </w:p>
        </w:tc>
        <w:tc>
          <w:tcPr>
            <w:tcW w:w="440" w:type="dxa"/>
            <w:vAlign w:val="bottom"/>
            <w:gridSpan w:val="2"/>
          </w:tcPr>
          <w:p>
            <w:pPr>
              <w:ind w:left="320"/>
              <w:spacing w:after="0"/>
              <w:rPr>
                <w:sz w:val="20"/>
                <w:szCs w:val="20"/>
                <w:color w:val="auto"/>
              </w:rPr>
            </w:pPr>
            <w:r>
              <w:rPr>
                <w:rFonts w:ascii="Arial" w:cs="Arial" w:eastAsia="Arial" w:hAnsi="Arial"/>
                <w:sz w:val="19"/>
                <w:szCs w:val="19"/>
                <w:color w:val="auto"/>
                <w:w w:val="94"/>
              </w:rPr>
              <w:t>$</w:t>
            </w:r>
          </w:p>
        </w:tc>
        <w:tc>
          <w:tcPr>
            <w:tcW w:w="360" w:type="dxa"/>
            <w:vAlign w:val="bottom"/>
          </w:tcPr>
          <w:p>
            <w:pPr>
              <w:ind w:left="160"/>
              <w:spacing w:after="0"/>
              <w:rPr>
                <w:sz w:val="20"/>
                <w:szCs w:val="20"/>
                <w:color w:val="auto"/>
              </w:rPr>
            </w:pPr>
            <w:r>
              <w:rPr>
                <w:rFonts w:ascii="Arial" w:cs="Arial" w:eastAsia="Arial" w:hAnsi="Arial"/>
                <w:sz w:val="19"/>
                <w:szCs w:val="19"/>
                <w:color w:val="auto"/>
                <w:w w:val="94"/>
              </w:rPr>
              <w:t>—</w:t>
            </w:r>
          </w:p>
        </w:tc>
        <w:tc>
          <w:tcPr>
            <w:tcW w:w="900" w:type="dxa"/>
            <w:vAlign w:val="bottom"/>
            <w:gridSpan w:val="2"/>
          </w:tcPr>
          <w:p>
            <w:pPr>
              <w:ind w:left="640"/>
              <w:spacing w:after="0"/>
              <w:rPr>
                <w:sz w:val="20"/>
                <w:szCs w:val="20"/>
                <w:color w:val="auto"/>
              </w:rPr>
            </w:pPr>
            <w:r>
              <w:rPr>
                <w:rFonts w:ascii="Arial" w:cs="Arial" w:eastAsia="Arial" w:hAnsi="Arial"/>
                <w:sz w:val="19"/>
                <w:szCs w:val="19"/>
                <w:color w:val="auto"/>
              </w:rPr>
              <w:t>$</w:t>
            </w:r>
          </w:p>
        </w:tc>
        <w:tc>
          <w:tcPr>
            <w:tcW w:w="220" w:type="dxa"/>
            <w:vAlign w:val="bottom"/>
          </w:tcPr>
          <w:p>
            <w:pPr>
              <w:ind w:left="20"/>
              <w:spacing w:after="0"/>
              <w:rPr>
                <w:sz w:val="20"/>
                <w:szCs w:val="20"/>
                <w:color w:val="auto"/>
              </w:rPr>
            </w:pPr>
            <w:r>
              <w:rPr>
                <w:rFonts w:ascii="Arial" w:cs="Arial" w:eastAsia="Arial" w:hAnsi="Arial"/>
                <w:sz w:val="19"/>
                <w:szCs w:val="19"/>
                <w:color w:val="auto"/>
                <w:w w:val="94"/>
              </w:rPr>
              <w:t>—</w:t>
            </w:r>
          </w:p>
        </w:tc>
        <w:tc>
          <w:tcPr>
            <w:tcW w:w="1220" w:type="dxa"/>
            <w:vAlign w:val="bottom"/>
            <w:gridSpan w:val="3"/>
          </w:tcPr>
          <w:p>
            <w:pPr>
              <w:jc w:val="center"/>
              <w:ind w:left="385"/>
              <w:spacing w:after="0"/>
              <w:rPr>
                <w:sz w:val="20"/>
                <w:szCs w:val="20"/>
                <w:color w:val="auto"/>
              </w:rPr>
            </w:pPr>
            <w:r>
              <w:rPr>
                <w:rFonts w:ascii="Arial" w:cs="Arial" w:eastAsia="Arial" w:hAnsi="Arial"/>
                <w:sz w:val="19"/>
                <w:szCs w:val="19"/>
                <w:u w:val="single" w:color="auto"/>
                <w:color w:val="auto"/>
                <w:w w:val="90"/>
              </w:rPr>
              <w:t>$</w:t>
            </w:r>
            <w:r>
              <w:rPr>
                <w:rFonts w:ascii="Arial" w:cs="Arial" w:eastAsia="Arial" w:hAnsi="Arial"/>
                <w:sz w:val="19"/>
                <w:szCs w:val="19"/>
                <w:color w:val="auto"/>
                <w:w w:val="90"/>
              </w:rPr>
              <w:t>27,201</w:t>
            </w:r>
          </w:p>
        </w:tc>
      </w:tr>
      <w:tr>
        <w:trPr>
          <w:trHeight w:val="29"/>
        </w:trPr>
        <w:tc>
          <w:tcPr>
            <w:tcW w:w="6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6580" w:type="dxa"/>
            <w:vAlign w:val="bottom"/>
            <w:shd w:val="clear" w:color="auto" w:fill="CCEEFF"/>
          </w:tcPr>
          <w:p>
            <w:pPr>
              <w:ind w:left="760"/>
              <w:spacing w:after="0"/>
              <w:rPr>
                <w:sz w:val="20"/>
                <w:szCs w:val="20"/>
                <w:color w:val="auto"/>
              </w:rPr>
            </w:pPr>
            <w:r>
              <w:rPr>
                <w:rFonts w:ascii="Arial" w:cs="Arial" w:eastAsia="Arial" w:hAnsi="Arial"/>
                <w:sz w:val="19"/>
                <w:szCs w:val="19"/>
                <w:color w:val="auto"/>
              </w:rPr>
              <w:t>Total financial assets</w:t>
            </w:r>
          </w:p>
        </w:tc>
        <w:tc>
          <w:tcPr>
            <w:tcW w:w="960" w:type="dxa"/>
            <w:vAlign w:val="bottom"/>
            <w:gridSpan w:val="2"/>
            <w:shd w:val="clear" w:color="auto" w:fill="CCEEFF"/>
          </w:tcPr>
          <w:p>
            <w:pPr>
              <w:jc w:val="center"/>
              <w:ind w:right="340"/>
              <w:spacing w:after="0"/>
              <w:rPr>
                <w:sz w:val="20"/>
                <w:szCs w:val="20"/>
                <w:color w:val="auto"/>
              </w:rPr>
            </w:pPr>
            <w:r>
              <w:rPr>
                <w:rFonts w:ascii="Arial" w:cs="Arial" w:eastAsia="Arial" w:hAnsi="Arial"/>
                <w:sz w:val="19"/>
                <w:szCs w:val="19"/>
                <w:u w:val="single" w:color="auto"/>
                <w:color w:val="auto"/>
                <w:w w:val="90"/>
              </w:rPr>
              <w:t>$</w:t>
            </w:r>
            <w:r>
              <w:rPr>
                <w:rFonts w:ascii="Arial" w:cs="Arial" w:eastAsia="Arial" w:hAnsi="Arial"/>
                <w:sz w:val="19"/>
                <w:szCs w:val="19"/>
                <w:color w:val="auto"/>
                <w:w w:val="90"/>
              </w:rPr>
              <w:t>27,201</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9"/>
                <w:szCs w:val="19"/>
                <w:color w:val="auto"/>
                <w:w w:val="94"/>
              </w:rPr>
              <w:t>$</w:t>
            </w:r>
          </w:p>
        </w:tc>
        <w:tc>
          <w:tcPr>
            <w:tcW w:w="360" w:type="dxa"/>
            <w:vAlign w:val="bottom"/>
            <w:shd w:val="clear" w:color="auto" w:fill="CCEEFF"/>
          </w:tcPr>
          <w:p>
            <w:pPr>
              <w:ind w:left="160"/>
              <w:spacing w:after="0"/>
              <w:rPr>
                <w:sz w:val="20"/>
                <w:szCs w:val="20"/>
                <w:color w:val="auto"/>
              </w:rPr>
            </w:pPr>
            <w:r>
              <w:rPr>
                <w:rFonts w:ascii="Arial" w:cs="Arial" w:eastAsia="Arial" w:hAnsi="Arial"/>
                <w:sz w:val="19"/>
                <w:szCs w:val="19"/>
                <w:color w:val="auto"/>
                <w:w w:val="94"/>
              </w:rPr>
              <w:t>—</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9"/>
                <w:szCs w:val="19"/>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9"/>
                <w:szCs w:val="19"/>
                <w:color w:val="auto"/>
                <w:w w:val="94"/>
              </w:rPr>
              <w:t>—</w:t>
            </w:r>
          </w:p>
        </w:tc>
        <w:tc>
          <w:tcPr>
            <w:tcW w:w="1220" w:type="dxa"/>
            <w:vAlign w:val="bottom"/>
            <w:gridSpan w:val="3"/>
            <w:shd w:val="clear" w:color="auto" w:fill="CCEEFF"/>
          </w:tcPr>
          <w:p>
            <w:pPr>
              <w:jc w:val="center"/>
              <w:ind w:left="385"/>
              <w:spacing w:after="0"/>
              <w:rPr>
                <w:sz w:val="20"/>
                <w:szCs w:val="20"/>
                <w:color w:val="auto"/>
              </w:rPr>
            </w:pPr>
            <w:r>
              <w:rPr>
                <w:rFonts w:ascii="Arial" w:cs="Arial" w:eastAsia="Arial" w:hAnsi="Arial"/>
                <w:sz w:val="19"/>
                <w:szCs w:val="19"/>
                <w:u w:val="single" w:color="auto"/>
                <w:color w:val="auto"/>
                <w:w w:val="90"/>
              </w:rPr>
              <w:t>$</w:t>
            </w:r>
            <w:r>
              <w:rPr>
                <w:rFonts w:ascii="Arial" w:cs="Arial" w:eastAsia="Arial" w:hAnsi="Arial"/>
                <w:sz w:val="19"/>
                <w:szCs w:val="19"/>
                <w:color w:val="auto"/>
                <w:w w:val="90"/>
              </w:rPr>
              <w:t>27,201</w:t>
            </w:r>
          </w:p>
        </w:tc>
      </w:tr>
      <w:tr>
        <w:trPr>
          <w:trHeight w:val="20"/>
        </w:trPr>
        <w:tc>
          <w:tcPr>
            <w:tcW w:w="6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There were no transfers between Levels 1, 2, or 3 for any of the periods presented.</w:t>
      </w:r>
    </w:p>
    <w:p>
      <w:pPr>
        <w:spacing w:after="0" w:line="167" w:lineRule="exact"/>
        <w:rPr>
          <w:sz w:val="20"/>
          <w:szCs w:val="20"/>
          <w:color w:val="auto"/>
        </w:rPr>
      </w:pPr>
    </w:p>
    <w:p>
      <w:pPr>
        <w:ind w:left="5820"/>
        <w:spacing w:after="0"/>
        <w:rPr>
          <w:sz w:val="20"/>
          <w:szCs w:val="20"/>
          <w:color w:val="auto"/>
        </w:rPr>
      </w:pPr>
      <w:r>
        <w:rPr>
          <w:rFonts w:ascii="Arial" w:cs="Arial" w:eastAsia="Arial" w:hAnsi="Arial"/>
          <w:sz w:val="19"/>
          <w:szCs w:val="19"/>
          <w:color w:val="auto"/>
        </w:rPr>
        <w:t>F-13</w:t>
      </w:r>
    </w:p>
    <w:p>
      <w:pPr>
        <w:sectPr>
          <w:pgSz w:w="12240" w:h="15840" w:orient="portrait"/>
          <w:cols w:equalWidth="0" w:num="1">
            <w:col w:w="11820"/>
          </w:cols>
          <w:pgMar w:left="120" w:top="337" w:right="300" w:bottom="1440" w:gutter="0" w:footer="0" w:header="0"/>
        </w:sectPr>
      </w:pPr>
    </w:p>
    <w:bookmarkStart w:id="204" w:name="page205"/>
    <w:bookmarkEnd w:id="20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66" w:lineRule="exact"/>
        <w:rPr>
          <w:sz w:val="20"/>
          <w:szCs w:val="20"/>
          <w:color w:val="auto"/>
        </w:rPr>
      </w:pPr>
    </w:p>
    <w:tbl>
      <w:tblPr>
        <w:tblLayout w:type="fixed"/>
        <w:tblInd w:w="180" w:type="dxa"/>
        <w:tblCellMar>
          <w:top w:w="0" w:type="dxa"/>
          <w:left w:w="0" w:type="dxa"/>
          <w:bottom w:w="0" w:type="dxa"/>
          <w:right w:w="0" w:type="dxa"/>
        </w:tblCellMar>
      </w:tblPr>
      <w:tr>
        <w:trPr>
          <w:trHeight w:val="247"/>
        </w:trPr>
        <w:tc>
          <w:tcPr>
            <w:tcW w:w="300" w:type="dxa"/>
            <w:vAlign w:val="bottom"/>
          </w:tcPr>
          <w:p>
            <w:pPr>
              <w:jc w:val="right"/>
              <w:ind w:right="65"/>
              <w:spacing w:after="0"/>
              <w:rPr>
                <w:sz w:val="20"/>
                <w:szCs w:val="20"/>
                <w:color w:val="auto"/>
              </w:rPr>
            </w:pPr>
            <w:r>
              <w:rPr>
                <w:rFonts w:ascii="Arial" w:cs="Arial" w:eastAsia="Arial" w:hAnsi="Arial"/>
                <w:sz w:val="19"/>
                <w:szCs w:val="19"/>
                <w:b w:val="1"/>
                <w:bCs w:val="1"/>
                <w:color w:val="auto"/>
                <w:w w:val="75"/>
              </w:rPr>
              <w:t>4.</w:t>
            </w:r>
          </w:p>
        </w:tc>
        <w:tc>
          <w:tcPr>
            <w:tcW w:w="8220" w:type="dxa"/>
            <w:vAlign w:val="bottom"/>
            <w:gridSpan w:val="2"/>
          </w:tcPr>
          <w:p>
            <w:pPr>
              <w:ind w:left="160"/>
              <w:spacing w:after="0"/>
              <w:rPr>
                <w:sz w:val="20"/>
                <w:szCs w:val="20"/>
                <w:color w:val="auto"/>
              </w:rPr>
            </w:pPr>
            <w:r>
              <w:rPr>
                <w:rFonts w:ascii="Arial" w:cs="Arial" w:eastAsia="Arial" w:hAnsi="Arial"/>
                <w:sz w:val="19"/>
                <w:szCs w:val="19"/>
                <w:b w:val="1"/>
                <w:bCs w:val="1"/>
                <w:color w:val="auto"/>
              </w:rPr>
              <w:t>Balance Sheet Components</w:t>
            </w: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42"/>
        </w:trPr>
        <w:tc>
          <w:tcPr>
            <w:tcW w:w="300" w:type="dxa"/>
            <w:vAlign w:val="bottom"/>
          </w:tcPr>
          <w:p>
            <w:pPr>
              <w:spacing w:after="0"/>
              <w:rPr>
                <w:sz w:val="24"/>
                <w:szCs w:val="24"/>
                <w:color w:val="auto"/>
              </w:rPr>
            </w:pPr>
          </w:p>
        </w:tc>
        <w:tc>
          <w:tcPr>
            <w:tcW w:w="8220" w:type="dxa"/>
            <w:vAlign w:val="bottom"/>
            <w:gridSpan w:val="2"/>
          </w:tcPr>
          <w:p>
            <w:pPr>
              <w:ind w:left="160"/>
              <w:spacing w:after="0"/>
              <w:rPr>
                <w:sz w:val="20"/>
                <w:szCs w:val="20"/>
                <w:color w:val="auto"/>
              </w:rPr>
            </w:pPr>
            <w:r>
              <w:rPr>
                <w:rFonts w:ascii="Arial" w:cs="Arial" w:eastAsia="Arial" w:hAnsi="Arial"/>
                <w:sz w:val="19"/>
                <w:szCs w:val="19"/>
                <w:b w:val="1"/>
                <w:bCs w:val="1"/>
                <w:i w:val="1"/>
                <w:iCs w:val="1"/>
                <w:color w:val="auto"/>
              </w:rPr>
              <w:t>Property and Equipment, Net</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2"/>
        </w:trPr>
        <w:tc>
          <w:tcPr>
            <w:tcW w:w="300" w:type="dxa"/>
            <w:vAlign w:val="bottom"/>
          </w:tcPr>
          <w:p>
            <w:pPr>
              <w:spacing w:after="0"/>
              <w:rPr>
                <w:sz w:val="24"/>
                <w:szCs w:val="24"/>
                <w:color w:val="auto"/>
              </w:rPr>
            </w:pPr>
          </w:p>
        </w:tc>
        <w:tc>
          <w:tcPr>
            <w:tcW w:w="8220" w:type="dxa"/>
            <w:vAlign w:val="bottom"/>
            <w:gridSpan w:val="2"/>
          </w:tcPr>
          <w:p>
            <w:pPr>
              <w:ind w:left="160"/>
              <w:spacing w:after="0"/>
              <w:rPr>
                <w:sz w:val="20"/>
                <w:szCs w:val="20"/>
                <w:color w:val="auto"/>
              </w:rPr>
            </w:pPr>
            <w:r>
              <w:rPr>
                <w:rFonts w:ascii="Arial" w:cs="Arial" w:eastAsia="Arial" w:hAnsi="Arial"/>
                <w:sz w:val="19"/>
                <w:szCs w:val="19"/>
                <w:color w:val="auto"/>
              </w:rPr>
              <w:t>Property and equipment, net consists of the following:</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5"/>
        </w:trPr>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720" w:type="dxa"/>
            <w:vAlign w:val="bottom"/>
            <w:gridSpan w:val="4"/>
          </w:tcPr>
          <w:p>
            <w:pPr>
              <w:jc w:val="right"/>
              <w:ind w:right="480"/>
              <w:spacing w:after="0"/>
              <w:rPr>
                <w:sz w:val="20"/>
                <w:szCs w:val="20"/>
                <w:color w:val="auto"/>
              </w:rPr>
            </w:pPr>
            <w:r>
              <w:rPr>
                <w:rFonts w:ascii="Arial" w:cs="Arial" w:eastAsia="Arial" w:hAnsi="Arial"/>
                <w:sz w:val="15"/>
                <w:szCs w:val="15"/>
                <w:b w:val="1"/>
                <w:bCs w:val="1"/>
                <w:color w:val="auto"/>
              </w:rPr>
              <w:t>December 31,</w:t>
            </w:r>
          </w:p>
        </w:tc>
      </w:tr>
      <w:tr>
        <w:trPr>
          <w:trHeight w:val="151"/>
        </w:trPr>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ind w:right="31"/>
              <w:spacing w:after="0" w:line="151" w:lineRule="exact"/>
              <w:rPr>
                <w:sz w:val="20"/>
                <w:szCs w:val="20"/>
                <w:color w:val="auto"/>
              </w:rPr>
            </w:pPr>
            <w:r>
              <w:rPr>
                <w:rFonts w:ascii="Arial" w:cs="Arial" w:eastAsia="Arial" w:hAnsi="Arial"/>
                <w:sz w:val="15"/>
                <w:szCs w:val="15"/>
                <w:b w:val="1"/>
                <w:bCs w:val="1"/>
                <w:color w:val="auto"/>
              </w:rPr>
              <w:t>2016</w:t>
            </w:r>
          </w:p>
        </w:tc>
        <w:tc>
          <w:tcPr>
            <w:tcW w:w="5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
              <w:spacing w:after="0" w:line="151" w:lineRule="exact"/>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13"/>
                <w:szCs w:val="13"/>
                <w:color w:val="auto"/>
              </w:rPr>
            </w:pPr>
          </w:p>
        </w:tc>
      </w:tr>
      <w:tr>
        <w:trPr>
          <w:trHeight w:val="151"/>
        </w:trPr>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1600" w:type="dxa"/>
            <w:vAlign w:val="bottom"/>
            <w:gridSpan w:val="3"/>
          </w:tcPr>
          <w:p>
            <w:pPr>
              <w:jc w:val="right"/>
              <w:ind w:right="227"/>
              <w:spacing w:after="0" w:line="151" w:lineRule="exact"/>
              <w:rPr>
                <w:sz w:val="20"/>
                <w:szCs w:val="20"/>
                <w:color w:val="auto"/>
              </w:rPr>
            </w:pPr>
            <w:r>
              <w:rPr>
                <w:rFonts w:ascii="Arial" w:cs="Arial" w:eastAsia="Arial" w:hAnsi="Arial"/>
                <w:sz w:val="15"/>
                <w:szCs w:val="15"/>
                <w:b w:val="1"/>
                <w:bCs w:val="1"/>
                <w:color w:val="auto"/>
              </w:rPr>
              <w:t>(In thousands)</w:t>
            </w:r>
          </w:p>
        </w:tc>
        <w:tc>
          <w:tcPr>
            <w:tcW w:w="120" w:type="dxa"/>
            <w:vAlign w:val="bottom"/>
          </w:tcPr>
          <w:p>
            <w:pPr>
              <w:spacing w:after="0"/>
              <w:rPr>
                <w:sz w:val="13"/>
                <w:szCs w:val="13"/>
                <w:color w:val="auto"/>
              </w:rPr>
            </w:pPr>
          </w:p>
        </w:tc>
      </w:tr>
      <w:tr>
        <w:trPr>
          <w:trHeight w:val="228"/>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9"/>
                <w:szCs w:val="19"/>
                <w:color w:val="auto"/>
              </w:rPr>
              <w:t>Lab equipment</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5"/>
              </w:rPr>
              <w:t>$2,637</w:t>
            </w:r>
          </w:p>
        </w:tc>
        <w:tc>
          <w:tcPr>
            <w:tcW w:w="5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85"/>
              </w:rPr>
              <w:t>$3,527</w:t>
            </w:r>
          </w:p>
        </w:tc>
      </w:tr>
      <w:tr>
        <w:trPr>
          <w:trHeight w:val="228"/>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9"/>
                <w:szCs w:val="19"/>
                <w:color w:val="auto"/>
              </w:rPr>
              <w:t>Computer equipment</w:t>
            </w:r>
          </w:p>
        </w:tc>
        <w:tc>
          <w:tcPr>
            <w:tcW w:w="520" w:type="dxa"/>
            <w:vAlign w:val="bottom"/>
          </w:tcPr>
          <w:p>
            <w:pPr>
              <w:jc w:val="right"/>
              <w:spacing w:after="0"/>
              <w:rPr>
                <w:sz w:val="20"/>
                <w:szCs w:val="20"/>
                <w:color w:val="auto"/>
              </w:rPr>
            </w:pPr>
            <w:r>
              <w:rPr>
                <w:rFonts w:ascii="Arial" w:cs="Arial" w:eastAsia="Arial" w:hAnsi="Arial"/>
                <w:sz w:val="19"/>
                <w:szCs w:val="19"/>
                <w:color w:val="auto"/>
              </w:rPr>
              <w:t>89</w:t>
            </w:r>
          </w:p>
        </w:tc>
        <w:tc>
          <w:tcPr>
            <w:tcW w:w="5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9"/>
                <w:szCs w:val="19"/>
                <w:color w:val="auto"/>
              </w:rPr>
              <w:t>157</w:t>
            </w:r>
          </w:p>
        </w:tc>
      </w:tr>
      <w:tr>
        <w:trPr>
          <w:trHeight w:val="228"/>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9"/>
                <w:szCs w:val="19"/>
                <w:color w:val="auto"/>
              </w:rPr>
              <w:t>Office equipment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9"/>
                <w:szCs w:val="19"/>
                <w:color w:val="auto"/>
              </w:rPr>
              <w:t>7</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17</w:t>
            </w:r>
          </w:p>
        </w:tc>
        <w:tc>
          <w:tcPr>
            <w:tcW w:w="120" w:type="dxa"/>
            <w:vAlign w:val="bottom"/>
            <w:shd w:val="clear" w:color="auto" w:fill="CCEEFF"/>
          </w:tcPr>
          <w:p>
            <w:pPr>
              <w:spacing w:after="0"/>
              <w:rPr>
                <w:sz w:val="19"/>
                <w:szCs w:val="19"/>
                <w:color w:val="auto"/>
              </w:rPr>
            </w:pPr>
          </w:p>
        </w:tc>
      </w:tr>
      <w:tr>
        <w:trPr>
          <w:trHeight w:val="228"/>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9"/>
                <w:szCs w:val="19"/>
                <w:color w:val="auto"/>
              </w:rPr>
              <w:t>Leasehold improvements</w:t>
            </w:r>
          </w:p>
        </w:tc>
        <w:tc>
          <w:tcPr>
            <w:tcW w:w="1080" w:type="dxa"/>
            <w:vAlign w:val="bottom"/>
            <w:gridSpan w:val="2"/>
          </w:tcPr>
          <w:p>
            <w:pPr>
              <w:jc w:val="right"/>
              <w:ind w:right="560"/>
              <w:spacing w:after="0"/>
              <w:rPr>
                <w:sz w:val="20"/>
                <w:szCs w:val="20"/>
                <w:color w:val="auto"/>
              </w:rPr>
            </w:pPr>
            <w:r>
              <w:rPr>
                <w:rFonts w:ascii="Arial" w:cs="Arial" w:eastAsia="Arial" w:hAnsi="Arial"/>
                <w:sz w:val="19"/>
                <w:szCs w:val="19"/>
                <w:color w:val="auto"/>
              </w:rPr>
              <w:t>103</w:t>
            </w:r>
          </w:p>
        </w:tc>
        <w:tc>
          <w:tcPr>
            <w:tcW w:w="640" w:type="dxa"/>
            <w:vAlign w:val="bottom"/>
            <w:gridSpan w:val="2"/>
          </w:tcPr>
          <w:p>
            <w:pPr>
              <w:jc w:val="right"/>
              <w:ind w:right="120"/>
              <w:spacing w:after="0"/>
              <w:rPr>
                <w:sz w:val="20"/>
                <w:szCs w:val="20"/>
                <w:color w:val="auto"/>
              </w:rPr>
            </w:pPr>
            <w:r>
              <w:rPr>
                <w:rFonts w:ascii="Arial" w:cs="Arial" w:eastAsia="Arial" w:hAnsi="Arial"/>
                <w:sz w:val="19"/>
                <w:szCs w:val="19"/>
                <w:color w:val="auto"/>
              </w:rPr>
              <w:t>113</w:t>
            </w:r>
          </w:p>
        </w:tc>
      </w:tr>
      <w:tr>
        <w:trPr>
          <w:trHeight w:val="29"/>
        </w:trPr>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8"/>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1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Property and equipment, gross</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2,836</w:t>
            </w:r>
          </w:p>
        </w:tc>
        <w:tc>
          <w:tcPr>
            <w:tcW w:w="5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3,814</w:t>
            </w:r>
          </w:p>
        </w:tc>
      </w:tr>
      <w:tr>
        <w:trPr>
          <w:trHeight w:val="228"/>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9"/>
                <w:szCs w:val="19"/>
                <w:color w:val="auto"/>
              </w:rPr>
              <w:t>Less accumulated depreciation and amortization</w:t>
            </w:r>
          </w:p>
        </w:tc>
        <w:tc>
          <w:tcPr>
            <w:tcW w:w="1080" w:type="dxa"/>
            <w:vAlign w:val="bottom"/>
            <w:gridSpan w:val="2"/>
          </w:tcPr>
          <w:p>
            <w:pPr>
              <w:jc w:val="right"/>
              <w:ind w:right="500"/>
              <w:spacing w:after="0"/>
              <w:rPr>
                <w:sz w:val="20"/>
                <w:szCs w:val="20"/>
                <w:color w:val="auto"/>
              </w:rPr>
            </w:pPr>
            <w:r>
              <w:rPr>
                <w:rFonts w:ascii="Arial" w:cs="Arial" w:eastAsia="Arial" w:hAnsi="Arial"/>
                <w:sz w:val="19"/>
                <w:szCs w:val="19"/>
                <w:color w:val="auto"/>
              </w:rPr>
              <w:t>(300)</w:t>
            </w:r>
          </w:p>
        </w:tc>
        <w:tc>
          <w:tcPr>
            <w:tcW w:w="640" w:type="dxa"/>
            <w:vAlign w:val="bottom"/>
            <w:gridSpan w:val="2"/>
          </w:tcPr>
          <w:p>
            <w:pPr>
              <w:jc w:val="right"/>
              <w:ind w:right="60"/>
              <w:spacing w:after="0"/>
              <w:rPr>
                <w:sz w:val="20"/>
                <w:szCs w:val="20"/>
                <w:color w:val="auto"/>
              </w:rPr>
            </w:pPr>
            <w:r>
              <w:rPr>
                <w:rFonts w:ascii="Arial" w:cs="Arial" w:eastAsia="Arial" w:hAnsi="Arial"/>
                <w:sz w:val="19"/>
                <w:szCs w:val="19"/>
                <w:color w:val="auto"/>
              </w:rPr>
              <w:t>(980)</w:t>
            </w:r>
          </w:p>
        </w:tc>
      </w:tr>
      <w:tr>
        <w:trPr>
          <w:trHeight w:val="29"/>
        </w:trPr>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8"/>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1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property and equipment, net</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u w:val="single" w:color="auto"/>
                <w:color w:val="auto"/>
                <w:w w:val="85"/>
              </w:rPr>
              <w:t>$</w:t>
            </w:r>
            <w:r>
              <w:rPr>
                <w:rFonts w:ascii="Arial" w:cs="Arial" w:eastAsia="Arial" w:hAnsi="Arial"/>
                <w:sz w:val="19"/>
                <w:szCs w:val="19"/>
                <w:color w:val="auto"/>
                <w:w w:val="85"/>
              </w:rPr>
              <w:t>2,536</w:t>
            </w:r>
          </w:p>
        </w:tc>
        <w:tc>
          <w:tcPr>
            <w:tcW w:w="5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u w:val="single" w:color="auto"/>
                <w:color w:val="auto"/>
                <w:w w:val="85"/>
              </w:rPr>
              <w:t>$</w:t>
            </w:r>
            <w:r>
              <w:rPr>
                <w:rFonts w:ascii="Arial" w:cs="Arial" w:eastAsia="Arial" w:hAnsi="Arial"/>
                <w:sz w:val="19"/>
                <w:szCs w:val="19"/>
                <w:color w:val="auto"/>
                <w:w w:val="85"/>
              </w:rPr>
              <w:t>2,834</w:t>
            </w:r>
          </w:p>
        </w:tc>
      </w:tr>
      <w:tr>
        <w:trPr>
          <w:trHeight w:val="20"/>
        </w:trPr>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Accrued Liabilities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Accrued liabilities consist of the following:</w:t>
      </w:r>
    </w:p>
    <w:p>
      <w:pPr>
        <w:spacing w:after="0" w:line="258" w:lineRule="exact"/>
        <w:rPr>
          <w:sz w:val="20"/>
          <w:szCs w:val="20"/>
          <w:color w:val="auto"/>
        </w:rPr>
      </w:pPr>
    </w:p>
    <w:tbl>
      <w:tblPr>
        <w:tblLayout w:type="fixed"/>
        <w:tblInd w:w="1580" w:type="dxa"/>
        <w:tblCellMar>
          <w:top w:w="0" w:type="dxa"/>
          <w:left w:w="0" w:type="dxa"/>
          <w:bottom w:w="0" w:type="dxa"/>
          <w:right w:w="0" w:type="dxa"/>
        </w:tblCellMar>
      </w:tblPr>
      <w:tr>
        <w:trPr>
          <w:trHeight w:val="180"/>
        </w:trPr>
        <w:tc>
          <w:tcPr>
            <w:tcW w:w="7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4"/>
          </w:tcPr>
          <w:p>
            <w:pPr>
              <w:jc w:val="center"/>
              <w:ind w:right="160"/>
              <w:spacing w:after="0"/>
              <w:rPr>
                <w:sz w:val="20"/>
                <w:szCs w:val="20"/>
                <w:color w:val="auto"/>
              </w:rPr>
            </w:pPr>
            <w:r>
              <w:rPr>
                <w:rFonts w:ascii="Arial" w:cs="Arial" w:eastAsia="Arial" w:hAnsi="Arial"/>
                <w:sz w:val="15"/>
                <w:szCs w:val="15"/>
                <w:b w:val="1"/>
                <w:bCs w:val="1"/>
                <w:color w:val="auto"/>
                <w:w w:val="90"/>
              </w:rPr>
              <w:t>December 31,</w:t>
            </w:r>
          </w:p>
        </w:tc>
        <w:tc>
          <w:tcPr>
            <w:tcW w:w="0" w:type="dxa"/>
            <w:vAlign w:val="bottom"/>
          </w:tcPr>
          <w:p>
            <w:pPr>
              <w:spacing w:after="0"/>
              <w:rPr>
                <w:sz w:val="1"/>
                <w:szCs w:val="1"/>
                <w:color w:val="auto"/>
              </w:rPr>
            </w:pPr>
          </w:p>
        </w:tc>
      </w:tr>
      <w:tr>
        <w:trPr>
          <w:trHeight w:val="151"/>
        </w:trPr>
        <w:tc>
          <w:tcPr>
            <w:tcW w:w="7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11"/>
              <w:spacing w:after="0" w:line="151" w:lineRule="exact"/>
              <w:rPr>
                <w:sz w:val="20"/>
                <w:szCs w:val="20"/>
                <w:color w:val="auto"/>
              </w:rPr>
            </w:pPr>
            <w:r>
              <w:rPr>
                <w:rFonts w:ascii="Arial" w:cs="Arial" w:eastAsia="Arial" w:hAnsi="Arial"/>
                <w:sz w:val="15"/>
                <w:szCs w:val="15"/>
                <w:b w:val="1"/>
                <w:bCs w:val="1"/>
                <w:color w:val="auto"/>
                <w:w w:val="89"/>
              </w:rPr>
              <w:t>2016</w:t>
            </w:r>
          </w:p>
        </w:tc>
        <w:tc>
          <w:tcPr>
            <w:tcW w:w="1120" w:type="dxa"/>
            <w:vAlign w:val="bottom"/>
            <w:tcBorders>
              <w:top w:val="single" w:sz="8" w:color="auto"/>
              <w:bottom w:val="single" w:sz="8" w:color="auto"/>
            </w:tcBorders>
            <w:gridSpan w:val="2"/>
          </w:tcPr>
          <w:p>
            <w:pPr>
              <w:jc w:val="right"/>
              <w:ind w:right="5"/>
              <w:spacing w:after="0" w:line="151" w:lineRule="exact"/>
              <w:rPr>
                <w:sz w:val="20"/>
                <w:szCs w:val="20"/>
                <w:color w:val="auto"/>
              </w:rPr>
            </w:pPr>
            <w:r>
              <w:rPr>
                <w:rFonts w:ascii="Arial" w:cs="Arial" w:eastAsia="Arial" w:hAnsi="Arial"/>
                <w:sz w:val="15"/>
                <w:szCs w:val="15"/>
                <w:b w:val="1"/>
                <w:bCs w:val="1"/>
                <w:color w:val="auto"/>
              </w:rPr>
              <w:t>2017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tcPr>
          <w:p>
            <w:pPr>
              <w:jc w:val="center"/>
              <w:spacing w:after="0" w:line="151" w:lineRule="exact"/>
              <w:rPr>
                <w:sz w:val="20"/>
                <w:szCs w:val="20"/>
                <w:color w:val="auto"/>
              </w:rPr>
            </w:pPr>
            <w:r>
              <w:rPr>
                <w:rFonts w:ascii="Arial" w:cs="Arial" w:eastAsia="Arial" w:hAnsi="Arial"/>
                <w:sz w:val="15"/>
                <w:szCs w:val="15"/>
                <w:b w:val="1"/>
                <w:bCs w:val="1"/>
                <w:color w:val="auto"/>
                <w:w w:val="90"/>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7140" w:type="dxa"/>
            <w:vAlign w:val="bottom"/>
            <w:shd w:val="clear" w:color="auto" w:fill="CCEEFF"/>
          </w:tcPr>
          <w:p>
            <w:pPr>
              <w:spacing w:after="0"/>
              <w:rPr>
                <w:sz w:val="20"/>
                <w:szCs w:val="20"/>
                <w:color w:val="auto"/>
              </w:rPr>
            </w:pPr>
            <w:r>
              <w:rPr>
                <w:rFonts w:ascii="Arial" w:cs="Arial" w:eastAsia="Arial" w:hAnsi="Arial"/>
                <w:sz w:val="19"/>
                <w:szCs w:val="19"/>
                <w:color w:val="auto"/>
              </w:rPr>
              <w:t>Accrued research and development costs</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color w:val="auto"/>
              </w:rPr>
              <w:t>$1,471</w:t>
            </w:r>
          </w:p>
        </w:tc>
        <w:tc>
          <w:tcPr>
            <w:tcW w:w="0" w:type="dxa"/>
            <w:vAlign w:val="bottom"/>
          </w:tcPr>
          <w:p>
            <w:pPr>
              <w:spacing w:after="0"/>
              <w:rPr>
                <w:sz w:val="1"/>
                <w:szCs w:val="1"/>
                <w:color w:val="auto"/>
              </w:rPr>
            </w:pPr>
          </w:p>
        </w:tc>
      </w:tr>
      <w:tr>
        <w:trPr>
          <w:trHeight w:val="228"/>
        </w:trPr>
        <w:tc>
          <w:tcPr>
            <w:tcW w:w="7140" w:type="dxa"/>
            <w:vAlign w:val="bottom"/>
          </w:tcPr>
          <w:p>
            <w:pPr>
              <w:spacing w:after="0"/>
              <w:rPr>
                <w:sz w:val="20"/>
                <w:szCs w:val="20"/>
                <w:color w:val="auto"/>
              </w:rPr>
            </w:pPr>
            <w:r>
              <w:rPr>
                <w:rFonts w:ascii="Arial" w:cs="Arial" w:eastAsia="Arial" w:hAnsi="Arial"/>
                <w:sz w:val="19"/>
                <w:szCs w:val="19"/>
                <w:color w:val="auto"/>
              </w:rPr>
              <w:t>Accrued employee compensation</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303</w:t>
            </w:r>
          </w:p>
        </w:tc>
        <w:tc>
          <w:tcPr>
            <w:tcW w:w="1180" w:type="dxa"/>
            <w:vAlign w:val="bottom"/>
            <w:gridSpan w:val="3"/>
          </w:tcPr>
          <w:p>
            <w:pPr>
              <w:jc w:val="right"/>
              <w:ind w:right="60"/>
              <w:spacing w:after="0"/>
              <w:rPr>
                <w:sz w:val="20"/>
                <w:szCs w:val="20"/>
                <w:color w:val="auto"/>
              </w:rPr>
            </w:pPr>
            <w:r>
              <w:rPr>
                <w:rFonts w:ascii="Arial" w:cs="Arial" w:eastAsia="Arial" w:hAnsi="Arial"/>
                <w:sz w:val="19"/>
                <w:szCs w:val="19"/>
                <w:color w:val="auto"/>
              </w:rPr>
              <w:t>1,294</w:t>
            </w:r>
          </w:p>
        </w:tc>
        <w:tc>
          <w:tcPr>
            <w:tcW w:w="0" w:type="dxa"/>
            <w:vAlign w:val="bottom"/>
          </w:tcPr>
          <w:p>
            <w:pPr>
              <w:spacing w:after="0"/>
              <w:rPr>
                <w:sz w:val="1"/>
                <w:szCs w:val="1"/>
                <w:color w:val="auto"/>
              </w:rPr>
            </w:pPr>
          </w:p>
        </w:tc>
      </w:tr>
      <w:tr>
        <w:trPr>
          <w:trHeight w:val="228"/>
        </w:trPr>
        <w:tc>
          <w:tcPr>
            <w:tcW w:w="7140" w:type="dxa"/>
            <w:vAlign w:val="bottom"/>
            <w:shd w:val="clear" w:color="auto" w:fill="CCEEFF"/>
          </w:tcPr>
          <w:p>
            <w:pPr>
              <w:spacing w:after="0"/>
              <w:rPr>
                <w:sz w:val="20"/>
                <w:szCs w:val="20"/>
                <w:color w:val="auto"/>
              </w:rPr>
            </w:pPr>
            <w:r>
              <w:rPr>
                <w:rFonts w:ascii="Arial" w:cs="Arial" w:eastAsia="Arial" w:hAnsi="Arial"/>
                <w:sz w:val="19"/>
                <w:szCs w:val="19"/>
                <w:color w:val="auto"/>
              </w:rPr>
              <w:t>Accrued professional services</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color w:val="auto"/>
              </w:rPr>
              <w:t>387</w:t>
            </w:r>
          </w:p>
        </w:tc>
        <w:tc>
          <w:tcPr>
            <w:tcW w:w="0" w:type="dxa"/>
            <w:vAlign w:val="bottom"/>
          </w:tcPr>
          <w:p>
            <w:pPr>
              <w:spacing w:after="0"/>
              <w:rPr>
                <w:sz w:val="1"/>
                <w:szCs w:val="1"/>
                <w:color w:val="auto"/>
              </w:rPr>
            </w:pPr>
          </w:p>
        </w:tc>
      </w:tr>
      <w:tr>
        <w:trPr>
          <w:trHeight w:val="228"/>
        </w:trPr>
        <w:tc>
          <w:tcPr>
            <w:tcW w:w="7140" w:type="dxa"/>
            <w:vAlign w:val="bottom"/>
          </w:tcPr>
          <w:p>
            <w:pPr>
              <w:spacing w:after="0"/>
              <w:rPr>
                <w:sz w:val="20"/>
                <w:szCs w:val="20"/>
                <w:color w:val="auto"/>
              </w:rPr>
            </w:pPr>
            <w:r>
              <w:rPr>
                <w:rFonts w:ascii="Arial" w:cs="Arial" w:eastAsia="Arial" w:hAnsi="Arial"/>
                <w:sz w:val="19"/>
                <w:szCs w:val="19"/>
                <w:color w:val="auto"/>
              </w:rPr>
              <w:t>Accrued property and equipment</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w:t>
            </w:r>
          </w:p>
        </w:tc>
        <w:tc>
          <w:tcPr>
            <w:tcW w:w="1180" w:type="dxa"/>
            <w:vAlign w:val="bottom"/>
            <w:gridSpan w:val="3"/>
          </w:tcPr>
          <w:p>
            <w:pPr>
              <w:jc w:val="right"/>
              <w:ind w:right="60"/>
              <w:spacing w:after="0"/>
              <w:rPr>
                <w:sz w:val="20"/>
                <w:szCs w:val="20"/>
                <w:color w:val="auto"/>
              </w:rPr>
            </w:pPr>
            <w:r>
              <w:rPr>
                <w:rFonts w:ascii="Arial" w:cs="Arial" w:eastAsia="Arial" w:hAnsi="Arial"/>
                <w:sz w:val="19"/>
                <w:szCs w:val="19"/>
                <w:color w:val="auto"/>
              </w:rPr>
              <w:t>201</w:t>
            </w:r>
          </w:p>
        </w:tc>
        <w:tc>
          <w:tcPr>
            <w:tcW w:w="0" w:type="dxa"/>
            <w:vAlign w:val="bottom"/>
          </w:tcPr>
          <w:p>
            <w:pPr>
              <w:spacing w:after="0"/>
              <w:rPr>
                <w:sz w:val="1"/>
                <w:szCs w:val="1"/>
                <w:color w:val="auto"/>
              </w:rPr>
            </w:pPr>
          </w:p>
        </w:tc>
      </w:tr>
      <w:tr>
        <w:trPr>
          <w:trHeight w:val="228"/>
        </w:trPr>
        <w:tc>
          <w:tcPr>
            <w:tcW w:w="7140" w:type="dxa"/>
            <w:vAlign w:val="bottom"/>
            <w:shd w:val="clear" w:color="auto" w:fill="CCEEFF"/>
          </w:tcPr>
          <w:p>
            <w:pPr>
              <w:spacing w:after="0"/>
              <w:rPr>
                <w:sz w:val="20"/>
                <w:szCs w:val="20"/>
                <w:color w:val="auto"/>
              </w:rPr>
            </w:pPr>
            <w:r>
              <w:rPr>
                <w:rFonts w:ascii="Arial" w:cs="Arial" w:eastAsia="Arial" w:hAnsi="Arial"/>
                <w:sz w:val="19"/>
                <w:szCs w:val="19"/>
                <w:color w:val="auto"/>
              </w:rPr>
              <w:t>Other</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w:t>
            </w:r>
          </w:p>
        </w:tc>
        <w:tc>
          <w:tcPr>
            <w:tcW w:w="6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102</w:t>
            </w:r>
          </w:p>
        </w:tc>
        <w:tc>
          <w:tcPr>
            <w:tcW w:w="0" w:type="dxa"/>
            <w:vAlign w:val="bottom"/>
          </w:tcPr>
          <w:p>
            <w:pPr>
              <w:spacing w:after="0"/>
              <w:rPr>
                <w:sz w:val="1"/>
                <w:szCs w:val="1"/>
                <w:color w:val="auto"/>
              </w:rPr>
            </w:pPr>
          </w:p>
        </w:tc>
      </w:tr>
      <w:tr>
        <w:trPr>
          <w:trHeight w:val="20"/>
        </w:trPr>
        <w:tc>
          <w:tcPr>
            <w:tcW w:w="7140" w:type="dxa"/>
            <w:vAlign w:val="bottom"/>
            <w:vMerge w:val="restart"/>
          </w:tcPr>
          <w:p>
            <w:pPr>
              <w:ind w:left="380"/>
              <w:spacing w:after="0"/>
              <w:rPr>
                <w:sz w:val="20"/>
                <w:szCs w:val="20"/>
                <w:color w:val="auto"/>
              </w:rPr>
            </w:pPr>
            <w:r>
              <w:rPr>
                <w:rFonts w:ascii="Arial" w:cs="Arial" w:eastAsia="Arial" w:hAnsi="Arial"/>
                <w:sz w:val="19"/>
                <w:szCs w:val="19"/>
                <w:color w:val="auto"/>
              </w:rPr>
              <w:t>Total accrued liabilities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14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358</w:t>
            </w:r>
          </w:p>
        </w:tc>
        <w:tc>
          <w:tcPr>
            <w:tcW w:w="1180" w:type="dxa"/>
            <w:vAlign w:val="bottom"/>
            <w:gridSpan w:val="3"/>
          </w:tcPr>
          <w:p>
            <w:pPr>
              <w:jc w:val="right"/>
              <w:ind w:right="6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3,455</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ind w:left="640" w:right="8480" w:hanging="461"/>
        <w:spacing w:after="0" w:line="423" w:lineRule="auto"/>
        <w:tabs>
          <w:tab w:leader="none" w:pos="631"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Operating Lease</w:t>
      </w:r>
    </w:p>
    <w:p>
      <w:pPr>
        <w:spacing w:after="0" w:line="1" w:lineRule="exact"/>
        <w:rPr>
          <w:rFonts w:ascii="Arial" w:cs="Arial" w:eastAsia="Arial" w:hAnsi="Arial"/>
          <w:sz w:val="17"/>
          <w:szCs w:val="17"/>
          <w:b w:val="1"/>
          <w:bCs w:val="1"/>
          <w:color w:val="auto"/>
        </w:rPr>
      </w:pPr>
    </w:p>
    <w:p>
      <w:pPr>
        <w:ind w:left="64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The Company leases its headquarters with its main offices and laboratory facilities in South San Francisco under a sublease agreement that ends in April 2019. The Company also has laboratory facilities in Milpitas under an agreement that ends in January 2022. Rent increases, including the impact of a rent holiday, were recognized as deferred rent, which is included in other liabilities in the accompanying consolidated balance sheets. Rent expense is recognized on a straight-line basis over the term of the original lease.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F-14</w:t>
      </w:r>
    </w:p>
    <w:p>
      <w:pPr>
        <w:sectPr>
          <w:pgSz w:w="12240" w:h="15840" w:orient="portrait"/>
          <w:cols w:equalWidth="0" w:num="1">
            <w:col w:w="11800"/>
          </w:cols>
          <w:pgMar w:left="120" w:top="336" w:right="320" w:bottom="1440" w:gutter="0" w:footer="0" w:header="0"/>
        </w:sectPr>
      </w:pPr>
    </w:p>
    <w:bookmarkStart w:id="205" w:name="page206"/>
    <w:bookmarkEnd w:id="20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are minimum future rental payments owed under the Company’s operating leases as of December 31, 2017:</w:t>
      </w:r>
    </w:p>
    <w:p>
      <w:pPr>
        <w:spacing w:after="0" w:line="258" w:lineRule="exact"/>
        <w:rPr>
          <w:sz w:val="20"/>
          <w:szCs w:val="20"/>
          <w:color w:val="auto"/>
        </w:rPr>
      </w:pPr>
    </w:p>
    <w:tbl>
      <w:tblPr>
        <w:tblLayout w:type="fixed"/>
        <w:tblInd w:w="2040" w:type="dxa"/>
        <w:tblCellMar>
          <w:top w:w="0" w:type="dxa"/>
          <w:left w:w="0" w:type="dxa"/>
          <w:bottom w:w="0" w:type="dxa"/>
          <w:right w:w="0" w:type="dxa"/>
        </w:tblCellMar>
      </w:tblPr>
      <w:tr>
        <w:trPr>
          <w:trHeight w:val="180"/>
        </w:trPr>
        <w:tc>
          <w:tcPr>
            <w:tcW w:w="6900" w:type="dxa"/>
            <w:vAlign w:val="bottom"/>
          </w:tcPr>
          <w:p>
            <w:pPr>
              <w:spacing w:after="0"/>
              <w:rPr>
                <w:sz w:val="15"/>
                <w:szCs w:val="15"/>
                <w:color w:val="auto"/>
              </w:rPr>
            </w:pPr>
          </w:p>
        </w:tc>
        <w:tc>
          <w:tcPr>
            <w:tcW w:w="1000" w:type="dxa"/>
            <w:vAlign w:val="bottom"/>
            <w:gridSpan w:val="4"/>
          </w:tcPr>
          <w:p>
            <w:pPr>
              <w:spacing w:after="0"/>
              <w:rPr>
                <w:sz w:val="20"/>
                <w:szCs w:val="20"/>
                <w:color w:val="auto"/>
              </w:rPr>
            </w:pPr>
            <w:r>
              <w:rPr>
                <w:rFonts w:ascii="Arial" w:cs="Arial" w:eastAsia="Arial" w:hAnsi="Arial"/>
                <w:sz w:val="15"/>
                <w:szCs w:val="15"/>
                <w:b w:val="1"/>
                <w:bCs w:val="1"/>
                <w:color w:val="auto"/>
                <w:w w:val="94"/>
              </w:rPr>
              <w:t>(In thousands)</w:t>
            </w:r>
          </w:p>
        </w:tc>
      </w:tr>
      <w:tr>
        <w:trPr>
          <w:trHeight w:val="222"/>
        </w:trPr>
        <w:tc>
          <w:tcPr>
            <w:tcW w:w="6900" w:type="dxa"/>
            <w:vAlign w:val="bottom"/>
            <w:tcBorders>
              <w:top w:val="single" w:sz="8" w:color="CCEEFF"/>
            </w:tcBorders>
            <w:shd w:val="clear" w:color="auto" w:fill="CCEEFF"/>
          </w:tcPr>
          <w:p>
            <w:pPr>
              <w:jc w:val="right"/>
              <w:ind w:right="6425"/>
              <w:spacing w:after="0"/>
              <w:rPr>
                <w:sz w:val="20"/>
                <w:szCs w:val="20"/>
                <w:color w:val="auto"/>
              </w:rPr>
            </w:pPr>
            <w:r>
              <w:rPr>
                <w:rFonts w:ascii="Arial" w:cs="Arial" w:eastAsia="Arial" w:hAnsi="Arial"/>
                <w:sz w:val="19"/>
                <w:szCs w:val="19"/>
                <w:color w:val="auto"/>
                <w:w w:val="85"/>
              </w:rPr>
              <w:t>2018</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1,116</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r>
      <w:tr>
        <w:trPr>
          <w:trHeight w:val="228"/>
        </w:trPr>
        <w:tc>
          <w:tcPr>
            <w:tcW w:w="6900" w:type="dxa"/>
            <w:vAlign w:val="bottom"/>
          </w:tcPr>
          <w:p>
            <w:pPr>
              <w:jc w:val="right"/>
              <w:ind w:right="6425"/>
              <w:spacing w:after="0"/>
              <w:rPr>
                <w:sz w:val="20"/>
                <w:szCs w:val="20"/>
                <w:color w:val="auto"/>
              </w:rPr>
            </w:pPr>
            <w:r>
              <w:rPr>
                <w:rFonts w:ascii="Arial" w:cs="Arial" w:eastAsia="Arial" w:hAnsi="Arial"/>
                <w:sz w:val="19"/>
                <w:szCs w:val="19"/>
                <w:color w:val="auto"/>
                <w:w w:val="85"/>
              </w:rPr>
              <w:t>2019</w:t>
            </w:r>
          </w:p>
        </w:tc>
        <w:tc>
          <w:tcPr>
            <w:tcW w:w="3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9"/>
                <w:szCs w:val="19"/>
                <w:color w:val="auto"/>
              </w:rPr>
              <w:t>530</w:t>
            </w:r>
          </w:p>
        </w:tc>
        <w:tc>
          <w:tcPr>
            <w:tcW w:w="20" w:type="dxa"/>
            <w:vAlign w:val="bottom"/>
          </w:tcPr>
          <w:p>
            <w:pPr>
              <w:spacing w:after="0"/>
              <w:rPr>
                <w:sz w:val="19"/>
                <w:szCs w:val="19"/>
                <w:color w:val="auto"/>
              </w:rPr>
            </w:pPr>
          </w:p>
        </w:tc>
      </w:tr>
      <w:tr>
        <w:trPr>
          <w:trHeight w:val="228"/>
        </w:trPr>
        <w:tc>
          <w:tcPr>
            <w:tcW w:w="6900" w:type="dxa"/>
            <w:vAlign w:val="bottom"/>
            <w:shd w:val="clear" w:color="auto" w:fill="CCEEFF"/>
          </w:tcPr>
          <w:p>
            <w:pPr>
              <w:jc w:val="right"/>
              <w:ind w:right="6425"/>
              <w:spacing w:after="0"/>
              <w:rPr>
                <w:sz w:val="20"/>
                <w:szCs w:val="20"/>
                <w:color w:val="auto"/>
              </w:rPr>
            </w:pPr>
            <w:r>
              <w:rPr>
                <w:rFonts w:ascii="Arial" w:cs="Arial" w:eastAsia="Arial" w:hAnsi="Arial"/>
                <w:sz w:val="19"/>
                <w:szCs w:val="19"/>
                <w:color w:val="auto"/>
                <w:w w:val="85"/>
              </w:rPr>
              <w:t>2020</w:t>
            </w:r>
          </w:p>
        </w:tc>
        <w:tc>
          <w:tcPr>
            <w:tcW w:w="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229</w:t>
            </w:r>
          </w:p>
        </w:tc>
        <w:tc>
          <w:tcPr>
            <w:tcW w:w="20" w:type="dxa"/>
            <w:vAlign w:val="bottom"/>
            <w:shd w:val="clear" w:color="auto" w:fill="CCEEFF"/>
          </w:tcPr>
          <w:p>
            <w:pPr>
              <w:spacing w:after="0"/>
              <w:rPr>
                <w:sz w:val="19"/>
                <w:szCs w:val="19"/>
                <w:color w:val="auto"/>
              </w:rPr>
            </w:pPr>
          </w:p>
        </w:tc>
      </w:tr>
      <w:tr>
        <w:trPr>
          <w:trHeight w:val="228"/>
        </w:trPr>
        <w:tc>
          <w:tcPr>
            <w:tcW w:w="6900" w:type="dxa"/>
            <w:vAlign w:val="bottom"/>
          </w:tcPr>
          <w:p>
            <w:pPr>
              <w:jc w:val="right"/>
              <w:ind w:right="6425"/>
              <w:spacing w:after="0"/>
              <w:rPr>
                <w:sz w:val="20"/>
                <w:szCs w:val="20"/>
                <w:color w:val="auto"/>
              </w:rPr>
            </w:pPr>
            <w:r>
              <w:rPr>
                <w:rFonts w:ascii="Arial" w:cs="Arial" w:eastAsia="Arial" w:hAnsi="Arial"/>
                <w:sz w:val="19"/>
                <w:szCs w:val="19"/>
                <w:color w:val="auto"/>
                <w:w w:val="85"/>
              </w:rPr>
              <w:t>2021</w:t>
            </w:r>
          </w:p>
        </w:tc>
        <w:tc>
          <w:tcPr>
            <w:tcW w:w="3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9"/>
                <w:szCs w:val="19"/>
                <w:color w:val="auto"/>
              </w:rPr>
              <w:t>236</w:t>
            </w:r>
          </w:p>
        </w:tc>
        <w:tc>
          <w:tcPr>
            <w:tcW w:w="20" w:type="dxa"/>
            <w:vAlign w:val="bottom"/>
          </w:tcPr>
          <w:p>
            <w:pPr>
              <w:spacing w:after="0"/>
              <w:rPr>
                <w:sz w:val="19"/>
                <w:szCs w:val="19"/>
                <w:color w:val="auto"/>
              </w:rPr>
            </w:pPr>
          </w:p>
        </w:tc>
      </w:tr>
      <w:tr>
        <w:trPr>
          <w:trHeight w:val="228"/>
        </w:trPr>
        <w:tc>
          <w:tcPr>
            <w:tcW w:w="6900" w:type="dxa"/>
            <w:vAlign w:val="bottom"/>
            <w:shd w:val="clear" w:color="auto" w:fill="CCEEFF"/>
          </w:tcPr>
          <w:p>
            <w:pPr>
              <w:jc w:val="right"/>
              <w:ind w:right="6425"/>
              <w:spacing w:after="0"/>
              <w:rPr>
                <w:sz w:val="20"/>
                <w:szCs w:val="20"/>
                <w:color w:val="auto"/>
              </w:rPr>
            </w:pPr>
            <w:r>
              <w:rPr>
                <w:rFonts w:ascii="Arial" w:cs="Arial" w:eastAsia="Arial" w:hAnsi="Arial"/>
                <w:sz w:val="19"/>
                <w:szCs w:val="19"/>
                <w:color w:val="auto"/>
                <w:w w:val="85"/>
              </w:rPr>
              <w:t>2022</w:t>
            </w: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6"/>
        </w:trPr>
        <w:tc>
          <w:tcPr>
            <w:tcW w:w="6900" w:type="dxa"/>
            <w:vAlign w:val="bottom"/>
          </w:tcPr>
          <w:p>
            <w:pPr>
              <w:jc w:val="right"/>
              <w:ind w:right="6025"/>
              <w:spacing w:after="0"/>
              <w:rPr>
                <w:sz w:val="20"/>
                <w:szCs w:val="20"/>
                <w:color w:val="auto"/>
              </w:rPr>
            </w:pPr>
            <w:r>
              <w:rPr>
                <w:rFonts w:ascii="Arial" w:cs="Arial" w:eastAsia="Arial" w:hAnsi="Arial"/>
                <w:sz w:val="19"/>
                <w:szCs w:val="19"/>
                <w:color w:val="auto"/>
              </w:rPr>
              <w:t>Total</w:t>
            </w:r>
          </w:p>
        </w:tc>
        <w:tc>
          <w:tcPr>
            <w:tcW w:w="3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2,131</w:t>
            </w:r>
          </w:p>
        </w:tc>
        <w:tc>
          <w:tcPr>
            <w:tcW w:w="20" w:type="dxa"/>
            <w:vAlign w:val="bottom"/>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Rent expense for the years ended December 31, 2016 and 2017, was $0.6 million and $1.1 million, respectively.</w:t>
      </w:r>
    </w:p>
    <w:p>
      <w:pPr>
        <w:spacing w:after="0" w:line="389" w:lineRule="exact"/>
        <w:rPr>
          <w:sz w:val="20"/>
          <w:szCs w:val="20"/>
          <w:color w:val="auto"/>
        </w:rPr>
      </w:pPr>
    </w:p>
    <w:p>
      <w:pPr>
        <w:ind w:left="640" w:hanging="461"/>
        <w:spacing w:after="0"/>
        <w:tabs>
          <w:tab w:leader="none" w:pos="640" w:val="left"/>
        </w:tabs>
        <w:numPr>
          <w:ilvl w:val="0"/>
          <w:numId w:val="127"/>
        </w:numPr>
        <w:rPr>
          <w:rFonts w:ascii="Arial" w:cs="Arial" w:eastAsia="Arial" w:hAnsi="Arial"/>
          <w:sz w:val="19"/>
          <w:szCs w:val="19"/>
          <w:b w:val="1"/>
          <w:bCs w:val="1"/>
          <w:color w:val="auto"/>
        </w:rPr>
      </w:pPr>
      <w:r>
        <w:rPr>
          <w:rFonts w:ascii="Arial" w:cs="Arial" w:eastAsia="Arial" w:hAnsi="Arial"/>
          <w:sz w:val="19"/>
          <w:szCs w:val="19"/>
          <w:b w:val="1"/>
          <w:bCs w:val="1"/>
          <w:color w:val="auto"/>
        </w:rPr>
        <w:t>Convertible Preferred Stock</w:t>
      </w:r>
    </w:p>
    <w:p>
      <w:pPr>
        <w:spacing w:after="0" w:line="129" w:lineRule="exact"/>
        <w:rPr>
          <w:rFonts w:ascii="Arial" w:cs="Arial" w:eastAsia="Arial" w:hAnsi="Arial"/>
          <w:sz w:val="19"/>
          <w:szCs w:val="19"/>
          <w:b w:val="1"/>
          <w:bCs w:val="1"/>
          <w:color w:val="auto"/>
        </w:rPr>
      </w:pPr>
    </w:p>
    <w:p>
      <w:pPr>
        <w:ind w:left="64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As discussed in Note 1, on October 12, 2017, all of the Company’s outstanding preferred units converted into shares of convertible preferred stock on a 1-for-1 basis.</w:t>
      </w:r>
    </w:p>
    <w:p>
      <w:pPr>
        <w:spacing w:after="0" w:line="69" w:lineRule="exact"/>
        <w:rPr>
          <w:rFonts w:ascii="Arial" w:cs="Arial" w:eastAsia="Arial" w:hAnsi="Arial"/>
          <w:sz w:val="19"/>
          <w:szCs w:val="19"/>
          <w:b w:val="1"/>
          <w:bCs w:val="1"/>
          <w:color w:val="auto"/>
        </w:rPr>
      </w:pPr>
    </w:p>
    <w:p>
      <w:pPr>
        <w:ind w:left="640"/>
        <w:spacing w:after="0"/>
        <w:rPr>
          <w:rFonts w:ascii="Arial" w:cs="Arial" w:eastAsia="Arial" w:hAnsi="Arial"/>
          <w:sz w:val="19"/>
          <w:szCs w:val="19"/>
          <w:b w:val="1"/>
          <w:bCs w:val="1"/>
          <w:color w:val="auto"/>
        </w:rPr>
      </w:pPr>
      <w:r>
        <w:rPr>
          <w:rFonts w:ascii="Arial" w:cs="Arial" w:eastAsia="Arial" w:hAnsi="Arial"/>
          <w:sz w:val="18"/>
          <w:szCs w:val="18"/>
          <w:color w:val="auto"/>
        </w:rPr>
        <w:t>The following tables summarizes the authorized, issued, and outstanding preferred units and convertible preferred stock of the Company:</w:t>
      </w:r>
    </w:p>
    <w:p>
      <w:pPr>
        <w:spacing w:after="0" w:line="269" w:lineRule="exact"/>
        <w:rPr>
          <w:sz w:val="20"/>
          <w:szCs w:val="20"/>
          <w:color w:val="auto"/>
        </w:rPr>
      </w:pPr>
    </w:p>
    <w:tbl>
      <w:tblPr>
        <w:tblLayout w:type="fixed"/>
        <w:tblInd w:w="660" w:type="dxa"/>
        <w:tblCellMar>
          <w:top w:w="0" w:type="dxa"/>
          <w:left w:w="0" w:type="dxa"/>
          <w:bottom w:w="0" w:type="dxa"/>
          <w:right w:w="0" w:type="dxa"/>
        </w:tblCellMar>
      </w:tblPr>
      <w:tr>
        <w:trPr>
          <w:trHeight w:val="180"/>
        </w:trPr>
        <w:tc>
          <w:tcPr>
            <w:tcW w:w="53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center"/>
              <w:ind w:left="539"/>
              <w:spacing w:after="0"/>
              <w:rPr>
                <w:sz w:val="20"/>
                <w:szCs w:val="20"/>
                <w:color w:val="auto"/>
              </w:rPr>
            </w:pPr>
            <w:r>
              <w:rPr>
                <w:rFonts w:ascii="Arial" w:cs="Arial" w:eastAsia="Arial" w:hAnsi="Arial"/>
                <w:sz w:val="15"/>
                <w:szCs w:val="15"/>
                <w:b w:val="1"/>
                <w:bCs w:val="1"/>
                <w:color w:val="auto"/>
                <w:w w:val="90"/>
              </w:rPr>
              <w:t>December 31, 2016</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28"/>
        </w:trPr>
        <w:tc>
          <w:tcPr>
            <w:tcW w:w="5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jc w:val="center"/>
              <w:ind w:right="160"/>
              <w:spacing w:after="0" w:line="128" w:lineRule="exact"/>
              <w:rPr>
                <w:sz w:val="20"/>
                <w:szCs w:val="20"/>
                <w:color w:val="auto"/>
              </w:rPr>
            </w:pPr>
            <w:r>
              <w:rPr>
                <w:rFonts w:ascii="Arial" w:cs="Arial" w:eastAsia="Arial" w:hAnsi="Arial"/>
                <w:sz w:val="14"/>
                <w:szCs w:val="14"/>
                <w:b w:val="1"/>
                <w:bCs w:val="1"/>
                <w:color w:val="auto"/>
                <w:w w:val="97"/>
              </w:rPr>
              <w:t>Units</w:t>
            </w:r>
          </w:p>
        </w:tc>
        <w:tc>
          <w:tcPr>
            <w:tcW w:w="1020" w:type="dxa"/>
            <w:vAlign w:val="bottom"/>
            <w:gridSpan w:val="2"/>
          </w:tcPr>
          <w:p>
            <w:pPr>
              <w:ind w:left="220"/>
              <w:spacing w:after="0" w:line="128" w:lineRule="exact"/>
              <w:rPr>
                <w:sz w:val="20"/>
                <w:szCs w:val="20"/>
                <w:color w:val="auto"/>
              </w:rPr>
            </w:pPr>
            <w:r>
              <w:rPr>
                <w:rFonts w:ascii="Arial" w:cs="Arial" w:eastAsia="Arial" w:hAnsi="Arial"/>
                <w:sz w:val="14"/>
                <w:szCs w:val="14"/>
                <w:b w:val="1"/>
                <w:bCs w:val="1"/>
                <w:color w:val="auto"/>
              </w:rPr>
              <w:t>Issuance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4"/>
                <w:szCs w:val="14"/>
                <w:b w:val="1"/>
                <w:bCs w:val="1"/>
                <w:color w:val="auto"/>
                <w:w w:val="98"/>
              </w:rPr>
              <w:t>Aggregate</w:t>
            </w:r>
          </w:p>
        </w:tc>
        <w:tc>
          <w:tcPr>
            <w:tcW w:w="60" w:type="dxa"/>
            <w:vAlign w:val="bottom"/>
          </w:tcPr>
          <w:p>
            <w:pPr>
              <w:spacing w:after="0"/>
              <w:rPr>
                <w:sz w:val="11"/>
                <w:szCs w:val="11"/>
                <w:color w:val="auto"/>
              </w:rPr>
            </w:pPr>
          </w:p>
        </w:tc>
      </w:tr>
      <w:tr>
        <w:trPr>
          <w:trHeight w:val="157"/>
        </w:trPr>
        <w:tc>
          <w:tcPr>
            <w:tcW w:w="5320" w:type="dxa"/>
            <w:vAlign w:val="bottom"/>
          </w:tcPr>
          <w:p>
            <w:pPr>
              <w:spacing w:after="0"/>
              <w:rPr>
                <w:sz w:val="13"/>
                <w:szCs w:val="13"/>
                <w:color w:val="auto"/>
              </w:rPr>
            </w:pPr>
          </w:p>
        </w:tc>
        <w:tc>
          <w:tcPr>
            <w:tcW w:w="102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95"/>
              </w:rPr>
              <w:t>Units</w:t>
            </w:r>
          </w:p>
        </w:tc>
        <w:tc>
          <w:tcPr>
            <w:tcW w:w="260" w:type="dxa"/>
            <w:vAlign w:val="bottom"/>
          </w:tcPr>
          <w:p>
            <w:pPr>
              <w:spacing w:after="0"/>
              <w:rPr>
                <w:sz w:val="13"/>
                <w:szCs w:val="13"/>
                <w:color w:val="auto"/>
              </w:rPr>
            </w:pPr>
          </w:p>
        </w:tc>
        <w:tc>
          <w:tcPr>
            <w:tcW w:w="1100" w:type="dxa"/>
            <w:vAlign w:val="bottom"/>
            <w:gridSpan w:val="2"/>
          </w:tcPr>
          <w:p>
            <w:pPr>
              <w:jc w:val="center"/>
              <w:ind w:right="160"/>
              <w:spacing w:after="0" w:line="157" w:lineRule="exact"/>
              <w:rPr>
                <w:sz w:val="20"/>
                <w:szCs w:val="20"/>
                <w:color w:val="auto"/>
              </w:rPr>
            </w:pPr>
            <w:r>
              <w:rPr>
                <w:rFonts w:ascii="Arial" w:cs="Arial" w:eastAsia="Arial" w:hAnsi="Arial"/>
                <w:sz w:val="15"/>
                <w:szCs w:val="15"/>
                <w:b w:val="1"/>
                <w:bCs w:val="1"/>
                <w:color w:val="auto"/>
                <w:w w:val="89"/>
              </w:rPr>
              <w:t>Issued and</w:t>
            </w:r>
          </w:p>
        </w:tc>
        <w:tc>
          <w:tcPr>
            <w:tcW w:w="1020" w:type="dxa"/>
            <w:vAlign w:val="bottom"/>
            <w:gridSpan w:val="2"/>
          </w:tcPr>
          <w:p>
            <w:pPr>
              <w:jc w:val="right"/>
              <w:ind w:right="148"/>
              <w:spacing w:after="0" w:line="157" w:lineRule="exact"/>
              <w:rPr>
                <w:sz w:val="20"/>
                <w:szCs w:val="20"/>
                <w:color w:val="auto"/>
              </w:rPr>
            </w:pPr>
            <w:r>
              <w:rPr>
                <w:rFonts w:ascii="Arial" w:cs="Arial" w:eastAsia="Arial" w:hAnsi="Arial"/>
                <w:sz w:val="15"/>
                <w:szCs w:val="15"/>
                <w:b w:val="1"/>
                <w:bCs w:val="1"/>
                <w:color w:val="auto"/>
              </w:rPr>
              <w:t>Price per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480"/>
              <w:spacing w:after="0" w:line="157" w:lineRule="exact"/>
              <w:rPr>
                <w:sz w:val="20"/>
                <w:szCs w:val="20"/>
                <w:color w:val="auto"/>
              </w:rPr>
            </w:pPr>
            <w:r>
              <w:rPr>
                <w:rFonts w:ascii="Arial" w:cs="Arial" w:eastAsia="Arial" w:hAnsi="Arial"/>
                <w:sz w:val="15"/>
                <w:szCs w:val="15"/>
                <w:b w:val="1"/>
                <w:bCs w:val="1"/>
                <w:color w:val="auto"/>
                <w:w w:val="90"/>
              </w:rPr>
              <w:t>Net</w:t>
            </w:r>
          </w:p>
        </w:tc>
        <w:tc>
          <w:tcPr>
            <w:tcW w:w="82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w w:val="98"/>
              </w:rPr>
              <w:t>Liquidation</w:t>
            </w:r>
          </w:p>
        </w:tc>
      </w:tr>
      <w:tr>
        <w:trPr>
          <w:trHeight w:val="180"/>
        </w:trPr>
        <w:tc>
          <w:tcPr>
            <w:tcW w:w="532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Authorized</w:t>
            </w:r>
          </w:p>
        </w:tc>
        <w:tc>
          <w:tcPr>
            <w:tcW w:w="26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0"/>
              </w:rPr>
              <w:t>Outstanding</w:t>
            </w:r>
          </w:p>
        </w:tc>
        <w:tc>
          <w:tcPr>
            <w:tcW w:w="300" w:type="dxa"/>
            <w:vAlign w:val="bottom"/>
          </w:tcPr>
          <w:p>
            <w:pPr>
              <w:spacing w:after="0"/>
              <w:rPr>
                <w:sz w:val="15"/>
                <w:szCs w:val="15"/>
                <w:color w:val="auto"/>
              </w:rPr>
            </w:pPr>
          </w:p>
        </w:tc>
        <w:tc>
          <w:tcPr>
            <w:tcW w:w="720" w:type="dxa"/>
            <w:vAlign w:val="bottom"/>
          </w:tcPr>
          <w:p>
            <w:pPr>
              <w:jc w:val="right"/>
              <w:ind w:right="288"/>
              <w:spacing w:after="0"/>
              <w:rPr>
                <w:sz w:val="20"/>
                <w:szCs w:val="20"/>
                <w:color w:val="auto"/>
              </w:rPr>
            </w:pPr>
            <w:r>
              <w:rPr>
                <w:rFonts w:ascii="Arial" w:cs="Arial" w:eastAsia="Arial" w:hAnsi="Arial"/>
                <w:sz w:val="15"/>
                <w:szCs w:val="15"/>
                <w:b w:val="1"/>
                <w:bCs w:val="1"/>
                <w:color w:val="auto"/>
              </w:rPr>
              <w:t>Unit</w:t>
            </w:r>
          </w:p>
        </w:tc>
        <w:tc>
          <w:tcPr>
            <w:tcW w:w="140" w:type="dxa"/>
            <w:vAlign w:val="bottom"/>
          </w:tcPr>
          <w:p>
            <w:pPr>
              <w:spacing w:after="0"/>
              <w:rPr>
                <w:sz w:val="15"/>
                <w:szCs w:val="15"/>
                <w:color w:val="auto"/>
              </w:rPr>
            </w:pPr>
          </w:p>
        </w:tc>
        <w:tc>
          <w:tcPr>
            <w:tcW w:w="1000" w:type="dxa"/>
            <w:vAlign w:val="bottom"/>
            <w:gridSpan w:val="3"/>
          </w:tcPr>
          <w:p>
            <w:pPr>
              <w:jc w:val="center"/>
              <w:ind w:right="380"/>
              <w:spacing w:after="0"/>
              <w:rPr>
                <w:sz w:val="20"/>
                <w:szCs w:val="20"/>
                <w:color w:val="auto"/>
              </w:rPr>
            </w:pPr>
            <w:r>
              <w:rPr>
                <w:rFonts w:ascii="Arial" w:cs="Arial" w:eastAsia="Arial" w:hAnsi="Arial"/>
                <w:sz w:val="15"/>
                <w:szCs w:val="15"/>
                <w:b w:val="1"/>
                <w:bCs w:val="1"/>
                <w:color w:val="auto"/>
                <w:w w:val="85"/>
              </w:rPr>
              <w:t>Proceeds</w:t>
            </w:r>
          </w:p>
        </w:tc>
        <w:tc>
          <w:tcPr>
            <w:tcW w:w="820" w:type="dxa"/>
            <w:vAlign w:val="bottom"/>
            <w:gridSpan w:val="3"/>
          </w:tcPr>
          <w:p>
            <w:pPr>
              <w:ind w:left="40"/>
              <w:spacing w:after="0"/>
              <w:rPr>
                <w:sz w:val="20"/>
                <w:szCs w:val="20"/>
                <w:color w:val="auto"/>
              </w:rPr>
            </w:pPr>
            <w:r>
              <w:rPr>
                <w:rFonts w:ascii="Arial" w:cs="Arial" w:eastAsia="Arial" w:hAnsi="Arial"/>
                <w:sz w:val="15"/>
                <w:szCs w:val="15"/>
                <w:b w:val="1"/>
                <w:bCs w:val="1"/>
                <w:color w:val="auto"/>
                <w:w w:val="97"/>
              </w:rPr>
              <w:t>Preference</w:t>
            </w:r>
          </w:p>
        </w:tc>
      </w:tr>
      <w:tr>
        <w:trPr>
          <w:trHeight w:val="151"/>
        </w:trPr>
        <w:tc>
          <w:tcPr>
            <w:tcW w:w="5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520" w:type="dxa"/>
            <w:vAlign w:val="bottom"/>
            <w:tcBorders>
              <w:top w:val="single" w:sz="8" w:color="auto"/>
            </w:tcBorders>
            <w:gridSpan w:val="9"/>
          </w:tcPr>
          <w:p>
            <w:pPr>
              <w:jc w:val="center"/>
              <w:ind w:right="260"/>
              <w:spacing w:after="0" w:line="151" w:lineRule="exact"/>
              <w:rPr>
                <w:sz w:val="20"/>
                <w:szCs w:val="20"/>
                <w:color w:val="auto"/>
              </w:rPr>
            </w:pPr>
            <w:r>
              <w:rPr>
                <w:rFonts w:ascii="Arial" w:cs="Arial" w:eastAsia="Arial" w:hAnsi="Arial"/>
                <w:sz w:val="15"/>
                <w:szCs w:val="15"/>
                <w:b w:val="1"/>
                <w:bCs w:val="1"/>
                <w:color w:val="auto"/>
                <w:w w:val="91"/>
              </w:rPr>
              <w:t>(In thousands, except unit and per unit data)</w:t>
            </w: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28"/>
        </w:trPr>
        <w:tc>
          <w:tcPr>
            <w:tcW w:w="532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Preferred Units:</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5320" w:type="dxa"/>
            <w:vAlign w:val="bottom"/>
          </w:tcPr>
          <w:p>
            <w:pPr>
              <w:spacing w:after="0"/>
              <w:rPr>
                <w:sz w:val="20"/>
                <w:szCs w:val="20"/>
                <w:color w:val="auto"/>
              </w:rPr>
            </w:pPr>
            <w:r>
              <w:rPr>
                <w:rFonts w:ascii="Arial" w:cs="Arial" w:eastAsia="Arial" w:hAnsi="Arial"/>
                <w:sz w:val="19"/>
                <w:szCs w:val="19"/>
                <w:color w:val="auto"/>
              </w:rPr>
              <w:t>Series A-1</w:t>
            </w:r>
          </w:p>
        </w:tc>
        <w:tc>
          <w:tcPr>
            <w:tcW w:w="920" w:type="dxa"/>
            <w:vAlign w:val="bottom"/>
          </w:tcPr>
          <w:p>
            <w:pPr>
              <w:jc w:val="right"/>
              <w:spacing w:after="0"/>
              <w:rPr>
                <w:sz w:val="20"/>
                <w:szCs w:val="20"/>
                <w:color w:val="auto"/>
              </w:rPr>
            </w:pPr>
            <w:r>
              <w:rPr>
                <w:rFonts w:ascii="Arial" w:cs="Arial" w:eastAsia="Arial" w:hAnsi="Arial"/>
                <w:sz w:val="19"/>
                <w:szCs w:val="19"/>
                <w:color w:val="auto"/>
              </w:rPr>
              <w:t>1,000,000</w:t>
            </w:r>
          </w:p>
        </w:tc>
        <w:tc>
          <w:tcPr>
            <w:tcW w:w="10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9"/>
                <w:szCs w:val="19"/>
                <w:color w:val="auto"/>
              </w:rPr>
              <w:t>1,000,000</w:t>
            </w:r>
          </w:p>
        </w:tc>
        <w:tc>
          <w:tcPr>
            <w:tcW w:w="300" w:type="dxa"/>
            <w:vAlign w:val="bottom"/>
          </w:tcPr>
          <w:p>
            <w:pPr>
              <w:ind w:left="200"/>
              <w:spacing w:after="0"/>
              <w:rPr>
                <w:sz w:val="20"/>
                <w:szCs w:val="20"/>
                <w:color w:val="auto"/>
              </w:rPr>
            </w:pPr>
            <w:r>
              <w:rPr>
                <w:rFonts w:ascii="Arial" w:cs="Arial" w:eastAsia="Arial" w:hAnsi="Arial"/>
                <w:sz w:val="19"/>
                <w:szCs w:val="19"/>
                <w:color w:val="auto"/>
                <w:w w:val="75"/>
              </w:rPr>
              <w:t>$</w:t>
            </w:r>
          </w:p>
        </w:tc>
        <w:tc>
          <w:tcPr>
            <w:tcW w:w="720" w:type="dxa"/>
            <w:vAlign w:val="bottom"/>
          </w:tcPr>
          <w:p>
            <w:pPr>
              <w:jc w:val="right"/>
              <w:ind w:right="148"/>
              <w:spacing w:after="0"/>
              <w:rPr>
                <w:sz w:val="20"/>
                <w:szCs w:val="20"/>
                <w:color w:val="auto"/>
              </w:rPr>
            </w:pPr>
            <w:r>
              <w:rPr>
                <w:rFonts w:ascii="Arial" w:cs="Arial" w:eastAsia="Arial" w:hAnsi="Arial"/>
                <w:sz w:val="19"/>
                <w:szCs w:val="19"/>
                <w:color w:val="auto"/>
              </w:rPr>
              <w:t>0.40</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9"/>
                <w:szCs w:val="19"/>
                <w:color w:val="auto"/>
              </w:rPr>
              <w:t>354</w:t>
            </w:r>
          </w:p>
        </w:tc>
        <w:tc>
          <w:tcPr>
            <w:tcW w:w="180" w:type="dxa"/>
            <w:vAlign w:val="bottom"/>
          </w:tcPr>
          <w:p>
            <w:pPr>
              <w:spacing w:after="0"/>
              <w:rPr>
                <w:sz w:val="20"/>
                <w:szCs w:val="20"/>
                <w:color w:val="auto"/>
              </w:rPr>
            </w:pPr>
            <w:r>
              <w:rPr>
                <w:rFonts w:ascii="Arial" w:cs="Arial" w:eastAsia="Arial" w:hAnsi="Arial"/>
                <w:sz w:val="19"/>
                <w:szCs w:val="19"/>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9"/>
                <w:szCs w:val="19"/>
                <w:color w:val="auto"/>
              </w:rPr>
              <w:t>400</w:t>
            </w:r>
          </w:p>
        </w:tc>
      </w:tr>
      <w:tr>
        <w:trPr>
          <w:trHeight w:val="228"/>
        </w:trPr>
        <w:tc>
          <w:tcPr>
            <w:tcW w:w="5320" w:type="dxa"/>
            <w:vAlign w:val="bottom"/>
            <w:shd w:val="clear" w:color="auto" w:fill="CCEEFF"/>
          </w:tcPr>
          <w:p>
            <w:pPr>
              <w:spacing w:after="0"/>
              <w:rPr>
                <w:sz w:val="20"/>
                <w:szCs w:val="20"/>
                <w:color w:val="auto"/>
              </w:rPr>
            </w:pPr>
            <w:r>
              <w:rPr>
                <w:rFonts w:ascii="Arial" w:cs="Arial" w:eastAsia="Arial" w:hAnsi="Arial"/>
                <w:sz w:val="19"/>
                <w:szCs w:val="19"/>
                <w:color w:val="auto"/>
              </w:rPr>
              <w:t>Series A-2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w w:val="94"/>
              </w:rPr>
              <w:t>10,549,450</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10,549,450</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8"/>
              <w:spacing w:after="0"/>
              <w:rPr>
                <w:sz w:val="20"/>
                <w:szCs w:val="20"/>
                <w:color w:val="auto"/>
              </w:rPr>
            </w:pPr>
            <w:r>
              <w:rPr>
                <w:rFonts w:ascii="Arial" w:cs="Arial" w:eastAsia="Arial" w:hAnsi="Arial"/>
                <w:sz w:val="19"/>
                <w:szCs w:val="19"/>
                <w:color w:val="auto"/>
              </w:rPr>
              <w:t>0.91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9,554</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9,600</w:t>
            </w:r>
          </w:p>
        </w:tc>
      </w:tr>
      <w:tr>
        <w:trPr>
          <w:trHeight w:val="228"/>
        </w:trPr>
        <w:tc>
          <w:tcPr>
            <w:tcW w:w="5320" w:type="dxa"/>
            <w:vAlign w:val="bottom"/>
          </w:tcPr>
          <w:p>
            <w:pPr>
              <w:spacing w:after="0"/>
              <w:rPr>
                <w:sz w:val="20"/>
                <w:szCs w:val="20"/>
                <w:color w:val="auto"/>
              </w:rPr>
            </w:pPr>
            <w:r>
              <w:rPr>
                <w:rFonts w:ascii="Arial" w:cs="Arial" w:eastAsia="Arial" w:hAnsi="Arial"/>
                <w:sz w:val="19"/>
                <w:szCs w:val="19"/>
                <w:color w:val="auto"/>
              </w:rPr>
              <w:t>Series B</w:t>
            </w:r>
          </w:p>
        </w:tc>
        <w:tc>
          <w:tcPr>
            <w:tcW w:w="920" w:type="dxa"/>
            <w:vAlign w:val="bottom"/>
          </w:tcPr>
          <w:p>
            <w:pPr>
              <w:jc w:val="right"/>
              <w:spacing w:after="0"/>
              <w:rPr>
                <w:sz w:val="20"/>
                <w:szCs w:val="20"/>
                <w:color w:val="auto"/>
              </w:rPr>
            </w:pPr>
            <w:r>
              <w:rPr>
                <w:rFonts w:ascii="Arial" w:cs="Arial" w:eastAsia="Arial" w:hAnsi="Arial"/>
                <w:sz w:val="19"/>
                <w:szCs w:val="19"/>
                <w:color w:val="auto"/>
              </w:rPr>
              <w:t>5,000,000</w:t>
            </w:r>
          </w:p>
        </w:tc>
        <w:tc>
          <w:tcPr>
            <w:tcW w:w="10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9"/>
                <w:szCs w:val="19"/>
                <w:color w:val="auto"/>
              </w:rPr>
              <w:t>5,000,000</w:t>
            </w:r>
          </w:p>
        </w:tc>
        <w:tc>
          <w:tcPr>
            <w:tcW w:w="300" w:type="dxa"/>
            <w:vAlign w:val="bottom"/>
          </w:tcPr>
          <w:p>
            <w:pPr>
              <w:spacing w:after="0"/>
              <w:rPr>
                <w:sz w:val="19"/>
                <w:szCs w:val="19"/>
                <w:color w:val="auto"/>
              </w:rPr>
            </w:pPr>
          </w:p>
        </w:tc>
        <w:tc>
          <w:tcPr>
            <w:tcW w:w="720" w:type="dxa"/>
            <w:vAlign w:val="bottom"/>
          </w:tcPr>
          <w:p>
            <w:pPr>
              <w:jc w:val="right"/>
              <w:ind w:right="148"/>
              <w:spacing w:after="0"/>
              <w:rPr>
                <w:sz w:val="20"/>
                <w:szCs w:val="20"/>
                <w:color w:val="auto"/>
              </w:rPr>
            </w:pPr>
            <w:r>
              <w:rPr>
                <w:rFonts w:ascii="Arial" w:cs="Arial" w:eastAsia="Arial" w:hAnsi="Arial"/>
                <w:sz w:val="19"/>
                <w:szCs w:val="19"/>
                <w:color w:val="auto"/>
              </w:rPr>
              <w:t>1.20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9"/>
                <w:szCs w:val="19"/>
                <w:color w:val="auto"/>
              </w:rPr>
              <w:t>5,968</w:t>
            </w:r>
          </w:p>
        </w:tc>
        <w:tc>
          <w:tcPr>
            <w:tcW w:w="1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9"/>
                <w:szCs w:val="19"/>
                <w:color w:val="auto"/>
              </w:rPr>
              <w:t>6,000</w:t>
            </w:r>
          </w:p>
        </w:tc>
      </w:tr>
      <w:tr>
        <w:trPr>
          <w:trHeight w:val="228"/>
        </w:trPr>
        <w:tc>
          <w:tcPr>
            <w:tcW w:w="5320" w:type="dxa"/>
            <w:vAlign w:val="bottom"/>
            <w:shd w:val="clear" w:color="auto" w:fill="CCEEFF"/>
          </w:tcPr>
          <w:p>
            <w:pPr>
              <w:spacing w:after="0"/>
              <w:rPr>
                <w:sz w:val="20"/>
                <w:szCs w:val="20"/>
                <w:color w:val="auto"/>
              </w:rPr>
            </w:pPr>
            <w:r>
              <w:rPr>
                <w:rFonts w:ascii="Arial" w:cs="Arial" w:eastAsia="Arial" w:hAnsi="Arial"/>
                <w:sz w:val="19"/>
                <w:szCs w:val="19"/>
                <w:color w:val="auto"/>
              </w:rPr>
              <w:t>Series C</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w w:val="94"/>
              </w:rPr>
              <w:t>12,088,016</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12,088,016</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8"/>
              <w:spacing w:after="0"/>
              <w:rPr>
                <w:sz w:val="20"/>
                <w:szCs w:val="20"/>
                <w:color w:val="auto"/>
              </w:rPr>
            </w:pPr>
            <w:r>
              <w:rPr>
                <w:rFonts w:ascii="Arial" w:cs="Arial" w:eastAsia="Arial" w:hAnsi="Arial"/>
                <w:sz w:val="19"/>
                <w:szCs w:val="19"/>
                <w:color w:val="auto"/>
              </w:rPr>
              <w:t>2.67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w w:val="85"/>
              </w:rPr>
              <w:t>32,158</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6"/>
              </w:rPr>
              <w:t>32,275</w:t>
            </w:r>
          </w:p>
        </w:tc>
      </w:tr>
      <w:tr>
        <w:trPr>
          <w:trHeight w:val="228"/>
        </w:trPr>
        <w:tc>
          <w:tcPr>
            <w:tcW w:w="5320" w:type="dxa"/>
            <w:vAlign w:val="bottom"/>
          </w:tcPr>
          <w:p>
            <w:pPr>
              <w:spacing w:after="0"/>
              <w:rPr>
                <w:sz w:val="20"/>
                <w:szCs w:val="20"/>
                <w:color w:val="auto"/>
              </w:rPr>
            </w:pPr>
            <w:r>
              <w:rPr>
                <w:rFonts w:ascii="Arial" w:cs="Arial" w:eastAsia="Arial" w:hAnsi="Arial"/>
                <w:sz w:val="19"/>
                <w:szCs w:val="19"/>
                <w:color w:val="auto"/>
              </w:rPr>
              <w:t>Series D</w:t>
            </w:r>
          </w:p>
        </w:tc>
        <w:tc>
          <w:tcPr>
            <w:tcW w:w="920" w:type="dxa"/>
            <w:vAlign w:val="bottom"/>
          </w:tcPr>
          <w:p>
            <w:pPr>
              <w:jc w:val="right"/>
              <w:spacing w:after="0"/>
              <w:rPr>
                <w:sz w:val="20"/>
                <w:szCs w:val="20"/>
                <w:color w:val="auto"/>
              </w:rPr>
            </w:pPr>
            <w:r>
              <w:rPr>
                <w:rFonts w:ascii="Arial" w:cs="Arial" w:eastAsia="Arial" w:hAnsi="Arial"/>
                <w:sz w:val="19"/>
                <w:szCs w:val="19"/>
                <w:color w:val="auto"/>
              </w:rPr>
              <w:t>7,363,737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7,363,737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148"/>
              <w:spacing w:after="0"/>
              <w:rPr>
                <w:sz w:val="20"/>
                <w:szCs w:val="20"/>
                <w:color w:val="auto"/>
              </w:rPr>
            </w:pPr>
            <w:r>
              <w:rPr>
                <w:rFonts w:ascii="Arial" w:cs="Arial" w:eastAsia="Arial" w:hAnsi="Arial"/>
                <w:sz w:val="19"/>
                <w:szCs w:val="19"/>
                <w:color w:val="auto"/>
              </w:rPr>
              <w:t>4.01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9"/>
                <w:szCs w:val="19"/>
                <w:color w:val="auto"/>
                <w:w w:val="85"/>
              </w:rPr>
              <w:t>29,451</w:t>
            </w:r>
          </w:p>
        </w:tc>
        <w:tc>
          <w:tcPr>
            <w:tcW w:w="1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9"/>
                <w:szCs w:val="19"/>
                <w:color w:val="auto"/>
                <w:w w:val="96"/>
              </w:rPr>
              <w:t>29,529</w:t>
            </w:r>
          </w:p>
        </w:tc>
      </w:tr>
      <w:tr>
        <w:trPr>
          <w:trHeight w:val="29"/>
        </w:trPr>
        <w:tc>
          <w:tcPr>
            <w:tcW w:w="5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53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preferred units</w:t>
            </w: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36,001,203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36,001,203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9"/>
                <w:szCs w:val="19"/>
                <w:u w:val="single" w:color="auto"/>
                <w:color w:val="auto"/>
                <w:w w:val="87"/>
              </w:rPr>
              <w:t>$</w:t>
            </w:r>
            <w:r>
              <w:rPr>
                <w:rFonts w:ascii="Arial" w:cs="Arial" w:eastAsia="Arial" w:hAnsi="Arial"/>
                <w:sz w:val="19"/>
                <w:szCs w:val="19"/>
                <w:color w:val="auto"/>
                <w:w w:val="87"/>
              </w:rPr>
              <w:t>77,485</w:t>
            </w:r>
          </w:p>
        </w:tc>
        <w:tc>
          <w:tcPr>
            <w:tcW w:w="18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6"/>
              </w:rPr>
              <w:t>77,804</w:t>
            </w:r>
          </w:p>
        </w:tc>
      </w:tr>
      <w:tr>
        <w:trPr>
          <w:trHeight w:val="20"/>
        </w:trPr>
        <w:tc>
          <w:tcPr>
            <w:tcW w:w="5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1"/>
        </w:trPr>
        <w:tc>
          <w:tcPr>
            <w:tcW w:w="53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center"/>
              <w:ind w:left="539"/>
              <w:spacing w:after="0"/>
              <w:rPr>
                <w:sz w:val="20"/>
                <w:szCs w:val="20"/>
                <w:color w:val="auto"/>
              </w:rPr>
            </w:pPr>
            <w:r>
              <w:rPr>
                <w:rFonts w:ascii="Arial" w:cs="Arial" w:eastAsia="Arial" w:hAnsi="Arial"/>
                <w:sz w:val="15"/>
                <w:szCs w:val="15"/>
                <w:b w:val="1"/>
                <w:bCs w:val="1"/>
                <w:color w:val="auto"/>
                <w:w w:val="90"/>
              </w:rPr>
              <w:t>December 31, 2017</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8"/>
        </w:trPr>
        <w:tc>
          <w:tcPr>
            <w:tcW w:w="5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jc w:val="center"/>
              <w:ind w:right="180"/>
              <w:spacing w:after="0" w:line="128" w:lineRule="exact"/>
              <w:rPr>
                <w:sz w:val="20"/>
                <w:szCs w:val="20"/>
                <w:color w:val="auto"/>
              </w:rPr>
            </w:pPr>
            <w:r>
              <w:rPr>
                <w:rFonts w:ascii="Arial" w:cs="Arial" w:eastAsia="Arial" w:hAnsi="Arial"/>
                <w:sz w:val="14"/>
                <w:szCs w:val="14"/>
                <w:b w:val="1"/>
                <w:bCs w:val="1"/>
                <w:color w:val="auto"/>
                <w:w w:val="94"/>
              </w:rPr>
              <w:t>Shares</w:t>
            </w:r>
          </w:p>
        </w:tc>
        <w:tc>
          <w:tcPr>
            <w:tcW w:w="1020" w:type="dxa"/>
            <w:vAlign w:val="bottom"/>
            <w:gridSpan w:val="2"/>
          </w:tcPr>
          <w:p>
            <w:pPr>
              <w:jc w:val="right"/>
              <w:ind w:right="168"/>
              <w:spacing w:after="0" w:line="128" w:lineRule="exact"/>
              <w:rPr>
                <w:sz w:val="20"/>
                <w:szCs w:val="20"/>
                <w:color w:val="auto"/>
              </w:rPr>
            </w:pPr>
            <w:r>
              <w:rPr>
                <w:rFonts w:ascii="Arial" w:cs="Arial" w:eastAsia="Arial" w:hAnsi="Arial"/>
                <w:sz w:val="14"/>
                <w:szCs w:val="14"/>
                <w:b w:val="1"/>
                <w:bCs w:val="1"/>
                <w:color w:val="auto"/>
              </w:rPr>
              <w:t>Issuance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4"/>
                <w:szCs w:val="14"/>
                <w:b w:val="1"/>
                <w:bCs w:val="1"/>
                <w:color w:val="auto"/>
                <w:w w:val="98"/>
              </w:rPr>
              <w:t>Aggregate</w:t>
            </w:r>
          </w:p>
        </w:tc>
        <w:tc>
          <w:tcPr>
            <w:tcW w:w="60" w:type="dxa"/>
            <w:vAlign w:val="bottom"/>
          </w:tcPr>
          <w:p>
            <w:pPr>
              <w:spacing w:after="0"/>
              <w:rPr>
                <w:sz w:val="11"/>
                <w:szCs w:val="11"/>
                <w:color w:val="auto"/>
              </w:rPr>
            </w:pPr>
          </w:p>
        </w:tc>
      </w:tr>
      <w:tr>
        <w:trPr>
          <w:trHeight w:val="157"/>
        </w:trPr>
        <w:tc>
          <w:tcPr>
            <w:tcW w:w="5320" w:type="dxa"/>
            <w:vAlign w:val="bottom"/>
          </w:tcPr>
          <w:p>
            <w:pPr>
              <w:spacing w:after="0"/>
              <w:rPr>
                <w:sz w:val="13"/>
                <w:szCs w:val="13"/>
                <w:color w:val="auto"/>
              </w:rPr>
            </w:pPr>
          </w:p>
        </w:tc>
        <w:tc>
          <w:tcPr>
            <w:tcW w:w="102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87"/>
              </w:rPr>
              <w:t>Shares</w:t>
            </w:r>
          </w:p>
        </w:tc>
        <w:tc>
          <w:tcPr>
            <w:tcW w:w="260" w:type="dxa"/>
            <w:vAlign w:val="bottom"/>
          </w:tcPr>
          <w:p>
            <w:pPr>
              <w:spacing w:after="0"/>
              <w:rPr>
                <w:sz w:val="13"/>
                <w:szCs w:val="13"/>
                <w:color w:val="auto"/>
              </w:rPr>
            </w:pPr>
          </w:p>
        </w:tc>
        <w:tc>
          <w:tcPr>
            <w:tcW w:w="1100" w:type="dxa"/>
            <w:vAlign w:val="bottom"/>
            <w:gridSpan w:val="2"/>
          </w:tcPr>
          <w:p>
            <w:pPr>
              <w:jc w:val="center"/>
              <w:ind w:right="160"/>
              <w:spacing w:after="0" w:line="157" w:lineRule="exact"/>
              <w:rPr>
                <w:sz w:val="20"/>
                <w:szCs w:val="20"/>
                <w:color w:val="auto"/>
              </w:rPr>
            </w:pPr>
            <w:r>
              <w:rPr>
                <w:rFonts w:ascii="Arial" w:cs="Arial" w:eastAsia="Arial" w:hAnsi="Arial"/>
                <w:sz w:val="15"/>
                <w:szCs w:val="15"/>
                <w:b w:val="1"/>
                <w:bCs w:val="1"/>
                <w:color w:val="auto"/>
                <w:w w:val="89"/>
              </w:rPr>
              <w:t>Issued and</w:t>
            </w:r>
          </w:p>
        </w:tc>
        <w:tc>
          <w:tcPr>
            <w:tcW w:w="1020" w:type="dxa"/>
            <w:vAlign w:val="bottom"/>
            <w:gridSpan w:val="2"/>
          </w:tcPr>
          <w:p>
            <w:pPr>
              <w:jc w:val="right"/>
              <w:ind w:right="148"/>
              <w:spacing w:after="0" w:line="157" w:lineRule="exact"/>
              <w:rPr>
                <w:sz w:val="20"/>
                <w:szCs w:val="20"/>
                <w:color w:val="auto"/>
              </w:rPr>
            </w:pPr>
            <w:r>
              <w:rPr>
                <w:rFonts w:ascii="Arial" w:cs="Arial" w:eastAsia="Arial" w:hAnsi="Arial"/>
                <w:sz w:val="15"/>
                <w:szCs w:val="15"/>
                <w:b w:val="1"/>
                <w:bCs w:val="1"/>
                <w:color w:val="auto"/>
              </w:rPr>
              <w:t>Price per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480"/>
              <w:spacing w:after="0" w:line="157" w:lineRule="exact"/>
              <w:rPr>
                <w:sz w:val="20"/>
                <w:szCs w:val="20"/>
                <w:color w:val="auto"/>
              </w:rPr>
            </w:pPr>
            <w:r>
              <w:rPr>
                <w:rFonts w:ascii="Arial" w:cs="Arial" w:eastAsia="Arial" w:hAnsi="Arial"/>
                <w:sz w:val="15"/>
                <w:szCs w:val="15"/>
                <w:b w:val="1"/>
                <w:bCs w:val="1"/>
                <w:color w:val="auto"/>
                <w:w w:val="90"/>
              </w:rPr>
              <w:t>Net</w:t>
            </w:r>
          </w:p>
        </w:tc>
        <w:tc>
          <w:tcPr>
            <w:tcW w:w="82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w w:val="98"/>
              </w:rPr>
              <w:t>Liquidation</w:t>
            </w:r>
          </w:p>
        </w:tc>
      </w:tr>
      <w:tr>
        <w:trPr>
          <w:trHeight w:val="180"/>
        </w:trPr>
        <w:tc>
          <w:tcPr>
            <w:tcW w:w="532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Authorized</w:t>
            </w:r>
          </w:p>
        </w:tc>
        <w:tc>
          <w:tcPr>
            <w:tcW w:w="26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0"/>
              </w:rPr>
              <w:t>Outstanding</w:t>
            </w:r>
          </w:p>
        </w:tc>
        <w:tc>
          <w:tcPr>
            <w:tcW w:w="300" w:type="dxa"/>
            <w:vAlign w:val="bottom"/>
          </w:tcPr>
          <w:p>
            <w:pPr>
              <w:spacing w:after="0"/>
              <w:rPr>
                <w:sz w:val="15"/>
                <w:szCs w:val="15"/>
                <w:color w:val="auto"/>
              </w:rPr>
            </w:pPr>
          </w:p>
        </w:tc>
        <w:tc>
          <w:tcPr>
            <w:tcW w:w="720" w:type="dxa"/>
            <w:vAlign w:val="bottom"/>
          </w:tcPr>
          <w:p>
            <w:pPr>
              <w:jc w:val="right"/>
              <w:ind w:right="248"/>
              <w:spacing w:after="0"/>
              <w:rPr>
                <w:sz w:val="20"/>
                <w:szCs w:val="20"/>
                <w:color w:val="auto"/>
              </w:rPr>
            </w:pPr>
            <w:r>
              <w:rPr>
                <w:rFonts w:ascii="Arial" w:cs="Arial" w:eastAsia="Arial" w:hAnsi="Arial"/>
                <w:sz w:val="15"/>
                <w:szCs w:val="15"/>
                <w:b w:val="1"/>
                <w:bCs w:val="1"/>
                <w:color w:val="auto"/>
                <w:w w:val="86"/>
              </w:rPr>
              <w:t>Share</w:t>
            </w:r>
          </w:p>
        </w:tc>
        <w:tc>
          <w:tcPr>
            <w:tcW w:w="140" w:type="dxa"/>
            <w:vAlign w:val="bottom"/>
          </w:tcPr>
          <w:p>
            <w:pPr>
              <w:spacing w:after="0"/>
              <w:rPr>
                <w:sz w:val="15"/>
                <w:szCs w:val="15"/>
                <w:color w:val="auto"/>
              </w:rPr>
            </w:pPr>
          </w:p>
        </w:tc>
        <w:tc>
          <w:tcPr>
            <w:tcW w:w="1000" w:type="dxa"/>
            <w:vAlign w:val="bottom"/>
            <w:gridSpan w:val="3"/>
          </w:tcPr>
          <w:p>
            <w:pPr>
              <w:jc w:val="center"/>
              <w:ind w:right="380"/>
              <w:spacing w:after="0"/>
              <w:rPr>
                <w:sz w:val="20"/>
                <w:szCs w:val="20"/>
                <w:color w:val="auto"/>
              </w:rPr>
            </w:pPr>
            <w:r>
              <w:rPr>
                <w:rFonts w:ascii="Arial" w:cs="Arial" w:eastAsia="Arial" w:hAnsi="Arial"/>
                <w:sz w:val="15"/>
                <w:szCs w:val="15"/>
                <w:b w:val="1"/>
                <w:bCs w:val="1"/>
                <w:color w:val="auto"/>
                <w:w w:val="85"/>
              </w:rPr>
              <w:t>Proceeds</w:t>
            </w:r>
          </w:p>
        </w:tc>
        <w:tc>
          <w:tcPr>
            <w:tcW w:w="820" w:type="dxa"/>
            <w:vAlign w:val="bottom"/>
            <w:gridSpan w:val="3"/>
          </w:tcPr>
          <w:p>
            <w:pPr>
              <w:ind w:left="40"/>
              <w:spacing w:after="0"/>
              <w:rPr>
                <w:sz w:val="20"/>
                <w:szCs w:val="20"/>
                <w:color w:val="auto"/>
              </w:rPr>
            </w:pPr>
            <w:r>
              <w:rPr>
                <w:rFonts w:ascii="Arial" w:cs="Arial" w:eastAsia="Arial" w:hAnsi="Arial"/>
                <w:sz w:val="15"/>
                <w:szCs w:val="15"/>
                <w:b w:val="1"/>
                <w:bCs w:val="1"/>
                <w:color w:val="auto"/>
                <w:w w:val="97"/>
              </w:rPr>
              <w:t>Preference</w:t>
            </w:r>
          </w:p>
        </w:tc>
      </w:tr>
      <w:tr>
        <w:trPr>
          <w:trHeight w:val="151"/>
        </w:trPr>
        <w:tc>
          <w:tcPr>
            <w:tcW w:w="5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520" w:type="dxa"/>
            <w:vAlign w:val="bottom"/>
            <w:tcBorders>
              <w:top w:val="single" w:sz="8" w:color="auto"/>
            </w:tcBorders>
            <w:gridSpan w:val="9"/>
          </w:tcPr>
          <w:p>
            <w:pPr>
              <w:jc w:val="center"/>
              <w:ind w:right="240"/>
              <w:spacing w:after="0" w:line="151" w:lineRule="exact"/>
              <w:rPr>
                <w:sz w:val="20"/>
                <w:szCs w:val="20"/>
                <w:color w:val="auto"/>
              </w:rPr>
            </w:pPr>
            <w:r>
              <w:rPr>
                <w:rFonts w:ascii="Arial" w:cs="Arial" w:eastAsia="Arial" w:hAnsi="Arial"/>
                <w:sz w:val="15"/>
                <w:szCs w:val="15"/>
                <w:b w:val="1"/>
                <w:bCs w:val="1"/>
                <w:color w:val="auto"/>
                <w:w w:val="90"/>
              </w:rPr>
              <w:t>(In thousands, except share and per share data)</w:t>
            </w: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28"/>
        </w:trPr>
        <w:tc>
          <w:tcPr>
            <w:tcW w:w="532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Convertible Preferred Stock:</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5320" w:type="dxa"/>
            <w:vAlign w:val="bottom"/>
          </w:tcPr>
          <w:p>
            <w:pPr>
              <w:spacing w:after="0"/>
              <w:rPr>
                <w:sz w:val="20"/>
                <w:szCs w:val="20"/>
                <w:color w:val="auto"/>
              </w:rPr>
            </w:pPr>
            <w:r>
              <w:rPr>
                <w:rFonts w:ascii="Arial" w:cs="Arial" w:eastAsia="Arial" w:hAnsi="Arial"/>
                <w:sz w:val="19"/>
                <w:szCs w:val="19"/>
                <w:color w:val="auto"/>
              </w:rPr>
              <w:t>Series A-1</w:t>
            </w:r>
          </w:p>
        </w:tc>
        <w:tc>
          <w:tcPr>
            <w:tcW w:w="920" w:type="dxa"/>
            <w:vAlign w:val="bottom"/>
          </w:tcPr>
          <w:p>
            <w:pPr>
              <w:jc w:val="right"/>
              <w:spacing w:after="0"/>
              <w:rPr>
                <w:sz w:val="20"/>
                <w:szCs w:val="20"/>
                <w:color w:val="auto"/>
              </w:rPr>
            </w:pPr>
            <w:r>
              <w:rPr>
                <w:rFonts w:ascii="Arial" w:cs="Arial" w:eastAsia="Arial" w:hAnsi="Arial"/>
                <w:sz w:val="19"/>
                <w:szCs w:val="19"/>
                <w:color w:val="auto"/>
              </w:rPr>
              <w:t>1,000,000</w:t>
            </w:r>
          </w:p>
        </w:tc>
        <w:tc>
          <w:tcPr>
            <w:tcW w:w="10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9"/>
                <w:szCs w:val="19"/>
                <w:color w:val="auto"/>
              </w:rPr>
              <w:t>1,000,000</w:t>
            </w:r>
          </w:p>
        </w:tc>
        <w:tc>
          <w:tcPr>
            <w:tcW w:w="300" w:type="dxa"/>
            <w:vAlign w:val="bottom"/>
          </w:tcPr>
          <w:p>
            <w:pPr>
              <w:ind w:left="200"/>
              <w:spacing w:after="0"/>
              <w:rPr>
                <w:sz w:val="20"/>
                <w:szCs w:val="20"/>
                <w:color w:val="auto"/>
              </w:rPr>
            </w:pPr>
            <w:r>
              <w:rPr>
                <w:rFonts w:ascii="Arial" w:cs="Arial" w:eastAsia="Arial" w:hAnsi="Arial"/>
                <w:sz w:val="19"/>
                <w:szCs w:val="19"/>
                <w:color w:val="auto"/>
                <w:w w:val="75"/>
              </w:rPr>
              <w:t>$</w:t>
            </w:r>
          </w:p>
        </w:tc>
        <w:tc>
          <w:tcPr>
            <w:tcW w:w="720" w:type="dxa"/>
            <w:vAlign w:val="bottom"/>
          </w:tcPr>
          <w:p>
            <w:pPr>
              <w:jc w:val="right"/>
              <w:ind w:right="148"/>
              <w:spacing w:after="0"/>
              <w:rPr>
                <w:sz w:val="20"/>
                <w:szCs w:val="20"/>
                <w:color w:val="auto"/>
              </w:rPr>
            </w:pPr>
            <w:r>
              <w:rPr>
                <w:rFonts w:ascii="Arial" w:cs="Arial" w:eastAsia="Arial" w:hAnsi="Arial"/>
                <w:sz w:val="19"/>
                <w:szCs w:val="19"/>
                <w:color w:val="auto"/>
              </w:rPr>
              <w:t>0.40</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9"/>
                <w:szCs w:val="19"/>
                <w:color w:val="auto"/>
              </w:rPr>
              <w:t>354</w:t>
            </w:r>
          </w:p>
        </w:tc>
        <w:tc>
          <w:tcPr>
            <w:tcW w:w="180" w:type="dxa"/>
            <w:vAlign w:val="bottom"/>
          </w:tcPr>
          <w:p>
            <w:pPr>
              <w:spacing w:after="0"/>
              <w:rPr>
                <w:sz w:val="20"/>
                <w:szCs w:val="20"/>
                <w:color w:val="auto"/>
              </w:rPr>
            </w:pPr>
            <w:r>
              <w:rPr>
                <w:rFonts w:ascii="Arial" w:cs="Arial" w:eastAsia="Arial" w:hAnsi="Arial"/>
                <w:sz w:val="19"/>
                <w:szCs w:val="19"/>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9"/>
                <w:szCs w:val="19"/>
                <w:color w:val="auto"/>
              </w:rPr>
              <w:t>400</w:t>
            </w:r>
          </w:p>
        </w:tc>
      </w:tr>
      <w:tr>
        <w:trPr>
          <w:trHeight w:val="228"/>
        </w:trPr>
        <w:tc>
          <w:tcPr>
            <w:tcW w:w="5320" w:type="dxa"/>
            <w:vAlign w:val="bottom"/>
            <w:shd w:val="clear" w:color="auto" w:fill="CCEEFF"/>
          </w:tcPr>
          <w:p>
            <w:pPr>
              <w:spacing w:after="0"/>
              <w:rPr>
                <w:sz w:val="20"/>
                <w:szCs w:val="20"/>
                <w:color w:val="auto"/>
              </w:rPr>
            </w:pPr>
            <w:r>
              <w:rPr>
                <w:rFonts w:ascii="Arial" w:cs="Arial" w:eastAsia="Arial" w:hAnsi="Arial"/>
                <w:sz w:val="19"/>
                <w:szCs w:val="19"/>
                <w:color w:val="auto"/>
              </w:rPr>
              <w:t>Series A-2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w w:val="94"/>
              </w:rPr>
              <w:t>10,549,450</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10,549,450</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8"/>
              <w:spacing w:after="0"/>
              <w:rPr>
                <w:sz w:val="20"/>
                <w:szCs w:val="20"/>
                <w:color w:val="auto"/>
              </w:rPr>
            </w:pPr>
            <w:r>
              <w:rPr>
                <w:rFonts w:ascii="Arial" w:cs="Arial" w:eastAsia="Arial" w:hAnsi="Arial"/>
                <w:sz w:val="19"/>
                <w:szCs w:val="19"/>
                <w:color w:val="auto"/>
              </w:rPr>
              <w:t>0.91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9,554</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9,600</w:t>
            </w:r>
          </w:p>
        </w:tc>
      </w:tr>
      <w:tr>
        <w:trPr>
          <w:trHeight w:val="228"/>
        </w:trPr>
        <w:tc>
          <w:tcPr>
            <w:tcW w:w="5320" w:type="dxa"/>
            <w:vAlign w:val="bottom"/>
          </w:tcPr>
          <w:p>
            <w:pPr>
              <w:spacing w:after="0"/>
              <w:rPr>
                <w:sz w:val="20"/>
                <w:szCs w:val="20"/>
                <w:color w:val="auto"/>
              </w:rPr>
            </w:pPr>
            <w:r>
              <w:rPr>
                <w:rFonts w:ascii="Arial" w:cs="Arial" w:eastAsia="Arial" w:hAnsi="Arial"/>
                <w:sz w:val="19"/>
                <w:szCs w:val="19"/>
                <w:color w:val="auto"/>
              </w:rPr>
              <w:t>Series B</w:t>
            </w:r>
          </w:p>
        </w:tc>
        <w:tc>
          <w:tcPr>
            <w:tcW w:w="920" w:type="dxa"/>
            <w:vAlign w:val="bottom"/>
          </w:tcPr>
          <w:p>
            <w:pPr>
              <w:jc w:val="right"/>
              <w:spacing w:after="0"/>
              <w:rPr>
                <w:sz w:val="20"/>
                <w:szCs w:val="20"/>
                <w:color w:val="auto"/>
              </w:rPr>
            </w:pPr>
            <w:r>
              <w:rPr>
                <w:rFonts w:ascii="Arial" w:cs="Arial" w:eastAsia="Arial" w:hAnsi="Arial"/>
                <w:sz w:val="19"/>
                <w:szCs w:val="19"/>
                <w:color w:val="auto"/>
              </w:rPr>
              <w:t>5,000,000</w:t>
            </w:r>
          </w:p>
        </w:tc>
        <w:tc>
          <w:tcPr>
            <w:tcW w:w="10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9"/>
                <w:szCs w:val="19"/>
                <w:color w:val="auto"/>
              </w:rPr>
              <w:t>5,000,000</w:t>
            </w:r>
          </w:p>
        </w:tc>
        <w:tc>
          <w:tcPr>
            <w:tcW w:w="300" w:type="dxa"/>
            <w:vAlign w:val="bottom"/>
          </w:tcPr>
          <w:p>
            <w:pPr>
              <w:spacing w:after="0"/>
              <w:rPr>
                <w:sz w:val="19"/>
                <w:szCs w:val="19"/>
                <w:color w:val="auto"/>
              </w:rPr>
            </w:pPr>
          </w:p>
        </w:tc>
        <w:tc>
          <w:tcPr>
            <w:tcW w:w="720" w:type="dxa"/>
            <w:vAlign w:val="bottom"/>
          </w:tcPr>
          <w:p>
            <w:pPr>
              <w:jc w:val="right"/>
              <w:ind w:right="148"/>
              <w:spacing w:after="0"/>
              <w:rPr>
                <w:sz w:val="20"/>
                <w:szCs w:val="20"/>
                <w:color w:val="auto"/>
              </w:rPr>
            </w:pPr>
            <w:r>
              <w:rPr>
                <w:rFonts w:ascii="Arial" w:cs="Arial" w:eastAsia="Arial" w:hAnsi="Arial"/>
                <w:sz w:val="19"/>
                <w:szCs w:val="19"/>
                <w:color w:val="auto"/>
              </w:rPr>
              <w:t>1.20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9"/>
                <w:szCs w:val="19"/>
                <w:color w:val="auto"/>
              </w:rPr>
              <w:t>5,968</w:t>
            </w:r>
          </w:p>
        </w:tc>
        <w:tc>
          <w:tcPr>
            <w:tcW w:w="1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9"/>
                <w:szCs w:val="19"/>
                <w:color w:val="auto"/>
              </w:rPr>
              <w:t>6,000</w:t>
            </w:r>
          </w:p>
        </w:tc>
      </w:tr>
      <w:tr>
        <w:trPr>
          <w:trHeight w:val="228"/>
        </w:trPr>
        <w:tc>
          <w:tcPr>
            <w:tcW w:w="5320" w:type="dxa"/>
            <w:vAlign w:val="bottom"/>
            <w:shd w:val="clear" w:color="auto" w:fill="CCEEFF"/>
          </w:tcPr>
          <w:p>
            <w:pPr>
              <w:spacing w:after="0"/>
              <w:rPr>
                <w:sz w:val="20"/>
                <w:szCs w:val="20"/>
                <w:color w:val="auto"/>
              </w:rPr>
            </w:pPr>
            <w:r>
              <w:rPr>
                <w:rFonts w:ascii="Arial" w:cs="Arial" w:eastAsia="Arial" w:hAnsi="Arial"/>
                <w:sz w:val="19"/>
                <w:szCs w:val="19"/>
                <w:color w:val="auto"/>
              </w:rPr>
              <w:t>Series C</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w w:val="94"/>
              </w:rPr>
              <w:t>12,088,016</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12,088,016</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8"/>
              <w:spacing w:after="0"/>
              <w:rPr>
                <w:sz w:val="20"/>
                <w:szCs w:val="20"/>
                <w:color w:val="auto"/>
              </w:rPr>
            </w:pPr>
            <w:r>
              <w:rPr>
                <w:rFonts w:ascii="Arial" w:cs="Arial" w:eastAsia="Arial" w:hAnsi="Arial"/>
                <w:sz w:val="19"/>
                <w:szCs w:val="19"/>
                <w:color w:val="auto"/>
              </w:rPr>
              <w:t>2.67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w w:val="85"/>
              </w:rPr>
              <w:t>32,158</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6"/>
              </w:rPr>
              <w:t>32,275</w:t>
            </w:r>
          </w:p>
        </w:tc>
      </w:tr>
      <w:tr>
        <w:trPr>
          <w:trHeight w:val="228"/>
        </w:trPr>
        <w:tc>
          <w:tcPr>
            <w:tcW w:w="5320" w:type="dxa"/>
            <w:vAlign w:val="bottom"/>
          </w:tcPr>
          <w:p>
            <w:pPr>
              <w:spacing w:after="0"/>
              <w:rPr>
                <w:sz w:val="20"/>
                <w:szCs w:val="20"/>
                <w:color w:val="auto"/>
              </w:rPr>
            </w:pPr>
            <w:r>
              <w:rPr>
                <w:rFonts w:ascii="Arial" w:cs="Arial" w:eastAsia="Arial" w:hAnsi="Arial"/>
                <w:sz w:val="19"/>
                <w:szCs w:val="19"/>
                <w:color w:val="auto"/>
              </w:rPr>
              <w:t>Series D</w:t>
            </w:r>
          </w:p>
        </w:tc>
        <w:tc>
          <w:tcPr>
            <w:tcW w:w="920" w:type="dxa"/>
            <w:vAlign w:val="bottom"/>
          </w:tcPr>
          <w:p>
            <w:pPr>
              <w:jc w:val="right"/>
              <w:spacing w:after="0"/>
              <w:rPr>
                <w:sz w:val="20"/>
                <w:szCs w:val="20"/>
                <w:color w:val="auto"/>
              </w:rPr>
            </w:pPr>
            <w:r>
              <w:rPr>
                <w:rFonts w:ascii="Arial" w:cs="Arial" w:eastAsia="Arial" w:hAnsi="Arial"/>
                <w:sz w:val="19"/>
                <w:szCs w:val="19"/>
                <w:color w:val="auto"/>
              </w:rPr>
              <w:t>7,363,737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7,363,737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148"/>
              <w:spacing w:after="0"/>
              <w:rPr>
                <w:sz w:val="20"/>
                <w:szCs w:val="20"/>
                <w:color w:val="auto"/>
              </w:rPr>
            </w:pPr>
            <w:r>
              <w:rPr>
                <w:rFonts w:ascii="Arial" w:cs="Arial" w:eastAsia="Arial" w:hAnsi="Arial"/>
                <w:sz w:val="19"/>
                <w:szCs w:val="19"/>
                <w:color w:val="auto"/>
              </w:rPr>
              <w:t>4.01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9"/>
                <w:szCs w:val="19"/>
                <w:color w:val="auto"/>
                <w:w w:val="85"/>
              </w:rPr>
              <w:t>29,451</w:t>
            </w:r>
          </w:p>
        </w:tc>
        <w:tc>
          <w:tcPr>
            <w:tcW w:w="1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9"/>
                <w:szCs w:val="19"/>
                <w:color w:val="auto"/>
                <w:w w:val="96"/>
              </w:rPr>
              <w:t>29,529</w:t>
            </w:r>
          </w:p>
        </w:tc>
      </w:tr>
      <w:tr>
        <w:trPr>
          <w:trHeight w:val="29"/>
        </w:trPr>
        <w:tc>
          <w:tcPr>
            <w:tcW w:w="5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53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convertible preferred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36,001,203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36,001,203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9"/>
                <w:szCs w:val="19"/>
                <w:u w:val="single" w:color="auto"/>
                <w:color w:val="auto"/>
                <w:w w:val="87"/>
              </w:rPr>
              <w:t>$</w:t>
            </w:r>
            <w:r>
              <w:rPr>
                <w:rFonts w:ascii="Arial" w:cs="Arial" w:eastAsia="Arial" w:hAnsi="Arial"/>
                <w:sz w:val="19"/>
                <w:szCs w:val="19"/>
                <w:color w:val="auto"/>
                <w:w w:val="87"/>
              </w:rPr>
              <w:t>77,485</w:t>
            </w:r>
          </w:p>
        </w:tc>
        <w:tc>
          <w:tcPr>
            <w:tcW w:w="18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6"/>
              </w:rPr>
              <w:t>77,804</w:t>
            </w:r>
          </w:p>
        </w:tc>
      </w:tr>
      <w:tr>
        <w:trPr>
          <w:trHeight w:val="20"/>
        </w:trPr>
        <w:tc>
          <w:tcPr>
            <w:tcW w:w="5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right="20"/>
        <w:spacing w:after="0" w:line="275" w:lineRule="auto"/>
        <w:rPr>
          <w:sz w:val="20"/>
          <w:szCs w:val="20"/>
          <w:color w:val="auto"/>
        </w:rPr>
      </w:pPr>
      <w:r>
        <w:rPr>
          <w:rFonts w:ascii="Arial" w:cs="Arial" w:eastAsia="Arial" w:hAnsi="Arial"/>
          <w:sz w:val="19"/>
          <w:szCs w:val="19"/>
          <w:color w:val="auto"/>
        </w:rPr>
        <w:t>The Company recorded its preferred units at the issuance price on the dates of issuance, net of issuance costs. As of December 31, 2016 and 2017, the Company classified the preferred units and convertible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F-15</w:t>
      </w:r>
    </w:p>
    <w:p>
      <w:pPr>
        <w:sectPr>
          <w:pgSz w:w="12240" w:h="15840" w:orient="portrait"/>
          <w:cols w:equalWidth="0" w:num="1">
            <w:col w:w="11780"/>
          </w:cols>
          <w:pgMar w:left="120" w:top="337" w:right="340" w:bottom="1440" w:gutter="0" w:footer="0" w:header="0"/>
        </w:sectPr>
      </w:pPr>
    </w:p>
    <w:bookmarkStart w:id="206" w:name="page207"/>
    <w:bookmarkEnd w:id="20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right="60"/>
        <w:spacing w:after="0" w:line="298" w:lineRule="auto"/>
        <w:rPr>
          <w:sz w:val="20"/>
          <w:szCs w:val="20"/>
          <w:color w:val="auto"/>
        </w:rPr>
      </w:pPr>
      <w:r>
        <w:rPr>
          <w:rFonts w:ascii="Arial" w:cs="Arial" w:eastAsia="Arial" w:hAnsi="Arial"/>
          <w:sz w:val="17"/>
          <w:szCs w:val="17"/>
          <w:color w:val="auto"/>
        </w:rPr>
        <w:t>preferred stock as temporary equity because the shares are contingently redeemable outside the control of the Company. During the years ended December 31, 2016 and 2017, the Company did not adjust the carrying values of the preferred units and convertible preferred stock to the deemed redemption values of such shares since a redemption event is not probable of occurring. Subsequent adjustments to increase the carrying values to the ultimate redemption values will be made only when it becomes probable that such a redemption event will occur.</w:t>
      </w:r>
    </w:p>
    <w:p>
      <w:pPr>
        <w:spacing w:after="0" w:line="5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As of December 31, 2017, the holders of the convertible preferred stock had the following rights and preferences:</w:t>
      </w:r>
    </w:p>
    <w:p>
      <w:pPr>
        <w:spacing w:after="0" w:line="352" w:lineRule="exact"/>
        <w:rPr>
          <w:sz w:val="20"/>
          <w:szCs w:val="20"/>
          <w:color w:val="auto"/>
        </w:rPr>
      </w:pPr>
    </w:p>
    <w:p>
      <w:pPr>
        <w:ind w:left="1120"/>
        <w:spacing w:after="0"/>
        <w:rPr>
          <w:sz w:val="20"/>
          <w:szCs w:val="20"/>
          <w:color w:val="auto"/>
        </w:rPr>
      </w:pPr>
      <w:r>
        <w:rPr>
          <w:rFonts w:ascii="Arial" w:cs="Arial" w:eastAsia="Arial" w:hAnsi="Arial"/>
          <w:sz w:val="19"/>
          <w:szCs w:val="19"/>
          <w:b w:val="1"/>
          <w:bCs w:val="1"/>
          <w:i w:val="1"/>
          <w:iCs w:val="1"/>
          <w:color w:val="auto"/>
        </w:rPr>
        <w:t>Optional Conversion Rights</w:t>
      </w:r>
    </w:p>
    <w:p>
      <w:pPr>
        <w:spacing w:after="0" w:line="124" w:lineRule="exact"/>
        <w:rPr>
          <w:sz w:val="20"/>
          <w:szCs w:val="20"/>
          <w:color w:val="auto"/>
        </w:rPr>
      </w:pPr>
    </w:p>
    <w:p>
      <w:pPr>
        <w:ind w:left="1120" w:right="60"/>
        <w:spacing w:after="0" w:line="289" w:lineRule="auto"/>
        <w:rPr>
          <w:sz w:val="20"/>
          <w:szCs w:val="20"/>
          <w:color w:val="auto"/>
        </w:rPr>
      </w:pPr>
      <w:r>
        <w:rPr>
          <w:rFonts w:ascii="Arial" w:cs="Arial" w:eastAsia="Arial" w:hAnsi="Arial"/>
          <w:sz w:val="17"/>
          <w:szCs w:val="17"/>
          <w:color w:val="auto"/>
        </w:rPr>
        <w:t>Each share of convertible preferred stock is, at the option of the holder, convertible into the number of fully paid and non-assessable shares of common stock as determined by dividing the original issue price applicable to such convertible preferred stock by the conversion price in effect at that time. The conversion price for each series of convertible preferred stock shall initially be the original issue price of such series of preferred stock and is subject to adjustment from time to time for events such as future stock splits, combinations, and dividends in accordance with conversion provisions contained in the Company’s Amended and Restated Certificate of Incorporation. Additionally, the conversion price is subject to adjustment from time to time in the event of dilutive issuances based on a broad-based weighted average anti-dilution formula. All series of convertible preferred stock are currently convertible into common stock on a 1-for-1 basis.</w:t>
      </w:r>
    </w:p>
    <w:p>
      <w:pPr>
        <w:spacing w:after="0" w:line="292" w:lineRule="exact"/>
        <w:rPr>
          <w:sz w:val="20"/>
          <w:szCs w:val="20"/>
          <w:color w:val="auto"/>
        </w:rPr>
      </w:pPr>
    </w:p>
    <w:p>
      <w:pPr>
        <w:ind w:left="1120"/>
        <w:spacing w:after="0"/>
        <w:rPr>
          <w:sz w:val="20"/>
          <w:szCs w:val="20"/>
          <w:color w:val="auto"/>
        </w:rPr>
      </w:pPr>
      <w:r>
        <w:rPr>
          <w:rFonts w:ascii="Arial" w:cs="Arial" w:eastAsia="Arial" w:hAnsi="Arial"/>
          <w:sz w:val="19"/>
          <w:szCs w:val="19"/>
          <w:b w:val="1"/>
          <w:bCs w:val="1"/>
          <w:i w:val="1"/>
          <w:iCs w:val="1"/>
          <w:color w:val="auto"/>
        </w:rPr>
        <w:t>Automatic Conversion Rights</w:t>
      </w:r>
    </w:p>
    <w:p>
      <w:pPr>
        <w:spacing w:after="0" w:line="124" w:lineRule="exact"/>
        <w:rPr>
          <w:sz w:val="20"/>
          <w:szCs w:val="20"/>
          <w:color w:val="auto"/>
        </w:rPr>
      </w:pPr>
    </w:p>
    <w:p>
      <w:pPr>
        <w:ind w:left="1120"/>
        <w:spacing w:after="0" w:line="283" w:lineRule="auto"/>
        <w:rPr>
          <w:sz w:val="20"/>
          <w:szCs w:val="20"/>
          <w:color w:val="auto"/>
        </w:rPr>
      </w:pPr>
      <w:r>
        <w:rPr>
          <w:rFonts w:ascii="Arial" w:cs="Arial" w:eastAsia="Arial" w:hAnsi="Arial"/>
          <w:sz w:val="17"/>
          <w:szCs w:val="17"/>
          <w:color w:val="auto"/>
        </w:rPr>
        <w:t>Each share of convertible preferred stock is automatically convertible into shares of common stock based on the then effective conversion price (i) upon the affirmative election of (x) the holders of at least 50% of the then outstanding Series A-1 convertible preferred stock, Series A-2 convertible preferred stock, and Series B convertible preferred stock, voting together as a single and separate class on an as-converted basis and (y) the holders of at least 50% of the then outstanding Series C convertible preferred stock and Series D convertible preferred stock, voting together as a single and separate class on an as-converted basis (clauses (x) and (y) together, the Requisite Vote) or</w:t>
      </w:r>
    </w:p>
    <w:p>
      <w:pPr>
        <w:spacing w:after="0" w:line="2" w:lineRule="exact"/>
        <w:rPr>
          <w:sz w:val="20"/>
          <w:szCs w:val="20"/>
          <w:color w:val="auto"/>
        </w:rPr>
      </w:pPr>
    </w:p>
    <w:p>
      <w:pPr>
        <w:ind w:left="1120" w:right="100" w:hanging="10"/>
        <w:spacing w:after="0" w:line="254" w:lineRule="auto"/>
        <w:tabs>
          <w:tab w:leader="none" w:pos="140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immediately upon the closing of a firm-commitment underwritten public offering filed under the Securities Act of 1933, as amended, covering the offer and sale of common stock for the account of the Company at a price of at least three times the original issue price per share of Series D convertible preferred stock (subject to adjustment in the event of any recapitalizations) and in which the gross proceeds to the Company are at least $10.0 million.</w:t>
      </w:r>
    </w:p>
    <w:p>
      <w:pPr>
        <w:spacing w:after="0" w:line="317" w:lineRule="exact"/>
        <w:rPr>
          <w:sz w:val="20"/>
          <w:szCs w:val="20"/>
          <w:color w:val="auto"/>
        </w:rPr>
      </w:pPr>
    </w:p>
    <w:p>
      <w:pPr>
        <w:ind w:left="1120"/>
        <w:spacing w:after="0"/>
        <w:rPr>
          <w:sz w:val="20"/>
          <w:szCs w:val="20"/>
          <w:color w:val="auto"/>
        </w:rPr>
      </w:pPr>
      <w:r>
        <w:rPr>
          <w:rFonts w:ascii="Arial" w:cs="Arial" w:eastAsia="Arial" w:hAnsi="Arial"/>
          <w:sz w:val="19"/>
          <w:szCs w:val="19"/>
          <w:b w:val="1"/>
          <w:bCs w:val="1"/>
          <w:i w:val="1"/>
          <w:iCs w:val="1"/>
          <w:color w:val="auto"/>
        </w:rPr>
        <w:t>Voting Rights</w:t>
      </w:r>
    </w:p>
    <w:p>
      <w:pPr>
        <w:spacing w:after="0" w:line="124" w:lineRule="exact"/>
        <w:rPr>
          <w:sz w:val="20"/>
          <w:szCs w:val="20"/>
          <w:color w:val="auto"/>
        </w:rPr>
      </w:pPr>
    </w:p>
    <w:p>
      <w:pPr>
        <w:ind w:left="1120" w:right="80"/>
        <w:spacing w:after="0" w:line="289" w:lineRule="auto"/>
        <w:rPr>
          <w:sz w:val="20"/>
          <w:szCs w:val="20"/>
          <w:color w:val="auto"/>
        </w:rPr>
      </w:pPr>
      <w:r>
        <w:rPr>
          <w:rFonts w:ascii="Arial" w:cs="Arial" w:eastAsia="Arial" w:hAnsi="Arial"/>
          <w:sz w:val="17"/>
          <w:szCs w:val="17"/>
          <w:color w:val="auto"/>
        </w:rPr>
        <w:t>Each share of convertible preferred stock has a number of votes equal to the number of shares of common stock into which it is convertible. The holders of the Series A-1, Series A-2, Series B, Series C, and Series D convertible preferred shares shall vote together with the holders of shares of common stock as a single class. Additionally, as long as at least 7,200,240 shares of convertible preferred stock are outstanding (subject to adjustment in the event of any recapitalizations), the Company must obtain approval from the Requisite Vote in order to effect certain corporate actions. The holders of convertible preferred stock, voting together as a single class, shall be entitled to elect three members of the Company’s board of directors. The holders of common stock shall be entitled to elect three members of the Company’s board of directors. Any additional members of the board of directors shall be elected by</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F-16</w:t>
      </w:r>
    </w:p>
    <w:p>
      <w:pPr>
        <w:sectPr>
          <w:pgSz w:w="12240" w:h="15840" w:orient="portrait"/>
          <w:cols w:equalWidth="0" w:num="1">
            <w:col w:w="11820"/>
          </w:cols>
          <w:pgMar w:left="120" w:top="337" w:right="300" w:bottom="1440" w:gutter="0" w:footer="0" w:header="0"/>
        </w:sectPr>
      </w:pPr>
    </w:p>
    <w:bookmarkStart w:id="207" w:name="page208"/>
    <w:bookmarkEnd w:id="20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1120" w:right="80"/>
        <w:spacing w:after="0" w:line="275" w:lineRule="auto"/>
        <w:rPr>
          <w:sz w:val="20"/>
          <w:szCs w:val="20"/>
          <w:color w:val="auto"/>
        </w:rPr>
      </w:pPr>
      <w:r>
        <w:rPr>
          <w:rFonts w:ascii="Arial" w:cs="Arial" w:eastAsia="Arial" w:hAnsi="Arial"/>
          <w:sz w:val="19"/>
          <w:szCs w:val="19"/>
          <w:color w:val="auto"/>
        </w:rPr>
        <w:t>the holders of a majority of the outstanding common stock and convertible preferred stock of the Company, voting together as a single class on an as-converted basis.</w:t>
      </w:r>
    </w:p>
    <w:p>
      <w:pPr>
        <w:spacing w:after="0" w:line="298" w:lineRule="exact"/>
        <w:rPr>
          <w:sz w:val="20"/>
          <w:szCs w:val="20"/>
          <w:color w:val="auto"/>
        </w:rPr>
      </w:pPr>
    </w:p>
    <w:p>
      <w:pPr>
        <w:ind w:left="1120"/>
        <w:spacing w:after="0"/>
        <w:rPr>
          <w:sz w:val="20"/>
          <w:szCs w:val="20"/>
          <w:color w:val="auto"/>
        </w:rPr>
      </w:pPr>
      <w:r>
        <w:rPr>
          <w:rFonts w:ascii="Arial" w:cs="Arial" w:eastAsia="Arial" w:hAnsi="Arial"/>
          <w:sz w:val="19"/>
          <w:szCs w:val="19"/>
          <w:b w:val="1"/>
          <w:bCs w:val="1"/>
          <w:i w:val="1"/>
          <w:iCs w:val="1"/>
          <w:color w:val="auto"/>
        </w:rPr>
        <w:t>Liquidation Rights</w:t>
      </w:r>
    </w:p>
    <w:p>
      <w:pPr>
        <w:spacing w:after="0" w:line="124" w:lineRule="exact"/>
        <w:rPr>
          <w:sz w:val="20"/>
          <w:szCs w:val="20"/>
          <w:color w:val="auto"/>
        </w:rPr>
      </w:pPr>
    </w:p>
    <w:p>
      <w:pPr>
        <w:ind w:left="1120" w:right="60"/>
        <w:spacing w:after="0" w:line="286" w:lineRule="auto"/>
        <w:rPr>
          <w:sz w:val="20"/>
          <w:szCs w:val="20"/>
          <w:color w:val="auto"/>
        </w:rPr>
      </w:pPr>
      <w:r>
        <w:rPr>
          <w:rFonts w:ascii="Arial" w:cs="Arial" w:eastAsia="Arial" w:hAnsi="Arial"/>
          <w:sz w:val="17"/>
          <w:szCs w:val="17"/>
          <w:color w:val="auto"/>
        </w:rPr>
        <w:t>In the event of any voluntary or involuntary liquidation, dissolution or winding up of the Company, or Deemed Liquidation Event, the holders of convertible preferred stock shall be entitled to receive, before any payments of the Company to the holders of shares of common stock, the greater of (i) an amount equal to the per share issue price of such series of convertible preferred stock ($0.40 per share for Series A-1 convertible preferred stock, $0.91 per share for Series A-2 convertible preferred stock, $1.20 per share for Series B convertible preferred stock, $2.67 per share for Series C convertible preferred stock, and $4.01 per share for Series D convertible preferred stock), plus all declared and unpaid dividends on such shares or (ii) such amount per share as would have been payable had all shares of such applicable series of convertible preferred stock been converted to common stock immediately prior to such liquidation event. If available assets are insufficient to pay the full liquidation preference, available assets will be distributed ratably among the holders of the convertible preferred stock based on amounts that would be received if such shares were paid in full. After the payment of the liquidation preference, all remaining assets available for distribution will be distributed ratably among the holders of the common stock.</w:t>
      </w:r>
    </w:p>
    <w:p>
      <w:pPr>
        <w:spacing w:after="0" w:line="66" w:lineRule="exact"/>
        <w:rPr>
          <w:sz w:val="20"/>
          <w:szCs w:val="20"/>
          <w:color w:val="auto"/>
        </w:rPr>
      </w:pPr>
    </w:p>
    <w:p>
      <w:pPr>
        <w:ind w:left="1120"/>
        <w:spacing w:after="0" w:line="253" w:lineRule="auto"/>
        <w:rPr>
          <w:sz w:val="20"/>
          <w:szCs w:val="20"/>
          <w:color w:val="auto"/>
        </w:rPr>
      </w:pPr>
      <w:r>
        <w:rPr>
          <w:rFonts w:ascii="Arial" w:cs="Arial" w:eastAsia="Arial" w:hAnsi="Arial"/>
          <w:sz w:val="19"/>
          <w:szCs w:val="19"/>
          <w:color w:val="auto"/>
        </w:rPr>
        <w:t>A Deemed Liquidation Event is defined as (i) a merger or consolidation in which the Company or a subsidiary of the Company is a constituent party and the Company issues shares of its common stock pursuant to such merger or consolidation, except any such merger or consolidation involving the Company or a subsidiary in which the shares of common stock of the Company outstanding immediately prior to such merger or consolidation continue to represent, or are converted into or exchanged for shares of common stock that represent, immediately following such merger or consolidation, at least a majority, by voting power, of the common stock of (1) the surviving or resulting corporation; or (2) if the surviving or resulting corporation is a wholly owned subsidiary of another corporation immediately following such merger or consolidation, the parent corporation of such surviving or resulting corporation; (ii) a sale, lease, transfer exclusive license, or other disposition in a single transaction or series of related transactions of all or substantially all of the assets of the Company unless the holders of the Requisite Vote elect otherwise by written notice sent to the Company at least ten days prior to the effective date of any such event.</w:t>
      </w:r>
    </w:p>
    <w:p>
      <w:pPr>
        <w:spacing w:after="0" w:line="321" w:lineRule="exact"/>
        <w:rPr>
          <w:sz w:val="20"/>
          <w:szCs w:val="20"/>
          <w:color w:val="auto"/>
        </w:rPr>
      </w:pPr>
    </w:p>
    <w:p>
      <w:pPr>
        <w:ind w:left="1120"/>
        <w:spacing w:after="0"/>
        <w:rPr>
          <w:sz w:val="20"/>
          <w:szCs w:val="20"/>
          <w:color w:val="auto"/>
        </w:rPr>
      </w:pPr>
      <w:r>
        <w:rPr>
          <w:rFonts w:ascii="Arial" w:cs="Arial" w:eastAsia="Arial" w:hAnsi="Arial"/>
          <w:sz w:val="19"/>
          <w:szCs w:val="19"/>
          <w:b w:val="1"/>
          <w:bCs w:val="1"/>
          <w:i w:val="1"/>
          <w:iCs w:val="1"/>
          <w:color w:val="auto"/>
        </w:rPr>
        <w:t>Dividend Rights</w:t>
      </w:r>
    </w:p>
    <w:p>
      <w:pPr>
        <w:spacing w:after="0" w:line="124" w:lineRule="exact"/>
        <w:rPr>
          <w:sz w:val="20"/>
          <w:szCs w:val="20"/>
          <w:color w:val="auto"/>
        </w:rPr>
      </w:pPr>
    </w:p>
    <w:p>
      <w:pPr>
        <w:ind w:left="1120" w:right="120"/>
        <w:spacing w:after="0" w:line="263" w:lineRule="auto"/>
        <w:rPr>
          <w:sz w:val="20"/>
          <w:szCs w:val="20"/>
          <w:color w:val="auto"/>
        </w:rPr>
      </w:pPr>
      <w:r>
        <w:rPr>
          <w:rFonts w:ascii="Arial" w:cs="Arial" w:eastAsia="Arial" w:hAnsi="Arial"/>
          <w:sz w:val="19"/>
          <w:szCs w:val="19"/>
          <w:color w:val="auto"/>
        </w:rPr>
        <w:t>The Company’s convertible preferred stock does not have a stated dividend rate. However, the convertible preferred stockholders do have preference regarding any distributions made by the Company that will be equal to the amount that would be received if the preferred shares were converted into common shares.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F-17</w:t>
      </w:r>
    </w:p>
    <w:p>
      <w:pPr>
        <w:sectPr>
          <w:pgSz w:w="12240" w:h="15840" w:orient="portrait"/>
          <w:cols w:equalWidth="0" w:num="1">
            <w:col w:w="11820"/>
          </w:cols>
          <w:pgMar w:left="120" w:top="336" w:right="300" w:bottom="1440" w:gutter="0" w:footer="0" w:header="0"/>
        </w:sectPr>
      </w:pPr>
    </w:p>
    <w:bookmarkStart w:id="208" w:name="page209"/>
    <w:bookmarkEnd w:id="20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66" w:lineRule="exact"/>
        <w:rPr>
          <w:sz w:val="20"/>
          <w:szCs w:val="20"/>
          <w:color w:val="auto"/>
        </w:rPr>
      </w:pPr>
    </w:p>
    <w:p>
      <w:pPr>
        <w:ind w:left="640" w:hanging="461"/>
        <w:spacing w:after="0"/>
        <w:tabs>
          <w:tab w:leader="none" w:pos="640" w:val="left"/>
        </w:tabs>
        <w:numPr>
          <w:ilvl w:val="0"/>
          <w:numId w:val="129"/>
        </w:numPr>
        <w:rPr>
          <w:rFonts w:ascii="Arial" w:cs="Arial" w:eastAsia="Arial" w:hAnsi="Arial"/>
          <w:sz w:val="19"/>
          <w:szCs w:val="19"/>
          <w:b w:val="1"/>
          <w:bCs w:val="1"/>
          <w:color w:val="auto"/>
        </w:rPr>
      </w:pPr>
      <w:r>
        <w:rPr>
          <w:rFonts w:ascii="Arial" w:cs="Arial" w:eastAsia="Arial" w:hAnsi="Arial"/>
          <w:sz w:val="19"/>
          <w:szCs w:val="19"/>
          <w:b w:val="1"/>
          <w:bCs w:val="1"/>
          <w:color w:val="auto"/>
        </w:rPr>
        <w:t>Stock-based Compensation</w:t>
      </w:r>
    </w:p>
    <w:p>
      <w:pPr>
        <w:spacing w:after="0" w:line="129" w:lineRule="exact"/>
        <w:rPr>
          <w:rFonts w:ascii="Arial" w:cs="Arial" w:eastAsia="Arial" w:hAnsi="Arial"/>
          <w:sz w:val="19"/>
          <w:szCs w:val="19"/>
          <w:b w:val="1"/>
          <w:bCs w:val="1"/>
          <w:color w:val="auto"/>
        </w:rPr>
      </w:pPr>
    </w:p>
    <w:p>
      <w:pPr>
        <w:ind w:left="640"/>
        <w:spacing w:after="0"/>
        <w:rPr>
          <w:rFonts w:ascii="Arial" w:cs="Arial" w:eastAsia="Arial" w:hAnsi="Arial"/>
          <w:sz w:val="19"/>
          <w:szCs w:val="19"/>
          <w:b w:val="1"/>
          <w:bCs w:val="1"/>
          <w:color w:val="auto"/>
        </w:rPr>
      </w:pPr>
      <w:r>
        <w:rPr>
          <w:rFonts w:ascii="Arial" w:cs="Arial" w:eastAsia="Arial" w:hAnsi="Arial"/>
          <w:sz w:val="19"/>
          <w:szCs w:val="19"/>
          <w:color w:val="auto"/>
        </w:rPr>
        <w:t>The Company recognized stock-based compensation as follows:</w:t>
      </w:r>
    </w:p>
    <w:p>
      <w:pPr>
        <w:spacing w:after="0" w:line="258" w:lineRule="exact"/>
        <w:rPr>
          <w:sz w:val="20"/>
          <w:szCs w:val="20"/>
          <w:color w:val="auto"/>
        </w:rPr>
      </w:pPr>
    </w:p>
    <w:tbl>
      <w:tblPr>
        <w:tblLayout w:type="fixed"/>
        <w:tblInd w:w="1120" w:type="dxa"/>
        <w:tblCellMar>
          <w:top w:w="0" w:type="dxa"/>
          <w:left w:w="0" w:type="dxa"/>
          <w:bottom w:w="0" w:type="dxa"/>
          <w:right w:w="0" w:type="dxa"/>
        </w:tblCellMar>
      </w:tblPr>
      <w:tr>
        <w:trPr>
          <w:trHeight w:val="180"/>
        </w:trPr>
        <w:tc>
          <w:tcPr>
            <w:tcW w:w="51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5"/>
          </w:tcPr>
          <w:p>
            <w:pPr>
              <w:ind w:left="160"/>
              <w:spacing w:after="0"/>
              <w:rPr>
                <w:sz w:val="20"/>
                <w:szCs w:val="20"/>
                <w:color w:val="auto"/>
              </w:rPr>
            </w:pPr>
            <w:r>
              <w:rPr>
                <w:rFonts w:ascii="Arial" w:cs="Arial" w:eastAsia="Arial" w:hAnsi="Arial"/>
                <w:sz w:val="15"/>
                <w:szCs w:val="15"/>
                <w:b w:val="1"/>
                <w:bCs w:val="1"/>
                <w:color w:val="auto"/>
              </w:rPr>
              <w:t>Year Ended December 31,</w:t>
            </w:r>
          </w:p>
        </w:tc>
      </w:tr>
      <w:tr>
        <w:trPr>
          <w:trHeight w:val="151"/>
        </w:trPr>
        <w:tc>
          <w:tcPr>
            <w:tcW w:w="51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4"/>
              <w:spacing w:after="0" w:line="151" w:lineRule="exact"/>
              <w:rPr>
                <w:sz w:val="20"/>
                <w:szCs w:val="20"/>
                <w:color w:val="auto"/>
              </w:rPr>
            </w:pPr>
            <w:r>
              <w:rPr>
                <w:rFonts w:ascii="Arial" w:cs="Arial" w:eastAsia="Arial" w:hAnsi="Arial"/>
                <w:sz w:val="15"/>
                <w:szCs w:val="15"/>
                <w:b w:val="1"/>
                <w:bCs w:val="1"/>
                <w:color w:val="auto"/>
              </w:rPr>
              <w:t>2016</w:t>
            </w:r>
          </w:p>
        </w:tc>
        <w:tc>
          <w:tcPr>
            <w:tcW w:w="7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0"/>
              <w:spacing w:after="0" w:line="151" w:lineRule="exact"/>
              <w:rPr>
                <w:sz w:val="20"/>
                <w:szCs w:val="20"/>
                <w:color w:val="auto"/>
              </w:rPr>
            </w:pPr>
            <w:r>
              <w:rPr>
                <w:rFonts w:ascii="Arial" w:cs="Arial" w:eastAsia="Arial" w:hAnsi="Arial"/>
                <w:sz w:val="15"/>
                <w:szCs w:val="15"/>
                <w:b w:val="1"/>
                <w:bCs w:val="1"/>
                <w:color w:val="auto"/>
              </w:rPr>
              <w:t>2017</w:t>
            </w:r>
          </w:p>
        </w:tc>
        <w:tc>
          <w:tcPr>
            <w:tcW w:w="40" w:type="dxa"/>
            <w:vAlign w:val="bottom"/>
          </w:tcPr>
          <w:p>
            <w:pPr>
              <w:spacing w:after="0"/>
              <w:rPr>
                <w:sz w:val="13"/>
                <w:szCs w:val="13"/>
                <w:color w:val="auto"/>
              </w:rPr>
            </w:pPr>
          </w:p>
        </w:tc>
      </w:tr>
      <w:tr>
        <w:trPr>
          <w:trHeight w:val="151"/>
        </w:trPr>
        <w:tc>
          <w:tcPr>
            <w:tcW w:w="51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3"/>
          </w:tcPr>
          <w:p>
            <w:pPr>
              <w:jc w:val="right"/>
              <w:ind w:right="80"/>
              <w:spacing w:after="0" w:line="151" w:lineRule="exact"/>
              <w:rPr>
                <w:sz w:val="20"/>
                <w:szCs w:val="20"/>
                <w:color w:val="auto"/>
              </w:rPr>
            </w:pPr>
            <w:r>
              <w:rPr>
                <w:rFonts w:ascii="Arial" w:cs="Arial" w:eastAsia="Arial" w:hAnsi="Arial"/>
                <w:sz w:val="15"/>
                <w:szCs w:val="15"/>
                <w:b w:val="1"/>
                <w:bCs w:val="1"/>
                <w:color w:val="auto"/>
              </w:rPr>
              <w:t>(In thousands)</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8"/>
        </w:trPr>
        <w:tc>
          <w:tcPr>
            <w:tcW w:w="5100" w:type="dxa"/>
            <w:vAlign w:val="bottom"/>
            <w:shd w:val="clear" w:color="auto" w:fill="CCEEFF"/>
          </w:tcPr>
          <w:p>
            <w:pPr>
              <w:spacing w:after="0"/>
              <w:rPr>
                <w:sz w:val="20"/>
                <w:szCs w:val="20"/>
                <w:color w:val="auto"/>
              </w:rPr>
            </w:pPr>
            <w:r>
              <w:rPr>
                <w:rFonts w:ascii="Arial" w:cs="Arial" w:eastAsia="Arial" w:hAnsi="Arial"/>
                <w:sz w:val="19"/>
                <w:szCs w:val="19"/>
                <w:color w:val="auto"/>
              </w:rPr>
              <w:t>Research and development</w:t>
            </w:r>
          </w:p>
        </w:tc>
        <w:tc>
          <w:tcPr>
            <w:tcW w:w="246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1,727</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4,392</w:t>
            </w:r>
          </w:p>
        </w:tc>
        <w:tc>
          <w:tcPr>
            <w:tcW w:w="40" w:type="dxa"/>
            <w:vAlign w:val="bottom"/>
            <w:shd w:val="clear" w:color="auto" w:fill="CCEEFF"/>
          </w:tcPr>
          <w:p>
            <w:pPr>
              <w:spacing w:after="0"/>
              <w:rPr>
                <w:sz w:val="19"/>
                <w:szCs w:val="19"/>
                <w:color w:val="auto"/>
              </w:rPr>
            </w:pPr>
          </w:p>
        </w:tc>
      </w:tr>
      <w:tr>
        <w:trPr>
          <w:trHeight w:val="237"/>
        </w:trPr>
        <w:tc>
          <w:tcPr>
            <w:tcW w:w="5100" w:type="dxa"/>
            <w:vAlign w:val="bottom"/>
          </w:tcPr>
          <w:p>
            <w:pPr>
              <w:spacing w:after="0"/>
              <w:rPr>
                <w:sz w:val="20"/>
                <w:szCs w:val="20"/>
                <w:color w:val="auto"/>
              </w:rPr>
            </w:pPr>
            <w:r>
              <w:rPr>
                <w:rFonts w:ascii="Arial" w:cs="Arial" w:eastAsia="Arial" w:hAnsi="Arial"/>
                <w:sz w:val="19"/>
                <w:szCs w:val="19"/>
                <w:color w:val="auto"/>
              </w:rPr>
              <w:t>General and administrative</w:t>
            </w:r>
          </w:p>
        </w:tc>
        <w:tc>
          <w:tcPr>
            <w:tcW w:w="2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236</w:t>
            </w:r>
          </w:p>
        </w:tc>
        <w:tc>
          <w:tcPr>
            <w:tcW w:w="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962</w:t>
            </w:r>
          </w:p>
        </w:tc>
        <w:tc>
          <w:tcPr>
            <w:tcW w:w="40" w:type="dxa"/>
            <w:vAlign w:val="bottom"/>
          </w:tcPr>
          <w:p>
            <w:pPr>
              <w:spacing w:after="0"/>
              <w:rPr>
                <w:sz w:val="20"/>
                <w:szCs w:val="20"/>
                <w:color w:val="auto"/>
              </w:rPr>
            </w:pPr>
          </w:p>
        </w:tc>
      </w:tr>
      <w:tr>
        <w:trPr>
          <w:trHeight w:val="228"/>
        </w:trPr>
        <w:tc>
          <w:tcPr>
            <w:tcW w:w="51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stock-based compensation</w:t>
            </w:r>
          </w:p>
        </w:tc>
        <w:tc>
          <w:tcPr>
            <w:tcW w:w="246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1,963</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5,354</w:t>
            </w:r>
          </w:p>
        </w:tc>
        <w:tc>
          <w:tcPr>
            <w:tcW w:w="40" w:type="dxa"/>
            <w:vAlign w:val="bottom"/>
            <w:shd w:val="clear" w:color="auto" w:fill="CCEEFF"/>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Determination of Fair Value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estimated grant-date fair value of all the Company’s profit interest units and options to purchase common stock was calculated using the</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Black-Scholes option pricing model, based on the following assumptions:</w:t>
      </w:r>
    </w:p>
    <w:p>
      <w:pPr>
        <w:spacing w:after="0" w:line="244" w:lineRule="exact"/>
        <w:rPr>
          <w:sz w:val="20"/>
          <w:szCs w:val="20"/>
          <w:color w:val="auto"/>
        </w:rPr>
      </w:pPr>
    </w:p>
    <w:tbl>
      <w:tblPr>
        <w:tblLayout w:type="fixed"/>
        <w:tblInd w:w="1580" w:type="dxa"/>
        <w:tblCellMar>
          <w:top w:w="0" w:type="dxa"/>
          <w:left w:w="0" w:type="dxa"/>
          <w:bottom w:w="0" w:type="dxa"/>
          <w:right w:w="0" w:type="dxa"/>
        </w:tblCellMar>
      </w:tblPr>
      <w:tr>
        <w:trPr>
          <w:trHeight w:val="180"/>
        </w:trPr>
        <w:tc>
          <w:tcPr>
            <w:tcW w:w="6340" w:type="dxa"/>
            <w:vAlign w:val="bottom"/>
          </w:tcPr>
          <w:p>
            <w:pPr>
              <w:spacing w:after="0"/>
              <w:rPr>
                <w:sz w:val="15"/>
                <w:szCs w:val="15"/>
                <w:color w:val="auto"/>
              </w:rPr>
            </w:pPr>
          </w:p>
        </w:tc>
        <w:tc>
          <w:tcPr>
            <w:tcW w:w="2500" w:type="dxa"/>
            <w:vAlign w:val="bottom"/>
            <w:gridSpan w:val="4"/>
          </w:tcPr>
          <w:p>
            <w:pPr>
              <w:jc w:val="right"/>
              <w:ind w:right="840"/>
              <w:spacing w:after="0"/>
              <w:rPr>
                <w:sz w:val="20"/>
                <w:szCs w:val="20"/>
                <w:color w:val="auto"/>
              </w:rPr>
            </w:pPr>
            <w:r>
              <w:rPr>
                <w:rFonts w:ascii="Arial" w:cs="Arial" w:eastAsia="Arial" w:hAnsi="Arial"/>
                <w:sz w:val="15"/>
                <w:szCs w:val="15"/>
                <w:b w:val="1"/>
                <w:bCs w:val="1"/>
                <w:color w:val="auto"/>
              </w:rPr>
              <w:t>December 31,</w:t>
            </w:r>
          </w:p>
        </w:tc>
      </w:tr>
      <w:tr>
        <w:trPr>
          <w:trHeight w:val="151"/>
        </w:trPr>
        <w:tc>
          <w:tcPr>
            <w:tcW w:w="6340" w:type="dxa"/>
            <w:vAlign w:val="bottom"/>
            <w:tcBorders>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51"/>
              <w:spacing w:after="0" w:line="151" w:lineRule="exact"/>
              <w:rPr>
                <w:sz w:val="20"/>
                <w:szCs w:val="20"/>
                <w:color w:val="auto"/>
              </w:rPr>
            </w:pPr>
            <w:r>
              <w:rPr>
                <w:rFonts w:ascii="Arial" w:cs="Arial" w:eastAsia="Arial" w:hAnsi="Arial"/>
                <w:sz w:val="15"/>
                <w:szCs w:val="15"/>
                <w:b w:val="1"/>
                <w:bCs w:val="1"/>
                <w:color w:val="auto"/>
              </w:rPr>
              <w:t>2016</w:t>
            </w:r>
          </w:p>
        </w:tc>
        <w:tc>
          <w:tcPr>
            <w:tcW w:w="400" w:type="dxa"/>
            <w:vAlign w:val="bottom"/>
            <w:tcBorders>
              <w:top w:val="single" w:sz="8" w:color="auto"/>
              <w:bottom w:val="single" w:sz="8" w:color="CCEEFF"/>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69"/>
              <w:spacing w:after="0" w:line="151" w:lineRule="exact"/>
              <w:rPr>
                <w:sz w:val="20"/>
                <w:szCs w:val="20"/>
                <w:color w:val="auto"/>
              </w:rPr>
            </w:pPr>
            <w:r>
              <w:rPr>
                <w:rFonts w:ascii="Arial" w:cs="Arial" w:eastAsia="Arial" w:hAnsi="Arial"/>
                <w:sz w:val="15"/>
                <w:szCs w:val="15"/>
                <w:b w:val="1"/>
                <w:bCs w:val="1"/>
                <w:color w:val="auto"/>
              </w:rPr>
              <w:t>2017</w:t>
            </w:r>
          </w:p>
        </w:tc>
        <w:tc>
          <w:tcPr>
            <w:tcW w:w="80" w:type="dxa"/>
            <w:vAlign w:val="bottom"/>
            <w:tcBorders>
              <w:bottom w:val="single" w:sz="8" w:color="CCEEFF"/>
            </w:tcBorders>
          </w:tcPr>
          <w:p>
            <w:pPr>
              <w:spacing w:after="0"/>
              <w:rPr>
                <w:sz w:val="13"/>
                <w:szCs w:val="13"/>
                <w:color w:val="auto"/>
              </w:rPr>
            </w:pPr>
          </w:p>
        </w:tc>
      </w:tr>
      <w:tr>
        <w:trPr>
          <w:trHeight w:val="222"/>
        </w:trPr>
        <w:tc>
          <w:tcPr>
            <w:tcW w:w="6340" w:type="dxa"/>
            <w:vAlign w:val="bottom"/>
            <w:shd w:val="clear" w:color="auto" w:fill="CCEEFF"/>
          </w:tcPr>
          <w:p>
            <w:pPr>
              <w:spacing w:after="0"/>
              <w:rPr>
                <w:sz w:val="20"/>
                <w:szCs w:val="20"/>
                <w:color w:val="auto"/>
              </w:rPr>
            </w:pPr>
            <w:r>
              <w:rPr>
                <w:rFonts w:ascii="Arial" w:cs="Arial" w:eastAsia="Arial" w:hAnsi="Arial"/>
                <w:sz w:val="19"/>
                <w:szCs w:val="19"/>
                <w:color w:val="auto"/>
              </w:rPr>
              <w:t>Expected term (in years)</w:t>
            </w:r>
          </w:p>
        </w:tc>
        <w:tc>
          <w:tcPr>
            <w:tcW w:w="10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6.1 – 10.0</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6.0 – 10.0</w:t>
            </w:r>
          </w:p>
        </w:tc>
        <w:tc>
          <w:tcPr>
            <w:tcW w:w="80" w:type="dxa"/>
            <w:vAlign w:val="bottom"/>
            <w:shd w:val="clear" w:color="auto" w:fill="CCEEFF"/>
          </w:tcPr>
          <w:p>
            <w:pPr>
              <w:spacing w:after="0"/>
              <w:rPr>
                <w:sz w:val="19"/>
                <w:szCs w:val="19"/>
                <w:color w:val="auto"/>
              </w:rPr>
            </w:pPr>
          </w:p>
        </w:tc>
      </w:tr>
      <w:tr>
        <w:trPr>
          <w:trHeight w:val="228"/>
        </w:trPr>
        <w:tc>
          <w:tcPr>
            <w:tcW w:w="6340" w:type="dxa"/>
            <w:vAlign w:val="bottom"/>
          </w:tcPr>
          <w:p>
            <w:pPr>
              <w:spacing w:after="0"/>
              <w:rPr>
                <w:sz w:val="20"/>
                <w:szCs w:val="20"/>
                <w:color w:val="auto"/>
              </w:rPr>
            </w:pPr>
            <w:r>
              <w:rPr>
                <w:rFonts w:ascii="Arial" w:cs="Arial" w:eastAsia="Arial" w:hAnsi="Arial"/>
                <w:sz w:val="19"/>
                <w:szCs w:val="19"/>
                <w:color w:val="auto"/>
              </w:rPr>
              <w:t>Expected volatility</w:t>
            </w:r>
          </w:p>
        </w:tc>
        <w:tc>
          <w:tcPr>
            <w:tcW w:w="1000" w:type="dxa"/>
            <w:vAlign w:val="bottom"/>
          </w:tcPr>
          <w:p>
            <w:pPr>
              <w:jc w:val="right"/>
              <w:ind w:right="211"/>
              <w:spacing w:after="0"/>
              <w:rPr>
                <w:sz w:val="20"/>
                <w:szCs w:val="20"/>
                <w:color w:val="auto"/>
              </w:rPr>
            </w:pPr>
            <w:r>
              <w:rPr>
                <w:rFonts w:ascii="Arial" w:cs="Arial" w:eastAsia="Arial" w:hAnsi="Arial"/>
                <w:sz w:val="19"/>
                <w:szCs w:val="19"/>
                <w:color w:val="auto"/>
              </w:rPr>
              <w:t>77%</w:t>
            </w:r>
          </w:p>
        </w:tc>
        <w:tc>
          <w:tcPr>
            <w:tcW w:w="400" w:type="dxa"/>
            <w:vAlign w:val="bottom"/>
          </w:tcPr>
          <w:p>
            <w:pPr>
              <w:spacing w:after="0"/>
              <w:rPr>
                <w:sz w:val="19"/>
                <w:szCs w:val="19"/>
                <w:color w:val="auto"/>
              </w:rPr>
            </w:pPr>
          </w:p>
        </w:tc>
        <w:tc>
          <w:tcPr>
            <w:tcW w:w="1020" w:type="dxa"/>
            <w:vAlign w:val="bottom"/>
          </w:tcPr>
          <w:p>
            <w:pPr>
              <w:jc w:val="right"/>
              <w:ind w:right="209"/>
              <w:spacing w:after="0"/>
              <w:rPr>
                <w:sz w:val="20"/>
                <w:szCs w:val="20"/>
                <w:color w:val="auto"/>
              </w:rPr>
            </w:pPr>
            <w:r>
              <w:rPr>
                <w:rFonts w:ascii="Arial" w:cs="Arial" w:eastAsia="Arial" w:hAnsi="Arial"/>
                <w:sz w:val="19"/>
                <w:szCs w:val="19"/>
                <w:color w:val="auto"/>
              </w:rPr>
              <w:t>75%</w:t>
            </w:r>
          </w:p>
        </w:tc>
        <w:tc>
          <w:tcPr>
            <w:tcW w:w="80" w:type="dxa"/>
            <w:vAlign w:val="bottom"/>
          </w:tcPr>
          <w:p>
            <w:pPr>
              <w:spacing w:after="0"/>
              <w:rPr>
                <w:sz w:val="19"/>
                <w:szCs w:val="19"/>
                <w:color w:val="auto"/>
              </w:rPr>
            </w:pPr>
          </w:p>
        </w:tc>
      </w:tr>
      <w:tr>
        <w:trPr>
          <w:trHeight w:val="228"/>
        </w:trPr>
        <w:tc>
          <w:tcPr>
            <w:tcW w:w="6340" w:type="dxa"/>
            <w:vAlign w:val="bottom"/>
            <w:shd w:val="clear" w:color="auto" w:fill="CCEEFF"/>
          </w:tcPr>
          <w:p>
            <w:pPr>
              <w:spacing w:after="0"/>
              <w:rPr>
                <w:sz w:val="20"/>
                <w:szCs w:val="20"/>
                <w:color w:val="auto"/>
              </w:rPr>
            </w:pPr>
            <w:r>
              <w:rPr>
                <w:rFonts w:ascii="Arial" w:cs="Arial" w:eastAsia="Arial" w:hAnsi="Arial"/>
                <w:sz w:val="19"/>
                <w:szCs w:val="19"/>
                <w:color w:val="auto"/>
              </w:rPr>
              <w:t>Risk-free interest rate</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1.2 – 2.5%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1.9 – 2.4%</w:t>
            </w:r>
          </w:p>
        </w:tc>
      </w:tr>
      <w:tr>
        <w:trPr>
          <w:trHeight w:val="241"/>
        </w:trPr>
        <w:tc>
          <w:tcPr>
            <w:tcW w:w="6340" w:type="dxa"/>
            <w:vAlign w:val="bottom"/>
          </w:tcPr>
          <w:p>
            <w:pPr>
              <w:spacing w:after="0"/>
              <w:rPr>
                <w:sz w:val="20"/>
                <w:szCs w:val="20"/>
                <w:color w:val="auto"/>
              </w:rPr>
            </w:pPr>
            <w:r>
              <w:rPr>
                <w:rFonts w:ascii="Arial" w:cs="Arial" w:eastAsia="Arial" w:hAnsi="Arial"/>
                <w:sz w:val="19"/>
                <w:szCs w:val="19"/>
                <w:color w:val="auto"/>
              </w:rPr>
              <w:t>Dividend yield</w:t>
            </w:r>
          </w:p>
        </w:tc>
        <w:tc>
          <w:tcPr>
            <w:tcW w:w="1000" w:type="dxa"/>
            <w:vAlign w:val="bottom"/>
          </w:tcPr>
          <w:p>
            <w:pPr>
              <w:jc w:val="right"/>
              <w:ind w:right="251"/>
              <w:spacing w:after="0"/>
              <w:rPr>
                <w:sz w:val="20"/>
                <w:szCs w:val="20"/>
                <w:color w:val="auto"/>
              </w:rPr>
            </w:pPr>
            <w:r>
              <w:rPr>
                <w:rFonts w:ascii="Arial" w:cs="Arial" w:eastAsia="Arial" w:hAnsi="Arial"/>
                <w:sz w:val="19"/>
                <w:szCs w:val="19"/>
                <w:color w:val="auto"/>
              </w:rPr>
              <w:t>0%</w:t>
            </w:r>
          </w:p>
        </w:tc>
        <w:tc>
          <w:tcPr>
            <w:tcW w:w="400" w:type="dxa"/>
            <w:vAlign w:val="bottom"/>
          </w:tcPr>
          <w:p>
            <w:pPr>
              <w:spacing w:after="0"/>
              <w:rPr>
                <w:sz w:val="20"/>
                <w:szCs w:val="20"/>
                <w:color w:val="auto"/>
              </w:rPr>
            </w:pPr>
          </w:p>
        </w:tc>
        <w:tc>
          <w:tcPr>
            <w:tcW w:w="1020" w:type="dxa"/>
            <w:vAlign w:val="bottom"/>
          </w:tcPr>
          <w:p>
            <w:pPr>
              <w:jc w:val="right"/>
              <w:ind w:right="269"/>
              <w:spacing w:after="0"/>
              <w:rPr>
                <w:sz w:val="20"/>
                <w:szCs w:val="20"/>
                <w:color w:val="auto"/>
              </w:rPr>
            </w:pPr>
            <w:r>
              <w:rPr>
                <w:rFonts w:ascii="Arial" w:cs="Arial" w:eastAsia="Arial" w:hAnsi="Arial"/>
                <w:sz w:val="19"/>
                <w:szCs w:val="19"/>
                <w:color w:val="auto"/>
              </w:rPr>
              <w:t>0%</w:t>
            </w:r>
          </w:p>
        </w:tc>
        <w:tc>
          <w:tcPr>
            <w:tcW w:w="80" w:type="dxa"/>
            <w:vAlign w:val="bottom"/>
          </w:tcPr>
          <w:p>
            <w:pPr>
              <w:spacing w:after="0"/>
              <w:rPr>
                <w:sz w:val="20"/>
                <w:szCs w:val="20"/>
                <w:color w:val="auto"/>
              </w:rPr>
            </w:pPr>
          </w:p>
        </w:tc>
      </w:tr>
    </w:tbl>
    <w:p>
      <w:pPr>
        <w:spacing w:after="0" w:line="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fair value of each profit interest unit and stock option was determined by the Company using the methods and assumptions discussed below.</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Each of these inputs is subjective and generally requires significant judgment and estimation by management.</w:t>
      </w:r>
    </w:p>
    <w:p>
      <w:pPr>
        <w:spacing w:after="0" w:line="111" w:lineRule="exact"/>
        <w:rPr>
          <w:sz w:val="20"/>
          <w:szCs w:val="20"/>
          <w:color w:val="auto"/>
        </w:rPr>
      </w:pPr>
    </w:p>
    <w:p>
      <w:pPr>
        <w:ind w:left="1120"/>
        <w:spacing w:after="0" w:line="272"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stock-based awards are expected to be outstanding. The Company’s profit</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units did not have a contractual term. However, there is a constructive maturity of the profit interest units based on the expected exit or liquidity scenarios for the Company. The Company’s historical share option exercise is limited due to a lack of sufficient data points and did not provide a reasonable basis upon which to estimate an expected term. The expected term was derived by using the simplified method which uses the midpoint between the average vesting term and the contractual expiration period of the stock-based award. The expected term for options issued to nonemployees is the contractual term.</w:t>
      </w:r>
    </w:p>
    <w:p>
      <w:pPr>
        <w:spacing w:after="0" w:line="76" w:lineRule="exact"/>
        <w:rPr>
          <w:sz w:val="20"/>
          <w:szCs w:val="20"/>
          <w:color w:val="auto"/>
        </w:rPr>
      </w:pPr>
    </w:p>
    <w:p>
      <w:pPr>
        <w:ind w:left="1120" w:right="60"/>
        <w:spacing w:after="0" w:line="259" w:lineRule="auto"/>
        <w:rPr>
          <w:sz w:val="20"/>
          <w:szCs w:val="20"/>
          <w:color w:val="auto"/>
        </w:rPr>
      </w:pPr>
      <w:r>
        <w:rPr>
          <w:rFonts w:ascii="Arial" w:cs="Arial" w:eastAsia="Arial" w:hAnsi="Arial"/>
          <w:sz w:val="19"/>
          <w:szCs w:val="19"/>
          <w:i w:val="1"/>
          <w:iCs w:val="1"/>
          <w:color w:val="auto"/>
        </w:rPr>
        <w:t>Expected Volatility—</w:t>
      </w:r>
      <w:r>
        <w:rPr>
          <w:rFonts w:ascii="Arial" w:cs="Arial" w:eastAsia="Arial" w:hAnsi="Arial"/>
          <w:sz w:val="19"/>
          <w:szCs w:val="19"/>
          <w:color w:val="auto"/>
        </w:rPr>
        <w:t>The Company has limited information on the volatility of profit interest units and stock options as the shares are not</w:t>
      </w:r>
      <w:r>
        <w:rPr>
          <w:rFonts w:ascii="Arial" w:cs="Arial" w:eastAsia="Arial" w:hAnsi="Arial"/>
          <w:sz w:val="19"/>
          <w:szCs w:val="19"/>
          <w:i w:val="1"/>
          <w:iCs w:val="1"/>
          <w:color w:val="auto"/>
        </w:rPr>
        <w:t xml:space="preserve"> </w:t>
      </w:r>
      <w:r>
        <w:rPr>
          <w:rFonts w:ascii="Arial" w:cs="Arial" w:eastAsia="Arial" w:hAnsi="Arial"/>
          <w:sz w:val="19"/>
          <w:szCs w:val="19"/>
          <w:color w:val="auto"/>
        </w:rPr>
        <w:t>actively traded on any public markets. The expected volatility was derived from the historical stock volatilities of comparable peer public companies within its industry. These companies are considered to be comparable to the Company’s business over a period equivalent to the expected term of the stock-based awards.</w:t>
      </w:r>
    </w:p>
    <w:p>
      <w:pPr>
        <w:spacing w:after="0" w:line="84" w:lineRule="exact"/>
        <w:rPr>
          <w:sz w:val="20"/>
          <w:szCs w:val="20"/>
          <w:color w:val="auto"/>
        </w:rPr>
      </w:pPr>
    </w:p>
    <w:p>
      <w:pPr>
        <w:ind w:left="1120" w:right="220"/>
        <w:spacing w:after="0" w:line="304"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curve in effect at the date of grant for zero-coupon</w:t>
      </w:r>
      <w:r>
        <w:rPr>
          <w:rFonts w:ascii="Arial" w:cs="Arial" w:eastAsia="Arial" w:hAnsi="Arial"/>
          <w:sz w:val="18"/>
          <w:szCs w:val="18"/>
          <w:i w:val="1"/>
          <w:iCs w:val="1"/>
          <w:color w:val="auto"/>
        </w:rPr>
        <w:t xml:space="preserve"> </w:t>
      </w:r>
      <w:r>
        <w:rPr>
          <w:rFonts w:ascii="Arial" w:cs="Arial" w:eastAsia="Arial" w:hAnsi="Arial"/>
          <w:sz w:val="18"/>
          <w:szCs w:val="18"/>
          <w:color w:val="auto"/>
        </w:rPr>
        <w:t>U.S. Treasury notes with maturities approximately equal to the profit interest units’ and stock options expected term.</w:t>
      </w:r>
    </w:p>
    <w:p>
      <w:pPr>
        <w:spacing w:after="0" w:line="46" w:lineRule="exact"/>
        <w:rPr>
          <w:sz w:val="20"/>
          <w:szCs w:val="20"/>
          <w:color w:val="auto"/>
        </w:rPr>
      </w:pPr>
    </w:p>
    <w:p>
      <w:pPr>
        <w:ind w:left="1120" w:right="360"/>
        <w:spacing w:after="0" w:line="275" w:lineRule="auto"/>
        <w:rPr>
          <w:sz w:val="20"/>
          <w:szCs w:val="20"/>
          <w:color w:val="auto"/>
        </w:rPr>
      </w:pPr>
      <w:r>
        <w:rPr>
          <w:rFonts w:ascii="Arial" w:cs="Arial" w:eastAsia="Arial" w:hAnsi="Arial"/>
          <w:sz w:val="19"/>
          <w:szCs w:val="19"/>
          <w:i w:val="1"/>
          <w:iCs w:val="1"/>
          <w:color w:val="auto"/>
        </w:rPr>
        <w:t>Expected Dividend Rate—</w:t>
      </w:r>
      <w:r>
        <w:rPr>
          <w:rFonts w:ascii="Arial" w:cs="Arial" w:eastAsia="Arial" w:hAnsi="Arial"/>
          <w:sz w:val="19"/>
          <w:szCs w:val="19"/>
          <w:color w:val="auto"/>
        </w:rPr>
        <w:t>The expected dividend is zero as the Company has not paid nor does it anticipate paying any dividends on its</w:t>
      </w:r>
      <w:r>
        <w:rPr>
          <w:rFonts w:ascii="Arial" w:cs="Arial" w:eastAsia="Arial" w:hAnsi="Arial"/>
          <w:sz w:val="19"/>
          <w:szCs w:val="19"/>
          <w:i w:val="1"/>
          <w:iCs w:val="1"/>
          <w:color w:val="auto"/>
        </w:rPr>
        <w:t xml:space="preserve"> </w:t>
      </w:r>
      <w:r>
        <w:rPr>
          <w:rFonts w:ascii="Arial" w:cs="Arial" w:eastAsia="Arial" w:hAnsi="Arial"/>
          <w:sz w:val="19"/>
          <w:szCs w:val="19"/>
          <w:color w:val="auto"/>
        </w:rPr>
        <w:t>stock options in the foreseeable future.</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F-18</w:t>
      </w:r>
    </w:p>
    <w:p>
      <w:pPr>
        <w:sectPr>
          <w:pgSz w:w="12240" w:h="15840" w:orient="portrait"/>
          <w:cols w:equalWidth="0" w:num="1">
            <w:col w:w="11760"/>
          </w:cols>
          <w:pgMar w:left="120" w:top="336" w:right="360" w:bottom="1440" w:gutter="0" w:footer="0" w:header="0"/>
        </w:sectPr>
      </w:pPr>
    </w:p>
    <w:bookmarkStart w:id="209" w:name="page210"/>
    <w:bookmarkEnd w:id="20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Profit Interest Units</w:t>
      </w:r>
    </w:p>
    <w:p>
      <w:pPr>
        <w:spacing w:after="0" w:line="124" w:lineRule="exact"/>
        <w:rPr>
          <w:sz w:val="20"/>
          <w:szCs w:val="20"/>
          <w:color w:val="auto"/>
        </w:rPr>
      </w:pPr>
    </w:p>
    <w:p>
      <w:pPr>
        <w:ind w:left="640"/>
        <w:spacing w:after="0" w:line="263" w:lineRule="auto"/>
        <w:rPr>
          <w:sz w:val="20"/>
          <w:szCs w:val="20"/>
          <w:color w:val="auto"/>
        </w:rPr>
      </w:pPr>
      <w:r>
        <w:rPr>
          <w:rFonts w:ascii="Arial" w:cs="Arial" w:eastAsia="Arial" w:hAnsi="Arial"/>
          <w:sz w:val="19"/>
          <w:szCs w:val="19"/>
          <w:color w:val="auto"/>
        </w:rPr>
        <w:t>The profit interest units have a “strike price” and are economically similar to a stock option with an exercise price. In the event of a distribution by the Company, the proceeds distributed to the holder would be reduced by the strike price. Profit interest units generally vest 25% after one-year with the remainder vesting quarterly over the following three-year period.</w:t>
      </w:r>
    </w:p>
    <w:p>
      <w:pPr>
        <w:spacing w:after="0" w:line="8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Activity for the profit interest units is shown below:</w:t>
      </w:r>
    </w:p>
    <w:p>
      <w:pPr>
        <w:spacing w:after="0" w:line="242" w:lineRule="exact"/>
        <w:rPr>
          <w:sz w:val="20"/>
          <w:szCs w:val="20"/>
          <w:color w:val="auto"/>
        </w:rPr>
      </w:pPr>
    </w:p>
    <w:tbl>
      <w:tblPr>
        <w:tblLayout w:type="fixed"/>
        <w:tblInd w:w="6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1"/>
              </w:rPr>
              <w:t>Weighted</w:t>
            </w:r>
          </w:p>
        </w:tc>
      </w:tr>
      <w:tr>
        <w:trPr>
          <w:trHeight w:val="157"/>
        </w:trPr>
        <w:tc>
          <w:tcPr>
            <w:tcW w:w="2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gridSpan w:val="2"/>
          </w:tcPr>
          <w:p>
            <w:pPr>
              <w:jc w:val="center"/>
              <w:ind w:right="40"/>
              <w:spacing w:after="0" w:line="157" w:lineRule="exact"/>
              <w:rPr>
                <w:sz w:val="20"/>
                <w:szCs w:val="20"/>
                <w:color w:val="auto"/>
              </w:rPr>
            </w:pPr>
            <w:r>
              <w:rPr>
                <w:rFonts w:ascii="Arial" w:cs="Arial" w:eastAsia="Arial" w:hAnsi="Arial"/>
                <w:sz w:val="15"/>
                <w:szCs w:val="15"/>
                <w:b w:val="1"/>
                <w:bCs w:val="1"/>
                <w:color w:val="auto"/>
                <w:w w:val="87"/>
              </w:rPr>
              <w:t>Average</w:t>
            </w:r>
          </w:p>
        </w:tc>
      </w:tr>
      <w:tr>
        <w:trPr>
          <w:trHeight w:val="157"/>
        </w:trPr>
        <w:tc>
          <w:tcPr>
            <w:tcW w:w="2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gridSpan w:val="2"/>
          </w:tcPr>
          <w:p>
            <w:pPr>
              <w:jc w:val="center"/>
              <w:ind w:right="40"/>
              <w:spacing w:after="0" w:line="157" w:lineRule="exact"/>
              <w:rPr>
                <w:sz w:val="20"/>
                <w:szCs w:val="20"/>
                <w:color w:val="auto"/>
              </w:rPr>
            </w:pPr>
            <w:r>
              <w:rPr>
                <w:rFonts w:ascii="Arial" w:cs="Arial" w:eastAsia="Arial" w:hAnsi="Arial"/>
                <w:sz w:val="15"/>
                <w:szCs w:val="15"/>
                <w:b w:val="1"/>
                <w:bCs w:val="1"/>
                <w:color w:val="auto"/>
                <w:w w:val="99"/>
              </w:rPr>
              <w:t>Grant</w:t>
            </w:r>
          </w:p>
        </w:tc>
      </w:tr>
      <w:tr>
        <w:trPr>
          <w:trHeight w:val="157"/>
        </w:trPr>
        <w:tc>
          <w:tcPr>
            <w:tcW w:w="2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gridSpan w:val="2"/>
          </w:tcPr>
          <w:p>
            <w:pPr>
              <w:jc w:val="center"/>
              <w:ind w:right="60"/>
              <w:spacing w:after="0" w:line="157" w:lineRule="exact"/>
              <w:rPr>
                <w:sz w:val="20"/>
                <w:szCs w:val="20"/>
                <w:color w:val="auto"/>
              </w:rPr>
            </w:pPr>
            <w:r>
              <w:rPr>
                <w:rFonts w:ascii="Arial" w:cs="Arial" w:eastAsia="Arial" w:hAnsi="Arial"/>
                <w:sz w:val="15"/>
                <w:szCs w:val="15"/>
                <w:b w:val="1"/>
                <w:bCs w:val="1"/>
                <w:color w:val="auto"/>
                <w:w w:val="96"/>
              </w:rPr>
              <w:t>Date Fair</w:t>
            </w:r>
          </w:p>
        </w:tc>
      </w:tr>
      <w:tr>
        <w:trPr>
          <w:trHeight w:val="157"/>
        </w:trPr>
        <w:tc>
          <w:tcPr>
            <w:tcW w:w="2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1420" w:type="dxa"/>
            <w:vAlign w:val="bottom"/>
            <w:gridSpan w:val="2"/>
          </w:tcPr>
          <w:p>
            <w:pPr>
              <w:jc w:val="right"/>
              <w:ind w:right="720"/>
              <w:spacing w:after="0" w:line="157" w:lineRule="exact"/>
              <w:rPr>
                <w:sz w:val="20"/>
                <w:szCs w:val="20"/>
                <w:color w:val="auto"/>
              </w:rPr>
            </w:pPr>
            <w:r>
              <w:rPr>
                <w:rFonts w:ascii="Arial" w:cs="Arial" w:eastAsia="Arial" w:hAnsi="Arial"/>
                <w:sz w:val="15"/>
                <w:szCs w:val="15"/>
                <w:b w:val="1"/>
                <w:bCs w:val="1"/>
                <w:color w:val="auto"/>
              </w:rPr>
              <w:t>Number</w:t>
            </w:r>
          </w:p>
        </w:tc>
        <w:tc>
          <w:tcPr>
            <w:tcW w:w="680" w:type="dxa"/>
            <w:vAlign w:val="bottom"/>
            <w:gridSpan w:val="2"/>
          </w:tcPr>
          <w:p>
            <w:pPr>
              <w:jc w:val="center"/>
              <w:ind w:right="60"/>
              <w:spacing w:after="0" w:line="157" w:lineRule="exact"/>
              <w:rPr>
                <w:sz w:val="20"/>
                <w:szCs w:val="20"/>
                <w:color w:val="auto"/>
              </w:rPr>
            </w:pPr>
            <w:r>
              <w:rPr>
                <w:rFonts w:ascii="Arial" w:cs="Arial" w:eastAsia="Arial" w:hAnsi="Arial"/>
                <w:sz w:val="15"/>
                <w:szCs w:val="15"/>
                <w:b w:val="1"/>
                <w:bCs w:val="1"/>
                <w:color w:val="auto"/>
                <w:w w:val="91"/>
              </w:rPr>
              <w:t>Value per</w:t>
            </w:r>
          </w:p>
        </w:tc>
      </w:tr>
      <w:tr>
        <w:trPr>
          <w:trHeight w:val="180"/>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5"/>
                <w:szCs w:val="15"/>
                <w:b w:val="1"/>
                <w:bCs w:val="1"/>
                <w:color w:val="auto"/>
              </w:rPr>
              <w:t>of Units</w:t>
            </w:r>
          </w:p>
        </w:tc>
        <w:tc>
          <w:tcPr>
            <w:tcW w:w="68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95"/>
              </w:rPr>
              <w:t>Unit</w:t>
            </w:r>
          </w:p>
        </w:tc>
      </w:tr>
      <w:tr>
        <w:trPr>
          <w:trHeight w:val="222"/>
        </w:trPr>
        <w:tc>
          <w:tcPr>
            <w:tcW w:w="20" w:type="dxa"/>
            <w:vAlign w:val="bottom"/>
          </w:tcPr>
          <w:p>
            <w:pPr>
              <w:spacing w:after="0"/>
              <w:rPr>
                <w:sz w:val="19"/>
                <w:szCs w:val="19"/>
                <w:color w:val="auto"/>
              </w:rPr>
            </w:pPr>
          </w:p>
        </w:tc>
        <w:tc>
          <w:tcPr>
            <w:tcW w:w="8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Unvested as of December 31, 2015</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333,614</w:t>
            </w:r>
          </w:p>
        </w:tc>
        <w:tc>
          <w:tcPr>
            <w:tcW w:w="5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rPr>
              <w:t>$  1.16</w:t>
            </w:r>
          </w:p>
        </w:tc>
        <w:tc>
          <w:tcPr>
            <w:tcW w:w="60" w:type="dxa"/>
            <w:vAlign w:val="bottom"/>
            <w:tcBorders>
              <w:top w:val="single" w:sz="8" w:color="CCEEFF"/>
            </w:tcBorders>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8560" w:type="dxa"/>
            <w:vAlign w:val="bottom"/>
          </w:tcPr>
          <w:p>
            <w:pPr>
              <w:ind w:left="360"/>
              <w:spacing w:after="0"/>
              <w:rPr>
                <w:sz w:val="20"/>
                <w:szCs w:val="20"/>
                <w:color w:val="auto"/>
              </w:rPr>
            </w:pPr>
            <w:r>
              <w:rPr>
                <w:rFonts w:ascii="Arial" w:cs="Arial" w:eastAsia="Arial" w:hAnsi="Arial"/>
                <w:sz w:val="19"/>
                <w:szCs w:val="19"/>
                <w:color w:val="auto"/>
              </w:rPr>
              <w:t>Granted</w:t>
            </w:r>
          </w:p>
        </w:tc>
        <w:tc>
          <w:tcPr>
            <w:tcW w:w="880" w:type="dxa"/>
            <w:vAlign w:val="bottom"/>
          </w:tcPr>
          <w:p>
            <w:pPr>
              <w:jc w:val="right"/>
              <w:spacing w:after="0"/>
              <w:rPr>
                <w:sz w:val="20"/>
                <w:szCs w:val="20"/>
                <w:color w:val="auto"/>
              </w:rPr>
            </w:pPr>
            <w:r>
              <w:rPr>
                <w:rFonts w:ascii="Arial" w:cs="Arial" w:eastAsia="Arial" w:hAnsi="Arial"/>
                <w:sz w:val="19"/>
                <w:szCs w:val="19"/>
                <w:color w:val="auto"/>
              </w:rPr>
              <w:t>1,136,500</w:t>
            </w:r>
          </w:p>
        </w:tc>
        <w:tc>
          <w:tcPr>
            <w:tcW w:w="5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rPr>
              <w:t>1.80</w:t>
            </w:r>
          </w:p>
        </w:tc>
      </w:tr>
      <w:tr>
        <w:trPr>
          <w:trHeight w:val="228"/>
        </w:trPr>
        <w:tc>
          <w:tcPr>
            <w:tcW w:w="20" w:type="dxa"/>
            <w:vAlign w:val="bottom"/>
          </w:tcPr>
          <w:p>
            <w:pPr>
              <w:spacing w:after="0"/>
              <w:rPr>
                <w:sz w:val="19"/>
                <w:szCs w:val="19"/>
                <w:color w:val="auto"/>
              </w:rPr>
            </w:pPr>
          </w:p>
        </w:tc>
        <w:tc>
          <w:tcPr>
            <w:tcW w:w="85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Vested</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(130,011)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1.19</w:t>
            </w:r>
          </w:p>
        </w:tc>
      </w:tr>
      <w:tr>
        <w:trPr>
          <w:trHeight w:val="237"/>
        </w:trPr>
        <w:tc>
          <w:tcPr>
            <w:tcW w:w="20" w:type="dxa"/>
            <w:vAlign w:val="bottom"/>
          </w:tcPr>
          <w:p>
            <w:pPr>
              <w:spacing w:after="0"/>
              <w:rPr>
                <w:sz w:val="20"/>
                <w:szCs w:val="20"/>
                <w:color w:val="auto"/>
              </w:rPr>
            </w:pPr>
          </w:p>
        </w:tc>
        <w:tc>
          <w:tcPr>
            <w:tcW w:w="8560" w:type="dxa"/>
            <w:vAlign w:val="bottom"/>
          </w:tcPr>
          <w:p>
            <w:pPr>
              <w:ind w:left="360"/>
              <w:spacing w:after="0"/>
              <w:rPr>
                <w:sz w:val="20"/>
                <w:szCs w:val="20"/>
                <w:color w:val="auto"/>
              </w:rPr>
            </w:pPr>
            <w:r>
              <w:rPr>
                <w:rFonts w:ascii="Arial" w:cs="Arial" w:eastAsia="Arial" w:hAnsi="Arial"/>
                <w:sz w:val="19"/>
                <w:szCs w:val="19"/>
                <w:color w:val="auto"/>
              </w:rPr>
              <w:t>Cancelled/forfeited</w:t>
            </w:r>
          </w:p>
        </w:tc>
        <w:tc>
          <w:tcPr>
            <w:tcW w:w="1420" w:type="dxa"/>
            <w:vAlign w:val="bottom"/>
            <w:gridSpan w:val="2"/>
          </w:tcPr>
          <w:p>
            <w:pPr>
              <w:jc w:val="right"/>
              <w:ind w:right="480"/>
              <w:spacing w:after="0"/>
              <w:rPr>
                <w:sz w:val="20"/>
                <w:szCs w:val="20"/>
                <w:color w:val="auto"/>
              </w:rPr>
            </w:pPr>
            <w:r>
              <w:rPr>
                <w:rFonts w:ascii="Arial" w:cs="Arial" w:eastAsia="Arial" w:hAnsi="Arial"/>
                <w:sz w:val="19"/>
                <w:szCs w:val="19"/>
                <w:color w:val="auto"/>
              </w:rPr>
              <w:t>(134,540)</w:t>
            </w: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rPr>
              <w:t>1.47</w:t>
            </w:r>
          </w:p>
        </w:tc>
      </w:tr>
      <w:tr>
        <w:trPr>
          <w:trHeight w:val="228"/>
        </w:trPr>
        <w:tc>
          <w:tcPr>
            <w:tcW w:w="20" w:type="dxa"/>
            <w:vAlign w:val="bottom"/>
          </w:tcPr>
          <w:p>
            <w:pPr>
              <w:spacing w:after="0"/>
              <w:rPr>
                <w:sz w:val="19"/>
                <w:szCs w:val="19"/>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9"/>
                <w:szCs w:val="19"/>
                <w:color w:val="auto"/>
              </w:rPr>
              <w:t>Unvested as of December 31, 2016</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1,205,563</w:t>
            </w:r>
          </w:p>
        </w:tc>
        <w:tc>
          <w:tcPr>
            <w:tcW w:w="5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1.72</w:t>
            </w:r>
          </w:p>
        </w:tc>
      </w:tr>
      <w:tr>
        <w:trPr>
          <w:trHeight w:val="228"/>
        </w:trPr>
        <w:tc>
          <w:tcPr>
            <w:tcW w:w="20" w:type="dxa"/>
            <w:vAlign w:val="bottom"/>
          </w:tcPr>
          <w:p>
            <w:pPr>
              <w:spacing w:after="0"/>
              <w:rPr>
                <w:sz w:val="19"/>
                <w:szCs w:val="19"/>
                <w:color w:val="auto"/>
              </w:rPr>
            </w:pPr>
          </w:p>
        </w:tc>
        <w:tc>
          <w:tcPr>
            <w:tcW w:w="8560" w:type="dxa"/>
            <w:vAlign w:val="bottom"/>
          </w:tcPr>
          <w:p>
            <w:pPr>
              <w:ind w:left="360"/>
              <w:spacing w:after="0"/>
              <w:rPr>
                <w:sz w:val="20"/>
                <w:szCs w:val="20"/>
                <w:color w:val="auto"/>
              </w:rPr>
            </w:pPr>
            <w:r>
              <w:rPr>
                <w:rFonts w:ascii="Arial" w:cs="Arial" w:eastAsia="Arial" w:hAnsi="Arial"/>
                <w:sz w:val="19"/>
                <w:szCs w:val="19"/>
                <w:color w:val="auto"/>
              </w:rPr>
              <w:t>Granted</w:t>
            </w:r>
          </w:p>
        </w:tc>
        <w:tc>
          <w:tcPr>
            <w:tcW w:w="880" w:type="dxa"/>
            <w:vAlign w:val="bottom"/>
          </w:tcPr>
          <w:p>
            <w:pPr>
              <w:jc w:val="right"/>
              <w:spacing w:after="0"/>
              <w:rPr>
                <w:sz w:val="20"/>
                <w:szCs w:val="20"/>
                <w:color w:val="auto"/>
              </w:rPr>
            </w:pPr>
            <w:r>
              <w:rPr>
                <w:rFonts w:ascii="Arial" w:cs="Arial" w:eastAsia="Arial" w:hAnsi="Arial"/>
                <w:sz w:val="19"/>
                <w:szCs w:val="19"/>
                <w:color w:val="auto"/>
              </w:rPr>
              <w:t>2,483,500</w:t>
            </w:r>
          </w:p>
        </w:tc>
        <w:tc>
          <w:tcPr>
            <w:tcW w:w="5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rPr>
              <w:t>4.76</w:t>
            </w:r>
          </w:p>
        </w:tc>
      </w:tr>
      <w:tr>
        <w:trPr>
          <w:trHeight w:val="228"/>
        </w:trPr>
        <w:tc>
          <w:tcPr>
            <w:tcW w:w="20" w:type="dxa"/>
            <w:vAlign w:val="bottom"/>
          </w:tcPr>
          <w:p>
            <w:pPr>
              <w:spacing w:after="0"/>
              <w:rPr>
                <w:sz w:val="19"/>
                <w:szCs w:val="19"/>
                <w:color w:val="auto"/>
              </w:rPr>
            </w:pPr>
          </w:p>
        </w:tc>
        <w:tc>
          <w:tcPr>
            <w:tcW w:w="85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Vested</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(363,387)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1.89</w:t>
            </w:r>
          </w:p>
        </w:tc>
      </w:tr>
      <w:tr>
        <w:trPr>
          <w:trHeight w:val="228"/>
        </w:trPr>
        <w:tc>
          <w:tcPr>
            <w:tcW w:w="20" w:type="dxa"/>
            <w:vAlign w:val="bottom"/>
          </w:tcPr>
          <w:p>
            <w:pPr>
              <w:spacing w:after="0"/>
              <w:rPr>
                <w:sz w:val="19"/>
                <w:szCs w:val="19"/>
                <w:color w:val="auto"/>
              </w:rPr>
            </w:pPr>
          </w:p>
        </w:tc>
        <w:tc>
          <w:tcPr>
            <w:tcW w:w="8560" w:type="dxa"/>
            <w:vAlign w:val="bottom"/>
          </w:tcPr>
          <w:p>
            <w:pPr>
              <w:ind w:left="360"/>
              <w:spacing w:after="0"/>
              <w:rPr>
                <w:sz w:val="20"/>
                <w:szCs w:val="20"/>
                <w:color w:val="auto"/>
              </w:rPr>
            </w:pPr>
            <w:r>
              <w:rPr>
                <w:rFonts w:ascii="Arial" w:cs="Arial" w:eastAsia="Arial" w:hAnsi="Arial"/>
                <w:sz w:val="19"/>
                <w:szCs w:val="19"/>
                <w:color w:val="auto"/>
              </w:rPr>
              <w:t>Cancelled/forfeited</w:t>
            </w:r>
          </w:p>
        </w:tc>
        <w:tc>
          <w:tcPr>
            <w:tcW w:w="1420" w:type="dxa"/>
            <w:vAlign w:val="bottom"/>
            <w:gridSpan w:val="2"/>
          </w:tcPr>
          <w:p>
            <w:pPr>
              <w:jc w:val="right"/>
              <w:ind w:right="480"/>
              <w:spacing w:after="0"/>
              <w:rPr>
                <w:sz w:val="20"/>
                <w:szCs w:val="20"/>
                <w:color w:val="auto"/>
              </w:rPr>
            </w:pPr>
            <w:r>
              <w:rPr>
                <w:rFonts w:ascii="Arial" w:cs="Arial" w:eastAsia="Arial" w:hAnsi="Arial"/>
                <w:sz w:val="19"/>
                <w:szCs w:val="19"/>
                <w:color w:val="auto"/>
              </w:rPr>
              <w:t>(8,338)</w:t>
            </w: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rPr>
              <w:t>1.17</w:t>
            </w:r>
          </w:p>
        </w:tc>
      </w:tr>
      <w:tr>
        <w:trPr>
          <w:trHeight w:val="228"/>
        </w:trPr>
        <w:tc>
          <w:tcPr>
            <w:tcW w:w="20" w:type="dxa"/>
            <w:vAlign w:val="bottom"/>
          </w:tcPr>
          <w:p>
            <w:pPr>
              <w:spacing w:after="0"/>
              <w:rPr>
                <w:sz w:val="19"/>
                <w:szCs w:val="19"/>
                <w:color w:val="auto"/>
              </w:rPr>
            </w:pPr>
          </w:p>
        </w:tc>
        <w:tc>
          <w:tcPr>
            <w:tcW w:w="85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Exchange of unvested profit interest units for restricted common stock upon the Conversion</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w w:val="94"/>
              </w:rPr>
              <w:t>(3,317,338)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3.98</w:t>
            </w:r>
          </w:p>
        </w:tc>
      </w:tr>
      <w:tr>
        <w:trPr>
          <w:trHeight w:val="236"/>
        </w:trPr>
        <w:tc>
          <w:tcPr>
            <w:tcW w:w="8580" w:type="dxa"/>
            <w:vAlign w:val="bottom"/>
            <w:gridSpan w:val="2"/>
          </w:tcPr>
          <w:p>
            <w:pPr>
              <w:spacing w:after="0"/>
              <w:rPr>
                <w:sz w:val="20"/>
                <w:szCs w:val="20"/>
                <w:color w:val="auto"/>
              </w:rPr>
            </w:pPr>
            <w:r>
              <w:rPr>
                <w:rFonts w:ascii="Arial" w:cs="Arial" w:eastAsia="Arial" w:hAnsi="Arial"/>
                <w:sz w:val="19"/>
                <w:szCs w:val="19"/>
                <w:color w:val="auto"/>
              </w:rPr>
              <w:t>Unvested as of December 31, 2017</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54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right="100"/>
        <w:spacing w:after="0" w:line="284" w:lineRule="auto"/>
        <w:rPr>
          <w:sz w:val="20"/>
          <w:szCs w:val="20"/>
          <w:color w:val="auto"/>
        </w:rPr>
      </w:pPr>
      <w:r>
        <w:rPr>
          <w:rFonts w:ascii="Arial" w:cs="Arial" w:eastAsia="Arial" w:hAnsi="Arial"/>
          <w:sz w:val="18"/>
          <w:szCs w:val="18"/>
          <w:color w:val="auto"/>
        </w:rPr>
        <w:t>As discussed in Note 1, on October 12, 2017, the profit interest units were all converted to common stock upon the Conversion. As part of the Conversion, 4,368,368 profit interest units were converted on a net issuance basis into 4,201,003 common stock awards with no strike price, with 3,165,350 unvested shares still subject to vesting restrictions. No changes were made to the vesting provisions of the shares.</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Restricted Units and Restricted Common Stock</w:t>
      </w:r>
    </w:p>
    <w:p>
      <w:pPr>
        <w:spacing w:after="0" w:line="124" w:lineRule="exact"/>
        <w:rPr>
          <w:sz w:val="20"/>
          <w:szCs w:val="20"/>
          <w:color w:val="auto"/>
        </w:rPr>
      </w:pPr>
    </w:p>
    <w:p>
      <w:pPr>
        <w:ind w:left="640" w:right="700"/>
        <w:spacing w:after="0" w:line="275" w:lineRule="auto"/>
        <w:rPr>
          <w:sz w:val="20"/>
          <w:szCs w:val="20"/>
          <w:color w:val="auto"/>
        </w:rPr>
      </w:pPr>
      <w:r>
        <w:rPr>
          <w:rFonts w:ascii="Arial" w:cs="Arial" w:eastAsia="Arial" w:hAnsi="Arial"/>
          <w:sz w:val="19"/>
          <w:szCs w:val="19"/>
          <w:color w:val="auto"/>
        </w:rPr>
        <w:t>The restricted units have no strike price and generally vest 25% upfront with the remainder vesting quarterly over a four-year period. The restricted units converted into restricted common stock upon the Conversion in October 2017.</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F-19</w:t>
      </w:r>
    </w:p>
    <w:p>
      <w:pPr>
        <w:sectPr>
          <w:pgSz w:w="12240" w:h="15840" w:orient="portrait"/>
          <w:cols w:equalWidth="0" w:num="1">
            <w:col w:w="11800"/>
          </w:cols>
          <w:pgMar w:left="120" w:top="336" w:right="320" w:bottom="1440" w:gutter="0" w:footer="0" w:header="0"/>
        </w:sectPr>
      </w:pPr>
    </w:p>
    <w:bookmarkStart w:id="210" w:name="page211"/>
    <w:bookmarkEnd w:id="21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ind w:left="4240"/>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Activity for the restricted units is shown below:</w:t>
      </w:r>
    </w:p>
    <w:p>
      <w:pPr>
        <w:spacing w:after="0" w:line="242"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5"/>
                <w:szCs w:val="15"/>
                <w:b w:val="1"/>
                <w:bCs w:val="1"/>
                <w:color w:val="auto"/>
                <w:w w:val="91"/>
              </w:rPr>
              <w:t>Weighted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gridSpan w:val="3"/>
          </w:tcPr>
          <w:p>
            <w:pPr>
              <w:jc w:val="center"/>
              <w:ind w:right="40"/>
              <w:spacing w:after="0" w:line="157" w:lineRule="exact"/>
              <w:rPr>
                <w:sz w:val="20"/>
                <w:szCs w:val="20"/>
                <w:color w:val="auto"/>
              </w:rPr>
            </w:pPr>
            <w:r>
              <w:rPr>
                <w:rFonts w:ascii="Arial" w:cs="Arial" w:eastAsia="Arial" w:hAnsi="Arial"/>
                <w:sz w:val="15"/>
                <w:szCs w:val="15"/>
                <w:b w:val="1"/>
                <w:bCs w:val="1"/>
                <w:color w:val="auto"/>
                <w:w w:val="87"/>
              </w:rPr>
              <w:t>Average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center"/>
              <w:ind w:right="140"/>
              <w:spacing w:after="0" w:line="157" w:lineRule="exact"/>
              <w:rPr>
                <w:sz w:val="20"/>
                <w:szCs w:val="20"/>
                <w:color w:val="auto"/>
              </w:rPr>
            </w:pPr>
            <w:r>
              <w:rPr>
                <w:rFonts w:ascii="Arial" w:cs="Arial" w:eastAsia="Arial" w:hAnsi="Arial"/>
                <w:sz w:val="15"/>
                <w:szCs w:val="15"/>
                <w:b w:val="1"/>
                <w:bCs w:val="1"/>
                <w:color w:val="auto"/>
                <w:w w:val="99"/>
              </w:rPr>
              <w:t>Grant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gridSpan w:val="3"/>
          </w:tcPr>
          <w:p>
            <w:pPr>
              <w:jc w:val="center"/>
              <w:ind w:right="60"/>
              <w:spacing w:after="0" w:line="157" w:lineRule="exact"/>
              <w:rPr>
                <w:sz w:val="20"/>
                <w:szCs w:val="20"/>
                <w:color w:val="auto"/>
              </w:rPr>
            </w:pPr>
            <w:r>
              <w:rPr>
                <w:rFonts w:ascii="Arial" w:cs="Arial" w:eastAsia="Arial" w:hAnsi="Arial"/>
                <w:sz w:val="15"/>
                <w:szCs w:val="15"/>
                <w:b w:val="1"/>
                <w:bCs w:val="1"/>
                <w:color w:val="auto"/>
                <w:w w:val="96"/>
              </w:rPr>
              <w:t>Date Fair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2"/>
          </w:tcPr>
          <w:p>
            <w:pPr>
              <w:ind w:left="180"/>
              <w:spacing w:after="0" w:line="157" w:lineRule="exact"/>
              <w:rPr>
                <w:sz w:val="20"/>
                <w:szCs w:val="20"/>
                <w:color w:val="auto"/>
              </w:rPr>
            </w:pPr>
            <w:r>
              <w:rPr>
                <w:rFonts w:ascii="Arial" w:cs="Arial" w:eastAsia="Arial" w:hAnsi="Arial"/>
                <w:sz w:val="15"/>
                <w:szCs w:val="15"/>
                <w:b w:val="1"/>
                <w:bCs w:val="1"/>
                <w:color w:val="auto"/>
              </w:rPr>
              <w:t>Number</w:t>
            </w:r>
          </w:p>
        </w:tc>
        <w:tc>
          <w:tcPr>
            <w:tcW w:w="680" w:type="dxa"/>
            <w:vAlign w:val="bottom"/>
            <w:gridSpan w:val="3"/>
          </w:tcPr>
          <w:p>
            <w:pPr>
              <w:jc w:val="center"/>
              <w:ind w:right="60"/>
              <w:spacing w:after="0" w:line="157" w:lineRule="exact"/>
              <w:rPr>
                <w:sz w:val="20"/>
                <w:szCs w:val="20"/>
                <w:color w:val="auto"/>
              </w:rPr>
            </w:pPr>
            <w:r>
              <w:rPr>
                <w:rFonts w:ascii="Arial" w:cs="Arial" w:eastAsia="Arial" w:hAnsi="Arial"/>
                <w:sz w:val="15"/>
                <w:szCs w:val="15"/>
                <w:b w:val="1"/>
                <w:bCs w:val="1"/>
                <w:color w:val="auto"/>
                <w:w w:val="91"/>
              </w:rPr>
              <w:t>Value per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2"/>
          </w:tcPr>
          <w:p>
            <w:pPr>
              <w:ind w:left="180"/>
              <w:spacing w:after="0"/>
              <w:rPr>
                <w:sz w:val="20"/>
                <w:szCs w:val="20"/>
                <w:color w:val="auto"/>
              </w:rPr>
            </w:pPr>
            <w:r>
              <w:rPr>
                <w:rFonts w:ascii="Arial" w:cs="Arial" w:eastAsia="Arial" w:hAnsi="Arial"/>
                <w:sz w:val="15"/>
                <w:szCs w:val="15"/>
                <w:b w:val="1"/>
                <w:bCs w:val="1"/>
                <w:color w:val="auto"/>
              </w:rPr>
              <w:t>of Units</w:t>
            </w:r>
          </w:p>
        </w:tc>
        <w:tc>
          <w:tcPr>
            <w:tcW w:w="100" w:type="dxa"/>
            <w:vAlign w:val="bottom"/>
          </w:tcPr>
          <w:p>
            <w:pPr>
              <w:spacing w:after="0"/>
              <w:rPr>
                <w:sz w:val="15"/>
                <w:szCs w:val="15"/>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5"/>
              </w:rPr>
              <w:t>Unit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9"/>
                <w:szCs w:val="19"/>
                <w:color w:val="auto"/>
              </w:rPr>
              <w:t>Unvested restricted units as of December 31, 2015</w:t>
            </w: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3,505,094</w:t>
            </w:r>
          </w:p>
        </w:tc>
        <w:tc>
          <w:tcPr>
            <w:tcW w:w="7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52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9"/>
                <w:szCs w:val="19"/>
                <w:color w:val="auto"/>
                <w:w w:val="81"/>
              </w:rPr>
              <w:t>0.20</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60" w:type="dxa"/>
            <w:vAlign w:val="bottom"/>
            <w:gridSpan w:val="2"/>
          </w:tcPr>
          <w:p>
            <w:pPr>
              <w:ind w:left="380"/>
              <w:spacing w:after="0"/>
              <w:rPr>
                <w:sz w:val="20"/>
                <w:szCs w:val="20"/>
                <w:color w:val="auto"/>
              </w:rPr>
            </w:pPr>
            <w:r>
              <w:rPr>
                <w:rFonts w:ascii="Arial" w:cs="Arial" w:eastAsia="Arial" w:hAnsi="Arial"/>
                <w:sz w:val="19"/>
                <w:szCs w:val="19"/>
                <w:color w:val="auto"/>
              </w:rPr>
              <w:t>Vested</w:t>
            </w:r>
          </w:p>
        </w:tc>
        <w:tc>
          <w:tcPr>
            <w:tcW w:w="1640" w:type="dxa"/>
            <w:vAlign w:val="bottom"/>
            <w:gridSpan w:val="2"/>
          </w:tcPr>
          <w:p>
            <w:pPr>
              <w:jc w:val="right"/>
              <w:ind w:right="700"/>
              <w:spacing w:after="0"/>
              <w:rPr>
                <w:sz w:val="20"/>
                <w:szCs w:val="20"/>
                <w:color w:val="auto"/>
              </w:rPr>
            </w:pPr>
            <w:r>
              <w:rPr>
                <w:rFonts w:ascii="Arial" w:cs="Arial" w:eastAsia="Arial" w:hAnsi="Arial"/>
                <w:sz w:val="19"/>
                <w:szCs w:val="19"/>
                <w:color w:val="auto"/>
                <w:w w:val="94"/>
              </w:rPr>
              <w:t>(1,833,333)</w:t>
            </w:r>
          </w:p>
        </w:tc>
        <w:tc>
          <w:tcPr>
            <w:tcW w:w="100" w:type="dxa"/>
            <w:vAlign w:val="bottom"/>
          </w:tcPr>
          <w:p>
            <w:pPr>
              <w:spacing w:after="0"/>
              <w:rPr>
                <w:sz w:val="19"/>
                <w:szCs w:val="19"/>
                <w:color w:val="auto"/>
              </w:rPr>
            </w:pPr>
          </w:p>
        </w:tc>
        <w:tc>
          <w:tcPr>
            <w:tcW w:w="580" w:type="dxa"/>
            <w:vAlign w:val="bottom"/>
            <w:gridSpan w:val="2"/>
          </w:tcPr>
          <w:p>
            <w:pPr>
              <w:ind w:left="200"/>
              <w:spacing w:after="0"/>
              <w:rPr>
                <w:sz w:val="20"/>
                <w:szCs w:val="20"/>
                <w:color w:val="auto"/>
              </w:rPr>
            </w:pPr>
            <w:r>
              <w:rPr>
                <w:rFonts w:ascii="Arial" w:cs="Arial" w:eastAsia="Arial" w:hAnsi="Arial"/>
                <w:sz w:val="19"/>
                <w:szCs w:val="19"/>
                <w:color w:val="auto"/>
                <w:w w:val="97"/>
              </w:rPr>
              <w:t>0.14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60" w:type="dxa"/>
            <w:vAlign w:val="bottom"/>
            <w:gridSpan w:val="2"/>
            <w:shd w:val="clear" w:color="auto" w:fill="CCEEFF"/>
          </w:tcPr>
          <w:p>
            <w:pPr>
              <w:ind w:left="380"/>
              <w:spacing w:after="0"/>
              <w:rPr>
                <w:sz w:val="20"/>
                <w:szCs w:val="20"/>
                <w:color w:val="auto"/>
              </w:rPr>
            </w:pPr>
            <w:r>
              <w:rPr>
                <w:rFonts w:ascii="Arial" w:cs="Arial" w:eastAsia="Arial" w:hAnsi="Arial"/>
                <w:sz w:val="19"/>
                <w:szCs w:val="19"/>
                <w:color w:val="auto"/>
              </w:rPr>
              <w:t>Cancelled/forfeited</w:t>
            </w:r>
          </w:p>
        </w:tc>
        <w:tc>
          <w:tcPr>
            <w:tcW w:w="1640" w:type="dxa"/>
            <w:vAlign w:val="bottom"/>
            <w:gridSpan w:val="2"/>
            <w:shd w:val="clear" w:color="auto" w:fill="CCEEFF"/>
          </w:tcPr>
          <w:p>
            <w:pPr>
              <w:jc w:val="right"/>
              <w:ind w:right="700"/>
              <w:spacing w:after="0"/>
              <w:rPr>
                <w:sz w:val="20"/>
                <w:szCs w:val="20"/>
                <w:color w:val="auto"/>
              </w:rPr>
            </w:pPr>
            <w:r>
              <w:rPr>
                <w:rFonts w:ascii="Arial" w:cs="Arial" w:eastAsia="Arial" w:hAnsi="Arial"/>
                <w:sz w:val="19"/>
                <w:szCs w:val="19"/>
                <w:color w:val="auto"/>
              </w:rPr>
              <w:t>(191,562)</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9"/>
                <w:szCs w:val="19"/>
                <w:color w:val="auto"/>
                <w:w w:val="97"/>
              </w:rPr>
              <w:t>0.25</w:t>
            </w:r>
          </w:p>
        </w:tc>
        <w:tc>
          <w:tcPr>
            <w:tcW w:w="0" w:type="dxa"/>
            <w:vAlign w:val="bottom"/>
          </w:tcPr>
          <w:p>
            <w:pPr>
              <w:spacing w:after="0"/>
              <w:rPr>
                <w:sz w:val="1"/>
                <w:szCs w:val="1"/>
                <w:color w:val="auto"/>
              </w:rPr>
            </w:pPr>
          </w:p>
        </w:tc>
      </w:tr>
      <w:tr>
        <w:trPr>
          <w:trHeight w:val="20"/>
        </w:trPr>
        <w:tc>
          <w:tcPr>
            <w:tcW w:w="8380" w:type="dxa"/>
            <w:vAlign w:val="bottom"/>
            <w:gridSpan w:val="3"/>
            <w:vMerge w:val="restart"/>
          </w:tcPr>
          <w:p>
            <w:pPr>
              <w:ind w:left="20"/>
              <w:spacing w:after="0"/>
              <w:rPr>
                <w:sz w:val="20"/>
                <w:szCs w:val="20"/>
                <w:color w:val="auto"/>
              </w:rPr>
            </w:pPr>
            <w:r>
              <w:rPr>
                <w:rFonts w:ascii="Arial" w:cs="Arial" w:eastAsia="Arial" w:hAnsi="Arial"/>
                <w:sz w:val="19"/>
                <w:szCs w:val="19"/>
                <w:color w:val="auto"/>
              </w:rPr>
              <w:t>Unvested restricted units as of December 31, 2016</w:t>
            </w: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vMerge w:val="restart"/>
          </w:tcPr>
          <w:p>
            <w:pPr>
              <w:ind w:left="200"/>
              <w:spacing w:after="0"/>
              <w:rPr>
                <w:sz w:val="20"/>
                <w:szCs w:val="20"/>
                <w:color w:val="auto"/>
              </w:rPr>
            </w:pPr>
            <w:r>
              <w:rPr>
                <w:rFonts w:ascii="Arial" w:cs="Arial" w:eastAsia="Arial" w:hAnsi="Arial"/>
                <w:sz w:val="19"/>
                <w:szCs w:val="19"/>
                <w:color w:val="auto"/>
                <w:w w:val="97"/>
              </w:rPr>
              <w:t>0.26</w:t>
            </w:r>
          </w:p>
        </w:tc>
        <w:tc>
          <w:tcPr>
            <w:tcW w:w="0" w:type="dxa"/>
            <w:vAlign w:val="bottom"/>
          </w:tcPr>
          <w:p>
            <w:pPr>
              <w:spacing w:after="0" w:line="20" w:lineRule="exact"/>
              <w:rPr>
                <w:sz w:val="1"/>
                <w:szCs w:val="1"/>
                <w:color w:val="auto"/>
              </w:rPr>
            </w:pPr>
          </w:p>
        </w:tc>
      </w:tr>
      <w:tr>
        <w:trPr>
          <w:trHeight w:val="236"/>
        </w:trPr>
        <w:tc>
          <w:tcPr>
            <w:tcW w:w="8380" w:type="dxa"/>
            <w:vAlign w:val="bottom"/>
            <w:gridSpan w:val="3"/>
            <w:vMerge w:val="continue"/>
          </w:tcPr>
          <w:p>
            <w:pPr>
              <w:spacing w:after="0"/>
              <w:rPr>
                <w:sz w:val="20"/>
                <w:szCs w:val="20"/>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9"/>
                <w:szCs w:val="19"/>
                <w:color w:val="auto"/>
              </w:rPr>
              <w:t>1,480,199</w:t>
            </w:r>
          </w:p>
        </w:tc>
        <w:tc>
          <w:tcPr>
            <w:tcW w:w="10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360" w:type="dxa"/>
            <w:vAlign w:val="bottom"/>
            <w:gridSpan w:val="2"/>
            <w:shd w:val="clear" w:color="auto" w:fill="CCEEFF"/>
          </w:tcPr>
          <w:p>
            <w:pPr>
              <w:ind w:left="380"/>
              <w:spacing w:after="0"/>
              <w:rPr>
                <w:sz w:val="20"/>
                <w:szCs w:val="20"/>
                <w:color w:val="auto"/>
              </w:rPr>
            </w:pPr>
            <w:r>
              <w:rPr>
                <w:rFonts w:ascii="Arial" w:cs="Arial" w:eastAsia="Arial" w:hAnsi="Arial"/>
                <w:sz w:val="19"/>
                <w:szCs w:val="19"/>
                <w:color w:val="auto"/>
              </w:rPr>
              <w:t>Vested prior to conversion from LLC to corporation</w:t>
            </w:r>
          </w:p>
        </w:tc>
        <w:tc>
          <w:tcPr>
            <w:tcW w:w="1640" w:type="dxa"/>
            <w:vAlign w:val="bottom"/>
            <w:gridSpan w:val="2"/>
            <w:shd w:val="clear" w:color="auto" w:fill="CCEEFF"/>
          </w:tcPr>
          <w:p>
            <w:pPr>
              <w:jc w:val="right"/>
              <w:ind w:right="700"/>
              <w:spacing w:after="0"/>
              <w:rPr>
                <w:sz w:val="20"/>
                <w:szCs w:val="20"/>
                <w:color w:val="auto"/>
              </w:rPr>
            </w:pPr>
            <w:r>
              <w:rPr>
                <w:rFonts w:ascii="Arial" w:cs="Arial" w:eastAsia="Arial" w:hAnsi="Arial"/>
                <w:sz w:val="19"/>
                <w:szCs w:val="19"/>
                <w:color w:val="auto"/>
                <w:w w:val="94"/>
              </w:rPr>
              <w:t>(1,277,275)</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9"/>
                <w:szCs w:val="19"/>
                <w:color w:val="auto"/>
                <w:w w:val="97"/>
              </w:rPr>
              <w:t>0.09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60" w:type="dxa"/>
            <w:vAlign w:val="bottom"/>
            <w:gridSpan w:val="2"/>
          </w:tcPr>
          <w:p>
            <w:pPr>
              <w:ind w:left="380"/>
              <w:spacing w:after="0"/>
              <w:rPr>
                <w:sz w:val="20"/>
                <w:szCs w:val="20"/>
                <w:color w:val="auto"/>
              </w:rPr>
            </w:pPr>
            <w:r>
              <w:rPr>
                <w:rFonts w:ascii="Arial" w:cs="Arial" w:eastAsia="Arial" w:hAnsi="Arial"/>
                <w:sz w:val="19"/>
                <w:szCs w:val="19"/>
                <w:color w:val="auto"/>
              </w:rPr>
              <w:t>Exchange of unvested restricted units for restricted common stock upon the Conversion</w:t>
            </w:r>
          </w:p>
        </w:tc>
        <w:tc>
          <w:tcPr>
            <w:tcW w:w="1640" w:type="dxa"/>
            <w:vAlign w:val="bottom"/>
            <w:gridSpan w:val="2"/>
          </w:tcPr>
          <w:p>
            <w:pPr>
              <w:jc w:val="right"/>
              <w:ind w:right="700"/>
              <w:spacing w:after="0"/>
              <w:rPr>
                <w:sz w:val="20"/>
                <w:szCs w:val="20"/>
                <w:color w:val="auto"/>
              </w:rPr>
            </w:pPr>
            <w:r>
              <w:rPr>
                <w:rFonts w:ascii="Arial" w:cs="Arial" w:eastAsia="Arial" w:hAnsi="Arial"/>
                <w:sz w:val="19"/>
                <w:szCs w:val="19"/>
                <w:color w:val="auto"/>
              </w:rPr>
              <w:t>(202,924)</w:t>
            </w:r>
          </w:p>
        </w:tc>
        <w:tc>
          <w:tcPr>
            <w:tcW w:w="100" w:type="dxa"/>
            <w:vAlign w:val="bottom"/>
          </w:tcPr>
          <w:p>
            <w:pPr>
              <w:spacing w:after="0"/>
              <w:rPr>
                <w:sz w:val="20"/>
                <w:szCs w:val="20"/>
                <w:color w:val="auto"/>
              </w:rPr>
            </w:pPr>
          </w:p>
        </w:tc>
        <w:tc>
          <w:tcPr>
            <w:tcW w:w="580" w:type="dxa"/>
            <w:vAlign w:val="bottom"/>
            <w:gridSpan w:val="2"/>
          </w:tcPr>
          <w:p>
            <w:pPr>
              <w:ind w:left="200"/>
              <w:spacing w:after="0"/>
              <w:rPr>
                <w:sz w:val="20"/>
                <w:szCs w:val="20"/>
                <w:color w:val="auto"/>
              </w:rPr>
            </w:pPr>
            <w:r>
              <w:rPr>
                <w:rFonts w:ascii="Arial" w:cs="Arial" w:eastAsia="Arial" w:hAnsi="Arial"/>
                <w:sz w:val="19"/>
                <w:szCs w:val="19"/>
                <w:color w:val="auto"/>
                <w:w w:val="97"/>
              </w:rPr>
              <w:t>1.33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Unvested restricted units as of December 31, 2017</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8380" w:type="dxa"/>
            <w:vAlign w:val="bottom"/>
            <w:gridSpan w:val="3"/>
            <w:vMerge w:val="restart"/>
          </w:tcPr>
          <w:p>
            <w:pPr>
              <w:spacing w:after="0"/>
              <w:rPr>
                <w:sz w:val="20"/>
                <w:szCs w:val="20"/>
                <w:color w:val="auto"/>
              </w:rPr>
            </w:pPr>
            <w:r>
              <w:rPr>
                <w:rFonts w:ascii="Arial" w:cs="Arial" w:eastAsia="Arial" w:hAnsi="Arial"/>
                <w:sz w:val="19"/>
                <w:szCs w:val="19"/>
                <w:color w:val="auto"/>
              </w:rPr>
              <w:t>Activity for the restricted common stock is shown below:</w:t>
            </w: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8380" w:type="dxa"/>
            <w:vAlign w:val="bottom"/>
            <w:gridSpan w:val="3"/>
            <w:vMerge w:val="continue"/>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5"/>
                <w:szCs w:val="15"/>
                <w:b w:val="1"/>
                <w:bCs w:val="1"/>
                <w:color w:val="auto"/>
                <w:w w:val="91"/>
              </w:rPr>
              <w:t>Weighted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gridSpan w:val="3"/>
          </w:tcPr>
          <w:p>
            <w:pPr>
              <w:jc w:val="center"/>
              <w:ind w:right="40"/>
              <w:spacing w:after="0" w:line="157" w:lineRule="exact"/>
              <w:rPr>
                <w:sz w:val="20"/>
                <w:szCs w:val="20"/>
                <w:color w:val="auto"/>
              </w:rPr>
            </w:pPr>
            <w:r>
              <w:rPr>
                <w:rFonts w:ascii="Arial" w:cs="Arial" w:eastAsia="Arial" w:hAnsi="Arial"/>
                <w:sz w:val="15"/>
                <w:szCs w:val="15"/>
                <w:b w:val="1"/>
                <w:bCs w:val="1"/>
                <w:color w:val="auto"/>
                <w:w w:val="87"/>
              </w:rPr>
              <w:t>Average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center"/>
              <w:ind w:right="140"/>
              <w:spacing w:after="0" w:line="157" w:lineRule="exact"/>
              <w:rPr>
                <w:sz w:val="20"/>
                <w:szCs w:val="20"/>
                <w:color w:val="auto"/>
              </w:rPr>
            </w:pPr>
            <w:r>
              <w:rPr>
                <w:rFonts w:ascii="Arial" w:cs="Arial" w:eastAsia="Arial" w:hAnsi="Arial"/>
                <w:sz w:val="15"/>
                <w:szCs w:val="15"/>
                <w:b w:val="1"/>
                <w:bCs w:val="1"/>
                <w:color w:val="auto"/>
                <w:w w:val="99"/>
              </w:rPr>
              <w:t>Grant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gridSpan w:val="3"/>
          </w:tcPr>
          <w:p>
            <w:pPr>
              <w:jc w:val="center"/>
              <w:ind w:right="60"/>
              <w:spacing w:after="0" w:line="157" w:lineRule="exact"/>
              <w:rPr>
                <w:sz w:val="20"/>
                <w:szCs w:val="20"/>
                <w:color w:val="auto"/>
              </w:rPr>
            </w:pPr>
            <w:r>
              <w:rPr>
                <w:rFonts w:ascii="Arial" w:cs="Arial" w:eastAsia="Arial" w:hAnsi="Arial"/>
                <w:sz w:val="15"/>
                <w:szCs w:val="15"/>
                <w:b w:val="1"/>
                <w:bCs w:val="1"/>
                <w:color w:val="auto"/>
                <w:w w:val="96"/>
              </w:rPr>
              <w:t>Date Fair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2"/>
          </w:tcPr>
          <w:p>
            <w:pPr>
              <w:jc w:val="right"/>
              <w:ind w:right="880"/>
              <w:spacing w:after="0" w:line="157" w:lineRule="exact"/>
              <w:rPr>
                <w:sz w:val="20"/>
                <w:szCs w:val="20"/>
                <w:color w:val="auto"/>
              </w:rPr>
            </w:pPr>
            <w:r>
              <w:rPr>
                <w:rFonts w:ascii="Arial" w:cs="Arial" w:eastAsia="Arial" w:hAnsi="Arial"/>
                <w:sz w:val="15"/>
                <w:szCs w:val="15"/>
                <w:b w:val="1"/>
                <w:bCs w:val="1"/>
                <w:color w:val="auto"/>
                <w:w w:val="98"/>
              </w:rPr>
              <w:t>Number of</w:t>
            </w:r>
          </w:p>
        </w:tc>
        <w:tc>
          <w:tcPr>
            <w:tcW w:w="680" w:type="dxa"/>
            <w:vAlign w:val="bottom"/>
            <w:gridSpan w:val="3"/>
          </w:tcPr>
          <w:p>
            <w:pPr>
              <w:jc w:val="center"/>
              <w:ind w:right="60"/>
              <w:spacing w:after="0" w:line="157" w:lineRule="exact"/>
              <w:rPr>
                <w:sz w:val="20"/>
                <w:szCs w:val="20"/>
                <w:color w:val="auto"/>
              </w:rPr>
            </w:pPr>
            <w:r>
              <w:rPr>
                <w:rFonts w:ascii="Arial" w:cs="Arial" w:eastAsia="Arial" w:hAnsi="Arial"/>
                <w:sz w:val="15"/>
                <w:szCs w:val="15"/>
                <w:b w:val="1"/>
                <w:bCs w:val="1"/>
                <w:color w:val="auto"/>
                <w:w w:val="91"/>
              </w:rPr>
              <w:t>Value per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5"/>
                <w:szCs w:val="15"/>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1"/>
              </w:rPr>
              <w:t>Share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Unvested restricted common stock as of December 31, 2016</w:t>
            </w:r>
          </w:p>
        </w:tc>
        <w:tc>
          <w:tcPr>
            <w:tcW w:w="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right w:val="single" w:sz="8" w:color="CCEEFF"/>
            </w:tcBorders>
            <w:shd w:val="clear" w:color="auto" w:fill="CCEEFF"/>
          </w:tcPr>
          <w:p>
            <w:pPr>
              <w:jc w:val="right"/>
              <w:ind w:right="69"/>
              <w:spacing w:after="0"/>
              <w:rPr>
                <w:sz w:val="20"/>
                <w:szCs w:val="20"/>
                <w:color w:val="auto"/>
              </w:rPr>
            </w:pPr>
            <w:r>
              <w:rPr>
                <w:rFonts w:ascii="Arial" w:cs="Arial" w:eastAsia="Arial" w:hAnsi="Arial"/>
                <w:sz w:val="19"/>
                <w:szCs w:val="19"/>
                <w:color w:val="auto"/>
              </w:rPr>
              <w:t>—</w:t>
            </w:r>
          </w:p>
        </w:tc>
        <w:tc>
          <w:tcPr>
            <w:tcW w:w="7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9"/>
                <w:szCs w:val="19"/>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60" w:type="dxa"/>
            <w:vAlign w:val="bottom"/>
            <w:gridSpan w:val="2"/>
          </w:tcPr>
          <w:p>
            <w:pPr>
              <w:ind w:left="380"/>
              <w:spacing w:after="0"/>
              <w:rPr>
                <w:sz w:val="20"/>
                <w:szCs w:val="20"/>
                <w:color w:val="auto"/>
              </w:rPr>
            </w:pPr>
            <w:r>
              <w:rPr>
                <w:rFonts w:ascii="Arial" w:cs="Arial" w:eastAsia="Arial" w:hAnsi="Arial"/>
                <w:sz w:val="19"/>
                <w:szCs w:val="19"/>
                <w:color w:val="auto"/>
              </w:rPr>
              <w:t>Exchange of unvested profit interest units for restricted common stock upon the Conversion</w:t>
            </w:r>
          </w:p>
        </w:tc>
        <w:tc>
          <w:tcPr>
            <w:tcW w:w="880" w:type="dxa"/>
            <w:vAlign w:val="bottom"/>
          </w:tcPr>
          <w:p>
            <w:pPr>
              <w:jc w:val="right"/>
              <w:spacing w:after="0"/>
              <w:rPr>
                <w:sz w:val="20"/>
                <w:szCs w:val="20"/>
                <w:color w:val="auto"/>
              </w:rPr>
            </w:pPr>
            <w:r>
              <w:rPr>
                <w:rFonts w:ascii="Arial" w:cs="Arial" w:eastAsia="Arial" w:hAnsi="Arial"/>
                <w:sz w:val="19"/>
                <w:szCs w:val="19"/>
                <w:color w:val="auto"/>
                <w:w w:val="94"/>
              </w:rPr>
              <w:t>3,165,350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ind w:left="200"/>
              <w:spacing w:after="0"/>
              <w:rPr>
                <w:sz w:val="20"/>
                <w:szCs w:val="20"/>
                <w:color w:val="auto"/>
              </w:rPr>
            </w:pPr>
            <w:r>
              <w:rPr>
                <w:rFonts w:ascii="Arial" w:cs="Arial" w:eastAsia="Arial" w:hAnsi="Arial"/>
                <w:sz w:val="19"/>
                <w:szCs w:val="19"/>
                <w:color w:val="auto"/>
                <w:w w:val="97"/>
              </w:rPr>
              <w:t>6.95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60" w:type="dxa"/>
            <w:vAlign w:val="bottom"/>
            <w:gridSpan w:val="2"/>
            <w:shd w:val="clear" w:color="auto" w:fill="CCEEFF"/>
          </w:tcPr>
          <w:p>
            <w:pPr>
              <w:ind w:left="380"/>
              <w:spacing w:after="0"/>
              <w:rPr>
                <w:sz w:val="20"/>
                <w:szCs w:val="20"/>
                <w:color w:val="auto"/>
              </w:rPr>
            </w:pPr>
            <w:r>
              <w:rPr>
                <w:rFonts w:ascii="Arial" w:cs="Arial" w:eastAsia="Arial" w:hAnsi="Arial"/>
                <w:sz w:val="19"/>
                <w:szCs w:val="19"/>
                <w:color w:val="auto"/>
              </w:rPr>
              <w:t>Exchange of unvested restricted units for restricted common stock upon the Conversion</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202,924</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9"/>
                <w:szCs w:val="19"/>
                <w:color w:val="auto"/>
                <w:w w:val="97"/>
              </w:rPr>
              <w:t>6.95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60" w:type="dxa"/>
            <w:vAlign w:val="bottom"/>
            <w:gridSpan w:val="2"/>
          </w:tcPr>
          <w:p>
            <w:pPr>
              <w:ind w:left="380"/>
              <w:spacing w:after="0"/>
              <w:rPr>
                <w:sz w:val="20"/>
                <w:szCs w:val="20"/>
                <w:color w:val="auto"/>
              </w:rPr>
            </w:pPr>
            <w:r>
              <w:rPr>
                <w:rFonts w:ascii="Arial" w:cs="Arial" w:eastAsia="Arial" w:hAnsi="Arial"/>
                <w:sz w:val="19"/>
                <w:szCs w:val="19"/>
                <w:color w:val="auto"/>
              </w:rPr>
              <w:t>Vested</w:t>
            </w:r>
          </w:p>
        </w:tc>
        <w:tc>
          <w:tcPr>
            <w:tcW w:w="880" w:type="dxa"/>
            <w:vAlign w:val="bottom"/>
          </w:tcPr>
          <w:p>
            <w:pPr>
              <w:jc w:val="right"/>
              <w:spacing w:after="0"/>
              <w:rPr>
                <w:sz w:val="20"/>
                <w:szCs w:val="20"/>
                <w:color w:val="auto"/>
              </w:rPr>
            </w:pPr>
            <w:r>
              <w:rPr>
                <w:rFonts w:ascii="Arial" w:cs="Arial" w:eastAsia="Arial" w:hAnsi="Arial"/>
                <w:sz w:val="19"/>
                <w:szCs w:val="19"/>
                <w:color w:val="auto"/>
              </w:rPr>
              <w:t>(170,227)</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ind w:left="200"/>
              <w:spacing w:after="0"/>
              <w:rPr>
                <w:sz w:val="20"/>
                <w:szCs w:val="20"/>
                <w:color w:val="auto"/>
              </w:rPr>
            </w:pPr>
            <w:r>
              <w:rPr>
                <w:rFonts w:ascii="Arial" w:cs="Arial" w:eastAsia="Arial" w:hAnsi="Arial"/>
                <w:sz w:val="19"/>
                <w:szCs w:val="19"/>
                <w:color w:val="auto"/>
                <w:w w:val="97"/>
              </w:rPr>
              <w:t>6.95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40" w:type="dxa"/>
            <w:vAlign w:val="bottom"/>
            <w:shd w:val="clear" w:color="auto" w:fill="CCEEFF"/>
          </w:tcPr>
          <w:p>
            <w:pPr>
              <w:ind w:left="380"/>
              <w:spacing w:after="0"/>
              <w:rPr>
                <w:sz w:val="20"/>
                <w:szCs w:val="20"/>
                <w:color w:val="auto"/>
              </w:rPr>
            </w:pPr>
            <w:r>
              <w:rPr>
                <w:rFonts w:ascii="Arial" w:cs="Arial" w:eastAsia="Arial" w:hAnsi="Arial"/>
                <w:sz w:val="19"/>
                <w:szCs w:val="19"/>
                <w:color w:val="auto"/>
              </w:rPr>
              <w:t>Cancelled/forfeited</w:t>
            </w:r>
          </w:p>
        </w:tc>
        <w:tc>
          <w:tcPr>
            <w:tcW w:w="2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(49,234)</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9"/>
                <w:szCs w:val="19"/>
                <w:color w:val="auto"/>
                <w:w w:val="97"/>
              </w:rPr>
              <w:t>6.95</w:t>
            </w:r>
          </w:p>
        </w:tc>
        <w:tc>
          <w:tcPr>
            <w:tcW w:w="0" w:type="dxa"/>
            <w:vAlign w:val="bottom"/>
          </w:tcPr>
          <w:p>
            <w:pPr>
              <w:spacing w:after="0"/>
              <w:rPr>
                <w:sz w:val="1"/>
                <w:szCs w:val="1"/>
                <w:color w:val="auto"/>
              </w:rPr>
            </w:pPr>
          </w:p>
        </w:tc>
      </w:tr>
      <w:tr>
        <w:trPr>
          <w:trHeight w:val="236"/>
        </w:trPr>
        <w:tc>
          <w:tcPr>
            <w:tcW w:w="8360" w:type="dxa"/>
            <w:vAlign w:val="bottom"/>
            <w:gridSpan w:val="2"/>
          </w:tcPr>
          <w:p>
            <w:pPr>
              <w:ind w:left="20"/>
              <w:spacing w:after="0"/>
              <w:rPr>
                <w:sz w:val="20"/>
                <w:szCs w:val="20"/>
                <w:color w:val="auto"/>
              </w:rPr>
            </w:pPr>
            <w:r>
              <w:rPr>
                <w:rFonts w:ascii="Arial" w:cs="Arial" w:eastAsia="Arial" w:hAnsi="Arial"/>
                <w:sz w:val="19"/>
                <w:szCs w:val="19"/>
                <w:color w:val="auto"/>
              </w:rPr>
              <w:t>Unvested restricted common stock as of December 31, 2017</w:t>
            </w:r>
          </w:p>
        </w:tc>
        <w:tc>
          <w:tcPr>
            <w:tcW w:w="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94"/>
              </w:rPr>
              <w:t>3,148,813</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ind w:left="200"/>
              <w:spacing w:after="0"/>
              <w:rPr>
                <w:sz w:val="20"/>
                <w:szCs w:val="20"/>
                <w:color w:val="auto"/>
              </w:rPr>
            </w:pPr>
            <w:r>
              <w:rPr>
                <w:rFonts w:ascii="Arial" w:cs="Arial" w:eastAsia="Arial" w:hAnsi="Arial"/>
                <w:sz w:val="19"/>
                <w:szCs w:val="19"/>
                <w:color w:val="auto"/>
                <w:w w:val="97"/>
              </w:rPr>
              <w:t>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spacing w:after="0" w:line="287" w:lineRule="auto"/>
        <w:rPr>
          <w:sz w:val="20"/>
          <w:szCs w:val="20"/>
          <w:color w:val="auto"/>
        </w:rPr>
      </w:pPr>
      <w:r>
        <w:rPr>
          <w:rFonts w:ascii="Arial" w:cs="Arial" w:eastAsia="Arial" w:hAnsi="Arial"/>
          <w:sz w:val="17"/>
          <w:szCs w:val="17"/>
          <w:color w:val="auto"/>
        </w:rPr>
        <w:t>In the Conversion, the profit interest units and restricted units were cancelled and replaced with replacement awards. The profit interest units were replaced on a net issuance basis and the restricted units were replaced on a 1-for-1 basis. Unvested units were replaced with restricted common stock and vested units were replaced with common stock. The grant date fair value of the replacement awards was determined to be the fair value of the common stock on the date of the Conversion. Any incremental value of the replacement award, as compared to the original award, is recognized as compensation expense. As part of the Conversion, there was an incremental $0.3 million of stock-based compensation resulting from the modification, of which $0.1 million was recognized in 2017 upon the exchange for the vested awards and $0.2 million will be recognized over the remaining vesting period for the shares that remain, subject to vesting requirements. The Company calculated the incremental expense by comparing the fair value of the profit interest units directly prior to the Conversion to the fair value of the restricted common stock directly after the Conversion. The Company’s outstanding common stock, as presented, includes shares which are subject to repurchase.</w:t>
      </w:r>
    </w:p>
    <w:p>
      <w:pPr>
        <w:spacing w:after="0" w:line="64" w:lineRule="exact"/>
        <w:rPr>
          <w:sz w:val="20"/>
          <w:szCs w:val="20"/>
          <w:color w:val="auto"/>
        </w:rPr>
      </w:pPr>
    </w:p>
    <w:p>
      <w:pPr>
        <w:ind w:left="640" w:right="660"/>
        <w:spacing w:after="0" w:line="284" w:lineRule="auto"/>
        <w:rPr>
          <w:sz w:val="20"/>
          <w:szCs w:val="20"/>
          <w:color w:val="auto"/>
        </w:rPr>
      </w:pPr>
      <w:r>
        <w:rPr>
          <w:rFonts w:ascii="Arial" w:cs="Arial" w:eastAsia="Arial" w:hAnsi="Arial"/>
          <w:sz w:val="18"/>
          <w:szCs w:val="18"/>
          <w:color w:val="auto"/>
        </w:rPr>
        <w:t>The fair value of shares vested during the year ended December 31, 2016 and 2017, was $4.1 million and $9.1 million, respectively. As of December 31, 2017, total unrecognized stock-based compensation related to unvested restricted common stock issued to employees was $12.6 million, which the Company expects to recognize over a remaining weighted-average period of 3.4 years.</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F-20</w:t>
      </w:r>
    </w:p>
    <w:p>
      <w:pPr>
        <w:sectPr>
          <w:pgSz w:w="12240" w:h="15840" w:orient="portrait"/>
          <w:cols w:equalWidth="0" w:num="1">
            <w:col w:w="11800"/>
          </w:cols>
          <w:pgMar w:left="120" w:top="336" w:right="320" w:bottom="1440" w:gutter="0" w:footer="0" w:header="0"/>
        </w:sectPr>
      </w:pPr>
    </w:p>
    <w:bookmarkStart w:id="211" w:name="page212"/>
    <w:bookmarkEnd w:id="21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2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2017 Stock Option and Grant Plan</w:t>
      </w:r>
    </w:p>
    <w:p>
      <w:pPr>
        <w:spacing w:after="0" w:line="124" w:lineRule="exact"/>
        <w:rPr>
          <w:sz w:val="20"/>
          <w:szCs w:val="20"/>
          <w:color w:val="auto"/>
        </w:rPr>
      </w:pPr>
    </w:p>
    <w:p>
      <w:pPr>
        <w:ind w:left="640"/>
        <w:spacing w:after="0" w:line="254" w:lineRule="auto"/>
        <w:rPr>
          <w:sz w:val="20"/>
          <w:szCs w:val="20"/>
          <w:color w:val="auto"/>
        </w:rPr>
      </w:pPr>
      <w:r>
        <w:rPr>
          <w:rFonts w:ascii="Arial" w:cs="Arial" w:eastAsia="Arial" w:hAnsi="Arial"/>
          <w:sz w:val="19"/>
          <w:szCs w:val="19"/>
          <w:color w:val="auto"/>
        </w:rPr>
        <w:t>On October 13, 2017, the Company adopted the 2017 Plan under which the Board may issue stock options, restricted stock awards, unrestricted stock awards, and restricted stock units to employees, directors, and consultants. The board of directors has the authority to determine to whom options or stock will be granted, the number of shares, the term, and the exercise price. If an individual owns stock representing 10% or more of the outstanding shares, the price of each share shall be at least 110% of the fair market value. Options granted under the 2017 Plan have a term of up to ten years and generally vest over a four-year period with straight-line vesting and a 25% one-year cliff. As of December 31, 2017, the Company had reserved 5,275,666 shares of common stock for issuance under the 2017 Plan, of which 1,526,734 shares were available for issuance.</w:t>
      </w:r>
    </w:p>
    <w:p>
      <w:pPr>
        <w:spacing w:after="0" w:line="9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Activity for the options to purchase common stock shown below:</w:t>
      </w:r>
    </w:p>
    <w:p>
      <w:pPr>
        <w:spacing w:after="0" w:line="242" w:lineRule="exact"/>
        <w:rPr>
          <w:sz w:val="20"/>
          <w:szCs w:val="20"/>
          <w:color w:val="auto"/>
        </w:rPr>
      </w:pPr>
    </w:p>
    <w:tbl>
      <w:tblPr>
        <w:tblLayout w:type="fixed"/>
        <w:tblInd w:w="6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gridSpan w:val="3"/>
          </w:tcPr>
          <w:p>
            <w:pPr>
              <w:jc w:val="center"/>
              <w:ind w:right="640"/>
              <w:spacing w:after="0"/>
              <w:rPr>
                <w:sz w:val="20"/>
                <w:szCs w:val="20"/>
                <w:color w:val="auto"/>
              </w:rPr>
            </w:pPr>
            <w:r>
              <w:rPr>
                <w:rFonts w:ascii="Arial" w:cs="Arial" w:eastAsia="Arial" w:hAnsi="Arial"/>
                <w:sz w:val="15"/>
                <w:szCs w:val="15"/>
                <w:b w:val="1"/>
                <w:bCs w:val="1"/>
                <w:color w:val="auto"/>
                <w:w w:val="91"/>
              </w:rPr>
              <w:t>Weighted</w:t>
            </w:r>
          </w:p>
        </w:tc>
        <w:tc>
          <w:tcPr>
            <w:tcW w:w="1320" w:type="dxa"/>
            <w:vAlign w:val="bottom"/>
            <w:gridSpan w:val="2"/>
          </w:tcPr>
          <w:p>
            <w:pPr>
              <w:jc w:val="center"/>
              <w:ind w:right="540"/>
              <w:spacing w:after="0"/>
              <w:rPr>
                <w:sz w:val="20"/>
                <w:szCs w:val="20"/>
                <w:color w:val="auto"/>
              </w:rPr>
            </w:pPr>
            <w:r>
              <w:rPr>
                <w:rFonts w:ascii="Arial" w:cs="Arial" w:eastAsia="Arial" w:hAnsi="Arial"/>
                <w:sz w:val="15"/>
                <w:szCs w:val="15"/>
                <w:b w:val="1"/>
                <w:bCs w:val="1"/>
                <w:color w:val="auto"/>
                <w:w w:val="91"/>
              </w:rPr>
              <w:t>Weighted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60" w:type="dxa"/>
            <w:vAlign w:val="bottom"/>
            <w:gridSpan w:val="3"/>
          </w:tcPr>
          <w:p>
            <w:pPr>
              <w:jc w:val="center"/>
              <w:ind w:right="640"/>
              <w:spacing w:after="0" w:line="157" w:lineRule="exact"/>
              <w:rPr>
                <w:sz w:val="20"/>
                <w:szCs w:val="20"/>
                <w:color w:val="auto"/>
              </w:rPr>
            </w:pPr>
            <w:r>
              <w:rPr>
                <w:rFonts w:ascii="Arial" w:cs="Arial" w:eastAsia="Arial" w:hAnsi="Arial"/>
                <w:sz w:val="15"/>
                <w:szCs w:val="15"/>
                <w:b w:val="1"/>
                <w:bCs w:val="1"/>
                <w:color w:val="auto"/>
                <w:w w:val="91"/>
              </w:rPr>
              <w:t>Average</w:t>
            </w:r>
          </w:p>
        </w:tc>
        <w:tc>
          <w:tcPr>
            <w:tcW w:w="1320" w:type="dxa"/>
            <w:vAlign w:val="bottom"/>
            <w:gridSpan w:val="2"/>
          </w:tcPr>
          <w:p>
            <w:pPr>
              <w:jc w:val="center"/>
              <w:ind w:right="540"/>
              <w:spacing w:after="0" w:line="157" w:lineRule="exact"/>
              <w:rPr>
                <w:sz w:val="20"/>
                <w:szCs w:val="20"/>
                <w:color w:val="auto"/>
              </w:rPr>
            </w:pPr>
            <w:r>
              <w:rPr>
                <w:rFonts w:ascii="Arial" w:cs="Arial" w:eastAsia="Arial" w:hAnsi="Arial"/>
                <w:sz w:val="15"/>
                <w:szCs w:val="15"/>
                <w:b w:val="1"/>
                <w:bCs w:val="1"/>
                <w:color w:val="auto"/>
                <w:w w:val="91"/>
              </w:rPr>
              <w:t>Average</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220" w:type="dxa"/>
            <w:vAlign w:val="bottom"/>
            <w:gridSpan w:val="2"/>
          </w:tcPr>
          <w:p>
            <w:pPr>
              <w:jc w:val="center"/>
              <w:ind w:right="640"/>
              <w:spacing w:after="0" w:line="157" w:lineRule="exact"/>
              <w:rPr>
                <w:sz w:val="20"/>
                <w:szCs w:val="20"/>
                <w:color w:val="auto"/>
              </w:rPr>
            </w:pPr>
            <w:r>
              <w:rPr>
                <w:rFonts w:ascii="Arial" w:cs="Arial" w:eastAsia="Arial" w:hAnsi="Arial"/>
                <w:sz w:val="15"/>
                <w:szCs w:val="15"/>
                <w:b w:val="1"/>
                <w:bCs w:val="1"/>
                <w:color w:val="auto"/>
                <w:w w:val="95"/>
              </w:rPr>
              <w:t>Number</w:t>
            </w:r>
          </w:p>
        </w:tc>
        <w:tc>
          <w:tcPr>
            <w:tcW w:w="1260" w:type="dxa"/>
            <w:vAlign w:val="bottom"/>
            <w:gridSpan w:val="3"/>
          </w:tcPr>
          <w:p>
            <w:pPr>
              <w:jc w:val="center"/>
              <w:ind w:right="640"/>
              <w:spacing w:after="0" w:line="157" w:lineRule="exact"/>
              <w:rPr>
                <w:sz w:val="20"/>
                <w:szCs w:val="20"/>
                <w:color w:val="auto"/>
              </w:rPr>
            </w:pPr>
            <w:r>
              <w:rPr>
                <w:rFonts w:ascii="Arial" w:cs="Arial" w:eastAsia="Arial" w:hAnsi="Arial"/>
                <w:sz w:val="15"/>
                <w:szCs w:val="15"/>
                <w:b w:val="1"/>
                <w:bCs w:val="1"/>
                <w:color w:val="auto"/>
                <w:w w:val="87"/>
              </w:rPr>
              <w:t>Exercise</w:t>
            </w:r>
          </w:p>
        </w:tc>
        <w:tc>
          <w:tcPr>
            <w:tcW w:w="1320" w:type="dxa"/>
            <w:vAlign w:val="bottom"/>
            <w:gridSpan w:val="2"/>
          </w:tcPr>
          <w:p>
            <w:pPr>
              <w:jc w:val="center"/>
              <w:ind w:right="540"/>
              <w:spacing w:after="0" w:line="157" w:lineRule="exact"/>
              <w:rPr>
                <w:sz w:val="20"/>
                <w:szCs w:val="20"/>
                <w:color w:val="auto"/>
              </w:rPr>
            </w:pPr>
            <w:r>
              <w:rPr>
                <w:rFonts w:ascii="Arial" w:cs="Arial" w:eastAsia="Arial" w:hAnsi="Arial"/>
                <w:sz w:val="15"/>
                <w:szCs w:val="15"/>
                <w:b w:val="1"/>
                <w:bCs w:val="1"/>
                <w:color w:val="auto"/>
                <w:w w:val="91"/>
              </w:rPr>
              <w:t>Remaining</w:t>
            </w:r>
          </w:p>
        </w:tc>
        <w:tc>
          <w:tcPr>
            <w:tcW w:w="72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w w:val="94"/>
              </w:rPr>
              <w:t>Aggregate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220" w:type="dxa"/>
            <w:vAlign w:val="bottom"/>
            <w:gridSpan w:val="2"/>
          </w:tcPr>
          <w:p>
            <w:pPr>
              <w:jc w:val="center"/>
              <w:ind w:right="620"/>
              <w:spacing w:after="0" w:line="157" w:lineRule="exact"/>
              <w:rPr>
                <w:sz w:val="20"/>
                <w:szCs w:val="20"/>
                <w:color w:val="auto"/>
              </w:rPr>
            </w:pPr>
            <w:r>
              <w:rPr>
                <w:rFonts w:ascii="Arial" w:cs="Arial" w:eastAsia="Arial" w:hAnsi="Arial"/>
                <w:sz w:val="15"/>
                <w:szCs w:val="15"/>
                <w:b w:val="1"/>
                <w:bCs w:val="1"/>
                <w:color w:val="auto"/>
                <w:w w:val="84"/>
              </w:rPr>
              <w:t>of</w:t>
            </w:r>
          </w:p>
        </w:tc>
        <w:tc>
          <w:tcPr>
            <w:tcW w:w="1260" w:type="dxa"/>
            <w:vAlign w:val="bottom"/>
            <w:gridSpan w:val="3"/>
          </w:tcPr>
          <w:p>
            <w:pPr>
              <w:jc w:val="center"/>
              <w:ind w:right="640"/>
              <w:spacing w:after="0" w:line="157" w:lineRule="exact"/>
              <w:rPr>
                <w:sz w:val="20"/>
                <w:szCs w:val="20"/>
                <w:color w:val="auto"/>
              </w:rPr>
            </w:pPr>
            <w:r>
              <w:rPr>
                <w:rFonts w:ascii="Arial" w:cs="Arial" w:eastAsia="Arial" w:hAnsi="Arial"/>
                <w:sz w:val="15"/>
                <w:szCs w:val="15"/>
                <w:b w:val="1"/>
                <w:bCs w:val="1"/>
                <w:color w:val="auto"/>
                <w:w w:val="95"/>
              </w:rPr>
              <w:t>Price Per</w:t>
            </w:r>
          </w:p>
        </w:tc>
        <w:tc>
          <w:tcPr>
            <w:tcW w:w="1320" w:type="dxa"/>
            <w:vAlign w:val="bottom"/>
            <w:gridSpan w:val="2"/>
          </w:tcPr>
          <w:p>
            <w:pPr>
              <w:jc w:val="center"/>
              <w:ind w:right="540"/>
              <w:spacing w:after="0" w:line="157" w:lineRule="exact"/>
              <w:rPr>
                <w:sz w:val="20"/>
                <w:szCs w:val="20"/>
                <w:color w:val="auto"/>
              </w:rPr>
            </w:pPr>
            <w:r>
              <w:rPr>
                <w:rFonts w:ascii="Arial" w:cs="Arial" w:eastAsia="Arial" w:hAnsi="Arial"/>
                <w:sz w:val="15"/>
                <w:szCs w:val="15"/>
                <w:b w:val="1"/>
                <w:bCs w:val="1"/>
                <w:color w:val="auto"/>
                <w:w w:val="93"/>
              </w:rPr>
              <w:t>Contractual</w:t>
            </w:r>
          </w:p>
        </w:tc>
        <w:tc>
          <w:tcPr>
            <w:tcW w:w="720" w:type="dxa"/>
            <w:vAlign w:val="bottom"/>
            <w:gridSpan w:val="3"/>
          </w:tcPr>
          <w:p>
            <w:pPr>
              <w:ind w:left="60"/>
              <w:spacing w:after="0" w:line="157" w:lineRule="exact"/>
              <w:rPr>
                <w:sz w:val="20"/>
                <w:szCs w:val="20"/>
                <w:color w:val="auto"/>
              </w:rPr>
            </w:pPr>
            <w:r>
              <w:rPr>
                <w:rFonts w:ascii="Arial" w:cs="Arial" w:eastAsia="Arial" w:hAnsi="Arial"/>
                <w:sz w:val="15"/>
                <w:szCs w:val="15"/>
                <w:b w:val="1"/>
                <w:bCs w:val="1"/>
                <w:color w:val="auto"/>
              </w:rPr>
              <w:t>Intrinsic</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220" w:type="dxa"/>
            <w:vAlign w:val="bottom"/>
            <w:gridSpan w:val="2"/>
          </w:tcPr>
          <w:p>
            <w:pPr>
              <w:jc w:val="center"/>
              <w:ind w:right="620"/>
              <w:spacing w:after="0"/>
              <w:rPr>
                <w:sz w:val="20"/>
                <w:szCs w:val="20"/>
                <w:color w:val="auto"/>
              </w:rPr>
            </w:pPr>
            <w:r>
              <w:rPr>
                <w:rFonts w:ascii="Arial" w:cs="Arial" w:eastAsia="Arial" w:hAnsi="Arial"/>
                <w:sz w:val="15"/>
                <w:szCs w:val="15"/>
                <w:b w:val="1"/>
                <w:bCs w:val="1"/>
                <w:color w:val="auto"/>
                <w:w w:val="91"/>
              </w:rPr>
              <w:t>Options</w:t>
            </w:r>
          </w:p>
        </w:tc>
        <w:tc>
          <w:tcPr>
            <w:tcW w:w="100" w:type="dxa"/>
            <w:vAlign w:val="bottom"/>
          </w:tcPr>
          <w:p>
            <w:pPr>
              <w:spacing w:after="0"/>
              <w:rPr>
                <w:sz w:val="15"/>
                <w:szCs w:val="15"/>
                <w:color w:val="auto"/>
              </w:rPr>
            </w:pPr>
          </w:p>
        </w:tc>
        <w:tc>
          <w:tcPr>
            <w:tcW w:w="1160" w:type="dxa"/>
            <w:vAlign w:val="bottom"/>
            <w:gridSpan w:val="2"/>
          </w:tcPr>
          <w:p>
            <w:pPr>
              <w:jc w:val="center"/>
              <w:ind w:right="740"/>
              <w:spacing w:after="0"/>
              <w:rPr>
                <w:sz w:val="20"/>
                <w:szCs w:val="20"/>
                <w:color w:val="auto"/>
              </w:rPr>
            </w:pPr>
            <w:r>
              <w:rPr>
                <w:rFonts w:ascii="Arial" w:cs="Arial" w:eastAsia="Arial" w:hAnsi="Arial"/>
                <w:sz w:val="15"/>
                <w:szCs w:val="15"/>
                <w:b w:val="1"/>
                <w:bCs w:val="1"/>
                <w:color w:val="auto"/>
                <w:w w:val="91"/>
              </w:rPr>
              <w:t>Share</w:t>
            </w:r>
          </w:p>
        </w:tc>
        <w:tc>
          <w:tcPr>
            <w:tcW w:w="1320" w:type="dxa"/>
            <w:vAlign w:val="bottom"/>
            <w:gridSpan w:val="2"/>
          </w:tcPr>
          <w:p>
            <w:pPr>
              <w:jc w:val="center"/>
              <w:ind w:right="540"/>
              <w:spacing w:after="0"/>
              <w:rPr>
                <w:sz w:val="20"/>
                <w:szCs w:val="20"/>
                <w:color w:val="auto"/>
              </w:rPr>
            </w:pPr>
            <w:r>
              <w:rPr>
                <w:rFonts w:ascii="Arial" w:cs="Arial" w:eastAsia="Arial" w:hAnsi="Arial"/>
                <w:sz w:val="15"/>
                <w:szCs w:val="15"/>
                <w:b w:val="1"/>
                <w:bCs w:val="1"/>
                <w:color w:val="auto"/>
                <w:w w:val="92"/>
              </w:rPr>
              <w:t>Term</w:t>
            </w:r>
          </w:p>
        </w:tc>
        <w:tc>
          <w:tcPr>
            <w:tcW w:w="120" w:type="dxa"/>
            <w:vAlign w:val="bottom"/>
          </w:tcPr>
          <w:p>
            <w:pPr>
              <w:spacing w:after="0"/>
              <w:rPr>
                <w:sz w:val="15"/>
                <w:szCs w:val="15"/>
                <w:color w:val="auto"/>
              </w:rPr>
            </w:pPr>
          </w:p>
        </w:tc>
        <w:tc>
          <w:tcPr>
            <w:tcW w:w="600" w:type="dxa"/>
            <w:vAlign w:val="bottom"/>
            <w:gridSpan w:val="2"/>
          </w:tcPr>
          <w:p>
            <w:pPr>
              <w:ind w:left="40"/>
              <w:spacing w:after="0"/>
              <w:rPr>
                <w:sz w:val="20"/>
                <w:szCs w:val="20"/>
                <w:color w:val="auto"/>
              </w:rPr>
            </w:pPr>
            <w:r>
              <w:rPr>
                <w:rFonts w:ascii="Arial" w:cs="Arial" w:eastAsia="Arial" w:hAnsi="Arial"/>
                <w:sz w:val="15"/>
                <w:szCs w:val="15"/>
                <w:b w:val="1"/>
                <w:bCs w:val="1"/>
                <w:color w:val="auto"/>
              </w:rPr>
              <w:t>Value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5"/>
                <w:szCs w:val="15"/>
                <w:b w:val="1"/>
                <w:bCs w:val="1"/>
                <w:color w:val="auto"/>
                <w:w w:val="92"/>
              </w:rPr>
              <w:t>(In years)</w:t>
            </w:r>
          </w:p>
        </w:tc>
        <w:tc>
          <w:tcPr>
            <w:tcW w:w="5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9"/>
                <w:szCs w:val="19"/>
                <w:color w:val="auto"/>
              </w:rPr>
              <w:t>Outstanding as of December 31, 2016</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9"/>
                <w:szCs w:val="19"/>
                <w:color w:val="auto"/>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9"/>
                <w:szCs w:val="19"/>
                <w:color w:val="auto"/>
                <w:w w:val="94"/>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40" w:type="dxa"/>
            <w:vAlign w:val="bottom"/>
          </w:tcPr>
          <w:p>
            <w:pPr>
              <w:ind w:left="360"/>
              <w:spacing w:after="0"/>
              <w:rPr>
                <w:sz w:val="20"/>
                <w:szCs w:val="20"/>
                <w:color w:val="auto"/>
              </w:rPr>
            </w:pPr>
            <w:r>
              <w:rPr>
                <w:rFonts w:ascii="Arial" w:cs="Arial" w:eastAsia="Arial" w:hAnsi="Arial"/>
                <w:sz w:val="19"/>
                <w:szCs w:val="19"/>
                <w:color w:val="auto"/>
              </w:rPr>
              <w:t>Granted</w:t>
            </w:r>
          </w:p>
        </w:tc>
        <w:tc>
          <w:tcPr>
            <w:tcW w:w="1220" w:type="dxa"/>
            <w:vAlign w:val="bottom"/>
            <w:gridSpan w:val="2"/>
          </w:tcPr>
          <w:p>
            <w:pPr>
              <w:jc w:val="right"/>
              <w:ind w:right="620"/>
              <w:spacing w:after="0"/>
              <w:rPr>
                <w:sz w:val="20"/>
                <w:szCs w:val="20"/>
                <w:color w:val="auto"/>
              </w:rPr>
            </w:pPr>
            <w:r>
              <w:rPr>
                <w:rFonts w:ascii="Arial" w:cs="Arial" w:eastAsia="Arial" w:hAnsi="Arial"/>
                <w:sz w:val="19"/>
                <w:szCs w:val="19"/>
                <w:color w:val="auto"/>
                <w:w w:val="99"/>
              </w:rPr>
              <w:t>22,500</w:t>
            </w:r>
          </w:p>
        </w:tc>
        <w:tc>
          <w:tcPr>
            <w:tcW w:w="100" w:type="dxa"/>
            <w:vAlign w:val="bottom"/>
          </w:tcPr>
          <w:p>
            <w:pPr>
              <w:spacing w:after="0"/>
              <w:rPr>
                <w:sz w:val="19"/>
                <w:szCs w:val="19"/>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9"/>
                <w:szCs w:val="19"/>
                <w:color w:val="auto"/>
              </w:rPr>
              <w:t>6.95</w:t>
            </w: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9"/>
                <w:szCs w:val="19"/>
                <w:color w:val="auto"/>
              </w:rPr>
              <w:t>Outstanding as of December 31, 2017</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9"/>
                <w:szCs w:val="19"/>
                <w:color w:val="auto"/>
                <w:w w:val="99"/>
              </w:rPr>
              <w:t>22,500</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9"/>
                <w:szCs w:val="19"/>
                <w:color w:val="auto"/>
              </w:rPr>
              <w:t>6.95</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9"/>
                <w:szCs w:val="19"/>
                <w:color w:val="auto"/>
              </w:rPr>
              <w:t>9.7</w:t>
            </w:r>
          </w:p>
        </w:tc>
        <w:tc>
          <w:tcPr>
            <w:tcW w:w="120" w:type="dxa"/>
            <w:vAlign w:val="bottom"/>
            <w:shd w:val="clear" w:color="auto" w:fill="CCEEFF"/>
          </w:tcPr>
          <w:p>
            <w:pPr>
              <w:spacing w:after="0"/>
              <w:rPr>
                <w:sz w:val="20"/>
                <w:szCs w:val="20"/>
                <w:color w:val="auto"/>
              </w:rPr>
            </w:pPr>
            <w:r>
              <w:rPr>
                <w:rFonts w:ascii="Arial" w:cs="Arial" w:eastAsia="Arial" w:hAnsi="Arial"/>
                <w:sz w:val="19"/>
                <w:szCs w:val="19"/>
                <w:color w:val="auto"/>
                <w:w w:val="94"/>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9"/>
                <w:szCs w:val="19"/>
                <w:color w:val="auto"/>
              </w:rPr>
              <w:t>Exercisable as of December 31, 2017</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vMerge w:val="restart"/>
          </w:tcPr>
          <w:p>
            <w:pPr>
              <w:jc w:val="right"/>
              <w:ind w:right="640"/>
              <w:spacing w:after="0"/>
              <w:rPr>
                <w:sz w:val="20"/>
                <w:szCs w:val="20"/>
                <w:color w:val="auto"/>
              </w:rPr>
            </w:pPr>
            <w:r>
              <w:rPr>
                <w:rFonts w:ascii="Arial" w:cs="Arial" w:eastAsia="Arial" w:hAnsi="Arial"/>
                <w:sz w:val="19"/>
                <w:szCs w:val="19"/>
                <w:color w:val="auto"/>
              </w:rPr>
              <w:t>—</w:t>
            </w:r>
          </w:p>
        </w:tc>
        <w:tc>
          <w:tcPr>
            <w:tcW w:w="1320" w:type="dxa"/>
            <w:vAlign w:val="bottom"/>
            <w:gridSpan w:val="2"/>
            <w:vMerge w:val="restart"/>
          </w:tcPr>
          <w:p>
            <w:pPr>
              <w:jc w:val="right"/>
              <w:ind w:right="520"/>
              <w:spacing w:after="0"/>
              <w:rPr>
                <w:sz w:val="20"/>
                <w:szCs w:val="20"/>
                <w:color w:val="auto"/>
              </w:rPr>
            </w:pPr>
            <w:r>
              <w:rPr>
                <w:rFonts w:ascii="Arial" w:cs="Arial" w:eastAsia="Arial" w:hAnsi="Arial"/>
                <w:sz w:val="19"/>
                <w:szCs w:val="19"/>
                <w:color w:val="auto"/>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160" w:type="dxa"/>
            <w:vAlign w:val="bottom"/>
            <w:gridSpan w:val="2"/>
            <w:vMerge w:val="continue"/>
          </w:tcPr>
          <w:p>
            <w:pPr>
              <w:spacing w:after="0"/>
              <w:rPr>
                <w:sz w:val="19"/>
                <w:szCs w:val="19"/>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9"/>
                <w:szCs w:val="19"/>
                <w:color w:val="auto"/>
                <w:w w:val="94"/>
              </w:rPr>
              <w:t>$</w:t>
            </w:r>
          </w:p>
        </w:tc>
        <w:tc>
          <w:tcPr>
            <w:tcW w:w="600" w:type="dxa"/>
            <w:vAlign w:val="bottom"/>
            <w:gridSpan w:val="2"/>
          </w:tcPr>
          <w:p>
            <w:pPr>
              <w:ind w:left="3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9"/>
                <w:szCs w:val="19"/>
                <w:color w:val="auto"/>
              </w:rPr>
              <w:t>Vested and expected to vest as of December 31, 2017</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9"/>
                <w:szCs w:val="19"/>
                <w:color w:val="auto"/>
                <w:w w:val="99"/>
              </w:rPr>
              <w:t>22,500</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9"/>
                <w:szCs w:val="19"/>
                <w:color w:val="auto"/>
              </w:rPr>
              <w:t>6.95</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9"/>
                <w:szCs w:val="19"/>
                <w:color w:val="auto"/>
              </w:rPr>
              <w:t>9.7</w:t>
            </w:r>
          </w:p>
        </w:tc>
        <w:tc>
          <w:tcPr>
            <w:tcW w:w="120" w:type="dxa"/>
            <w:vAlign w:val="bottom"/>
            <w:shd w:val="clear" w:color="auto" w:fill="CCEEFF"/>
          </w:tcPr>
          <w:p>
            <w:pPr>
              <w:spacing w:after="0"/>
              <w:rPr>
                <w:sz w:val="20"/>
                <w:szCs w:val="20"/>
                <w:color w:val="auto"/>
              </w:rPr>
            </w:pPr>
            <w:r>
              <w:rPr>
                <w:rFonts w:ascii="Arial" w:cs="Arial" w:eastAsia="Arial" w:hAnsi="Arial"/>
                <w:sz w:val="19"/>
                <w:szCs w:val="19"/>
                <w:color w:val="auto"/>
                <w:w w:val="94"/>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right="60"/>
        <w:spacing w:after="0" w:line="275" w:lineRule="auto"/>
        <w:rPr>
          <w:sz w:val="20"/>
          <w:szCs w:val="20"/>
          <w:color w:val="auto"/>
        </w:rPr>
      </w:pPr>
      <w:r>
        <w:rPr>
          <w:rFonts w:ascii="Arial" w:cs="Arial" w:eastAsia="Arial" w:hAnsi="Arial"/>
          <w:sz w:val="19"/>
          <w:szCs w:val="19"/>
          <w:color w:val="auto"/>
        </w:rPr>
        <w:t>As of December 31, 2017, total unrecognized stock-based compensation related to unvested stock options issued to employees was $0.1 million, which the Company expects to recognize over a remaining weighted-average period of 3.7 years.</w:t>
      </w:r>
    </w:p>
    <w:p>
      <w:pPr>
        <w:spacing w:after="0" w:line="335" w:lineRule="exact"/>
        <w:rPr>
          <w:sz w:val="20"/>
          <w:szCs w:val="20"/>
          <w:color w:val="auto"/>
        </w:rPr>
      </w:pPr>
    </w:p>
    <w:p>
      <w:pPr>
        <w:ind w:left="640" w:hanging="461"/>
        <w:spacing w:after="0"/>
        <w:tabs>
          <w:tab w:leader="none" w:pos="640" w:val="left"/>
        </w:tabs>
        <w:numPr>
          <w:ilvl w:val="0"/>
          <w:numId w:val="130"/>
        </w:numPr>
        <w:rPr>
          <w:rFonts w:ascii="Arial" w:cs="Arial" w:eastAsia="Arial" w:hAnsi="Arial"/>
          <w:sz w:val="19"/>
          <w:szCs w:val="19"/>
          <w:b w:val="1"/>
          <w:bCs w:val="1"/>
          <w:color w:val="auto"/>
        </w:rPr>
      </w:pPr>
      <w:r>
        <w:rPr>
          <w:rFonts w:ascii="Arial" w:cs="Arial" w:eastAsia="Arial" w:hAnsi="Arial"/>
          <w:sz w:val="19"/>
          <w:szCs w:val="19"/>
          <w:b w:val="1"/>
          <w:bCs w:val="1"/>
          <w:color w:val="auto"/>
        </w:rPr>
        <w:t>Income Taxes</w:t>
      </w:r>
    </w:p>
    <w:p>
      <w:pPr>
        <w:spacing w:after="0" w:line="129" w:lineRule="exact"/>
        <w:rPr>
          <w:rFonts w:ascii="Arial" w:cs="Arial" w:eastAsia="Arial" w:hAnsi="Arial"/>
          <w:sz w:val="19"/>
          <w:szCs w:val="19"/>
          <w:b w:val="1"/>
          <w:bCs w:val="1"/>
          <w:color w:val="auto"/>
        </w:rPr>
      </w:pPr>
    </w:p>
    <w:p>
      <w:pPr>
        <w:ind w:left="640" w:right="40"/>
        <w:spacing w:after="0" w:line="259" w:lineRule="auto"/>
        <w:rPr>
          <w:rFonts w:ascii="Arial" w:cs="Arial" w:eastAsia="Arial" w:hAnsi="Arial"/>
          <w:sz w:val="19"/>
          <w:szCs w:val="19"/>
          <w:b w:val="1"/>
          <w:bCs w:val="1"/>
          <w:color w:val="auto"/>
        </w:rPr>
      </w:pPr>
      <w:r>
        <w:rPr>
          <w:rFonts w:ascii="Arial" w:cs="Arial" w:eastAsia="Arial" w:hAnsi="Arial"/>
          <w:sz w:val="19"/>
          <w:szCs w:val="19"/>
          <w:color w:val="auto"/>
        </w:rPr>
        <w:t>The Company was classified as a partnership for U.S. income tax purposes through the Conversion on October 12, 2017. The Company incurred net losses for the year ended December 31, 2017. The Company has not reflected any benefit of such net operating loss carryforwards in the accompanying financial statements. The Company has established a full valuation allowance against its deferred tax assets due to the uncertainty surrounding realization of such assets.</w:t>
      </w:r>
    </w:p>
    <w:p>
      <w:pPr>
        <w:spacing w:after="0" w:line="126"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F-21</w:t>
      </w:r>
    </w:p>
    <w:p>
      <w:pPr>
        <w:sectPr>
          <w:pgSz w:w="12240" w:h="15840" w:orient="portrait"/>
          <w:cols w:equalWidth="0" w:num="1">
            <w:col w:w="11700"/>
          </w:cols>
          <w:pgMar w:left="120" w:top="336" w:right="420" w:bottom="1440" w:gutter="0" w:footer="0" w:header="0"/>
        </w:sectPr>
      </w:pPr>
    </w:p>
    <w:bookmarkStart w:id="212" w:name="page213"/>
    <w:bookmarkEnd w:id="21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tax effects of temporary differences that give rise to significant components of the Company’s deferred tax assets for the year ended</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December 31, 2017, consist of (in thousands):</w:t>
      </w:r>
    </w:p>
    <w:p>
      <w:pPr>
        <w:spacing w:after="0" w:line="267" w:lineRule="exact"/>
        <w:rPr>
          <w:sz w:val="20"/>
          <w:szCs w:val="20"/>
          <w:color w:val="auto"/>
        </w:rPr>
      </w:pPr>
    </w:p>
    <w:tbl>
      <w:tblPr>
        <w:tblLayout w:type="fixed"/>
        <w:tblInd w:w="2040" w:type="dxa"/>
        <w:tblCellMar>
          <w:top w:w="0" w:type="dxa"/>
          <w:left w:w="0" w:type="dxa"/>
          <w:bottom w:w="0" w:type="dxa"/>
          <w:right w:w="0" w:type="dxa"/>
        </w:tblCellMar>
      </w:tblPr>
      <w:tr>
        <w:trPr>
          <w:trHeight w:val="228"/>
        </w:trPr>
        <w:tc>
          <w:tcPr>
            <w:tcW w:w="7200" w:type="dxa"/>
            <w:vAlign w:val="bottom"/>
            <w:shd w:val="clear" w:color="auto" w:fill="CCEEFF"/>
          </w:tcPr>
          <w:p>
            <w:pPr>
              <w:spacing w:after="0"/>
              <w:rPr>
                <w:sz w:val="20"/>
                <w:szCs w:val="20"/>
                <w:color w:val="auto"/>
              </w:rPr>
            </w:pPr>
            <w:r>
              <w:rPr>
                <w:rFonts w:ascii="Arial" w:cs="Arial" w:eastAsia="Arial" w:hAnsi="Arial"/>
                <w:sz w:val="19"/>
                <w:szCs w:val="19"/>
                <w:color w:val="auto"/>
              </w:rPr>
              <w:t>Deferred tax assets:</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8"/>
        </w:trPr>
        <w:tc>
          <w:tcPr>
            <w:tcW w:w="7200" w:type="dxa"/>
            <w:vAlign w:val="bottom"/>
          </w:tcPr>
          <w:p>
            <w:pPr>
              <w:ind w:left="380"/>
              <w:spacing w:after="0"/>
              <w:rPr>
                <w:sz w:val="20"/>
                <w:szCs w:val="20"/>
                <w:color w:val="auto"/>
              </w:rPr>
            </w:pPr>
            <w:r>
              <w:rPr>
                <w:rFonts w:ascii="Arial" w:cs="Arial" w:eastAsia="Arial" w:hAnsi="Arial"/>
                <w:sz w:val="19"/>
                <w:szCs w:val="19"/>
                <w:color w:val="auto"/>
              </w:rPr>
              <w:t>Net operating loss</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500" w:type="dxa"/>
            <w:vAlign w:val="bottom"/>
          </w:tcPr>
          <w:p>
            <w:pPr>
              <w:jc w:val="right"/>
              <w:spacing w:after="0"/>
              <w:rPr>
                <w:sz w:val="20"/>
                <w:szCs w:val="20"/>
                <w:color w:val="auto"/>
              </w:rPr>
            </w:pPr>
            <w:r>
              <w:rPr>
                <w:rFonts w:ascii="Arial" w:cs="Arial" w:eastAsia="Arial" w:hAnsi="Arial"/>
                <w:sz w:val="19"/>
                <w:szCs w:val="19"/>
                <w:color w:val="auto"/>
              </w:rPr>
              <w:t>4,363</w:t>
            </w:r>
          </w:p>
        </w:tc>
        <w:tc>
          <w:tcPr>
            <w:tcW w:w="100" w:type="dxa"/>
            <w:vAlign w:val="bottom"/>
          </w:tcPr>
          <w:p>
            <w:pPr>
              <w:spacing w:after="0"/>
              <w:rPr>
                <w:sz w:val="19"/>
                <w:szCs w:val="19"/>
                <w:color w:val="auto"/>
              </w:rPr>
            </w:pPr>
          </w:p>
        </w:tc>
      </w:tr>
      <w:tr>
        <w:trPr>
          <w:trHeight w:val="228"/>
        </w:trPr>
        <w:tc>
          <w:tcPr>
            <w:tcW w:w="72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Accrued bonus</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230</w:t>
            </w:r>
          </w:p>
        </w:tc>
      </w:tr>
      <w:tr>
        <w:trPr>
          <w:trHeight w:val="228"/>
        </w:trPr>
        <w:tc>
          <w:tcPr>
            <w:tcW w:w="7200" w:type="dxa"/>
            <w:vAlign w:val="bottom"/>
          </w:tcPr>
          <w:p>
            <w:pPr>
              <w:ind w:left="380"/>
              <w:spacing w:after="0"/>
              <w:rPr>
                <w:sz w:val="20"/>
                <w:szCs w:val="20"/>
                <w:color w:val="auto"/>
              </w:rPr>
            </w:pPr>
            <w:r>
              <w:rPr>
                <w:rFonts w:ascii="Arial" w:cs="Arial" w:eastAsia="Arial" w:hAnsi="Arial"/>
                <w:sz w:val="19"/>
                <w:szCs w:val="19"/>
                <w:color w:val="auto"/>
              </w:rPr>
              <w:t>Research and development credits</w:t>
            </w: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9"/>
                <w:szCs w:val="19"/>
                <w:color w:val="auto"/>
              </w:rPr>
              <w:t>574</w:t>
            </w:r>
          </w:p>
        </w:tc>
      </w:tr>
      <w:tr>
        <w:trPr>
          <w:trHeight w:val="228"/>
        </w:trPr>
        <w:tc>
          <w:tcPr>
            <w:tcW w:w="72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Others</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73</w:t>
            </w:r>
          </w:p>
        </w:tc>
        <w:tc>
          <w:tcPr>
            <w:tcW w:w="100" w:type="dxa"/>
            <w:vAlign w:val="bottom"/>
            <w:shd w:val="clear" w:color="auto" w:fill="CCEEFF"/>
          </w:tcPr>
          <w:p>
            <w:pPr>
              <w:spacing w:after="0"/>
              <w:rPr>
                <w:sz w:val="19"/>
                <w:szCs w:val="19"/>
                <w:color w:val="auto"/>
              </w:rPr>
            </w:pPr>
          </w:p>
        </w:tc>
      </w:tr>
      <w:tr>
        <w:trPr>
          <w:trHeight w:val="236"/>
        </w:trPr>
        <w:tc>
          <w:tcPr>
            <w:tcW w:w="7200" w:type="dxa"/>
            <w:vAlign w:val="bottom"/>
          </w:tcPr>
          <w:p>
            <w:pPr>
              <w:ind w:left="760"/>
              <w:spacing w:after="0"/>
              <w:rPr>
                <w:sz w:val="20"/>
                <w:szCs w:val="20"/>
                <w:color w:val="auto"/>
              </w:rPr>
            </w:pPr>
            <w:r>
              <w:rPr>
                <w:rFonts w:ascii="Arial" w:cs="Arial" w:eastAsia="Arial" w:hAnsi="Arial"/>
                <w:sz w:val="19"/>
                <w:szCs w:val="19"/>
                <w:color w:val="auto"/>
              </w:rPr>
              <w:t>Gross deferred tax assets</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5,240</w:t>
            </w:r>
          </w:p>
        </w:tc>
        <w:tc>
          <w:tcPr>
            <w:tcW w:w="100" w:type="dxa"/>
            <w:vAlign w:val="bottom"/>
          </w:tcPr>
          <w:p>
            <w:pPr>
              <w:spacing w:after="0"/>
              <w:rPr>
                <w:sz w:val="20"/>
                <w:szCs w:val="20"/>
                <w:color w:val="auto"/>
              </w:rPr>
            </w:pPr>
          </w:p>
        </w:tc>
      </w:tr>
      <w:tr>
        <w:trPr>
          <w:trHeight w:val="229"/>
        </w:trPr>
        <w:tc>
          <w:tcPr>
            <w:tcW w:w="72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Less valuation allowance</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w w:val="89"/>
              </w:rPr>
              <w:t>(5,026)</w:t>
            </w:r>
          </w:p>
        </w:tc>
      </w:tr>
      <w:tr>
        <w:trPr>
          <w:trHeight w:val="236"/>
        </w:trPr>
        <w:tc>
          <w:tcPr>
            <w:tcW w:w="7200" w:type="dxa"/>
            <w:vAlign w:val="bottom"/>
          </w:tcPr>
          <w:p>
            <w:pPr>
              <w:ind w:left="760"/>
              <w:spacing w:after="0"/>
              <w:rPr>
                <w:sz w:val="20"/>
                <w:szCs w:val="20"/>
                <w:color w:val="auto"/>
              </w:rPr>
            </w:pPr>
            <w:r>
              <w:rPr>
                <w:rFonts w:ascii="Arial" w:cs="Arial" w:eastAsia="Arial" w:hAnsi="Arial"/>
                <w:sz w:val="19"/>
                <w:szCs w:val="19"/>
                <w:color w:val="auto"/>
              </w:rPr>
              <w:t>Total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214</w:t>
            </w:r>
          </w:p>
        </w:tc>
        <w:tc>
          <w:tcPr>
            <w:tcW w:w="100" w:type="dxa"/>
            <w:vAlign w:val="bottom"/>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200" w:type="dxa"/>
            <w:vAlign w:val="bottom"/>
            <w:shd w:val="clear" w:color="auto" w:fill="CCEEFF"/>
          </w:tcPr>
          <w:p>
            <w:pPr>
              <w:spacing w:after="0"/>
              <w:rPr>
                <w:sz w:val="20"/>
                <w:szCs w:val="20"/>
                <w:color w:val="auto"/>
              </w:rPr>
            </w:pPr>
            <w:r>
              <w:rPr>
                <w:rFonts w:ascii="Arial" w:cs="Arial" w:eastAsia="Arial" w:hAnsi="Arial"/>
                <w:sz w:val="19"/>
                <w:szCs w:val="19"/>
                <w:color w:val="auto"/>
              </w:rPr>
              <w:t>Deferred tax liabilities:</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8"/>
        </w:trPr>
        <w:tc>
          <w:tcPr>
            <w:tcW w:w="7200" w:type="dxa"/>
            <w:vAlign w:val="bottom"/>
          </w:tcPr>
          <w:p>
            <w:pPr>
              <w:ind w:left="380"/>
              <w:spacing w:after="0"/>
              <w:rPr>
                <w:sz w:val="20"/>
                <w:szCs w:val="20"/>
                <w:color w:val="auto"/>
              </w:rPr>
            </w:pPr>
            <w:r>
              <w:rPr>
                <w:rFonts w:ascii="Arial" w:cs="Arial" w:eastAsia="Arial" w:hAnsi="Arial"/>
                <w:sz w:val="19"/>
                <w:szCs w:val="19"/>
                <w:color w:val="auto"/>
              </w:rPr>
              <w:t>Depreciation and amortization</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600" w:type="dxa"/>
            <w:vAlign w:val="bottom"/>
            <w:gridSpan w:val="2"/>
          </w:tcPr>
          <w:p>
            <w:pPr>
              <w:jc w:val="right"/>
              <w:ind w:right="40"/>
              <w:spacing w:after="0"/>
              <w:rPr>
                <w:sz w:val="20"/>
                <w:szCs w:val="20"/>
                <w:color w:val="auto"/>
              </w:rPr>
            </w:pPr>
            <w:r>
              <w:rPr>
                <w:rFonts w:ascii="Arial" w:cs="Arial" w:eastAsia="Arial" w:hAnsi="Arial"/>
                <w:sz w:val="19"/>
                <w:szCs w:val="19"/>
                <w:color w:val="auto"/>
              </w:rPr>
              <w:t>(214)</w:t>
            </w:r>
          </w:p>
        </w:tc>
      </w:tr>
      <w:tr>
        <w:trPr>
          <w:trHeight w:val="29"/>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8"/>
        </w:trPr>
        <w:tc>
          <w:tcPr>
            <w:tcW w:w="7200" w:type="dxa"/>
            <w:vAlign w:val="bottom"/>
            <w:shd w:val="clear" w:color="auto" w:fill="CCEEFF"/>
          </w:tcPr>
          <w:p>
            <w:pPr>
              <w:ind w:left="760"/>
              <w:spacing w:after="0"/>
              <w:rPr>
                <w:sz w:val="20"/>
                <w:szCs w:val="20"/>
                <w:color w:val="auto"/>
              </w:rPr>
            </w:pPr>
            <w:r>
              <w:rPr>
                <w:rFonts w:ascii="Arial" w:cs="Arial" w:eastAsia="Arial" w:hAnsi="Arial"/>
                <w:sz w:val="19"/>
                <w:szCs w:val="19"/>
                <w:color w:val="auto"/>
              </w:rPr>
              <w:t>Gross deferred tax liabilities</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(214)</w:t>
            </w:r>
          </w:p>
        </w:tc>
      </w:tr>
      <w:tr>
        <w:trPr>
          <w:trHeight w:val="236"/>
        </w:trPr>
        <w:tc>
          <w:tcPr>
            <w:tcW w:w="7200" w:type="dxa"/>
            <w:vAlign w:val="bottom"/>
          </w:tcPr>
          <w:p>
            <w:pPr>
              <w:ind w:left="760"/>
              <w:spacing w:after="0"/>
              <w:rPr>
                <w:sz w:val="20"/>
                <w:szCs w:val="20"/>
                <w:color w:val="auto"/>
              </w:rPr>
            </w:pPr>
            <w:r>
              <w:rPr>
                <w:rFonts w:ascii="Arial" w:cs="Arial" w:eastAsia="Arial" w:hAnsi="Arial"/>
                <w:sz w:val="19"/>
                <w:szCs w:val="19"/>
                <w:color w:val="auto"/>
              </w:rPr>
              <w:t>Deferred tax assets,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spacing w:after="0" w:line="254" w:lineRule="auto"/>
        <w:rPr>
          <w:sz w:val="20"/>
          <w:szCs w:val="20"/>
          <w:color w:val="auto"/>
        </w:rPr>
      </w:pPr>
      <w:r>
        <w:rPr>
          <w:rFonts w:ascii="Arial" w:cs="Arial" w:eastAsia="Arial" w:hAnsi="Arial"/>
          <w:sz w:val="19"/>
          <w:szCs w:val="19"/>
          <w:color w:val="auto"/>
        </w:rPr>
        <w:t>In assessing the realization of deferred tax assets, management considers whether it is more likely than not that some portion or all of the deferred assets will be realized. The ultimate realization of the deferred tax assets is dependent upon the generation of future taxable income during the periods in which those temporary differences become deductible. Evaluating the need for a valuation allowance for deferred tax assets often requires judgment and analysis of all the positive and negative evidence available, including cumulative losses in recent years and projected future taxable income, to determine whether all or some portion of the deferred tax assets will not be realized. As of December 31, 2017, the Company has utilized a full valuation allowance to offset the net deferred tax assets as the Company believes it is not more likely than not that the net deferred tax assets will be fully realizable.</w:t>
      </w:r>
    </w:p>
    <w:p>
      <w:pPr>
        <w:spacing w:after="0" w:line="93"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color w:val="auto"/>
        </w:rPr>
        <w:t>As of December 31, 2017, the Company had federal and California net operating loss (“NOL”) carryforwards of approximately $17.5 million and $17.6 million, respectively. Federal and state NOL carryforwards will begin to expire in 2037, if not utilized. As of December 31, 2017, the Company also had federal and California research credit carryforward of approximately $0.4 million and $0.4 million, respectively. The federal research credits will begin to expire in 2037 while the California research credits have no expiration date.</w:t>
      </w:r>
    </w:p>
    <w:p>
      <w:pPr>
        <w:spacing w:after="0" w:line="71" w:lineRule="exact"/>
        <w:rPr>
          <w:sz w:val="20"/>
          <w:szCs w:val="20"/>
          <w:color w:val="auto"/>
        </w:rPr>
      </w:pPr>
    </w:p>
    <w:p>
      <w:pPr>
        <w:ind w:left="640" w:right="80"/>
        <w:spacing w:after="0" w:line="254" w:lineRule="auto"/>
        <w:rPr>
          <w:sz w:val="20"/>
          <w:szCs w:val="20"/>
          <w:color w:val="auto"/>
        </w:rPr>
      </w:pPr>
      <w:r>
        <w:rPr>
          <w:rFonts w:ascii="Arial" w:cs="Arial" w:eastAsia="Arial" w:hAnsi="Arial"/>
          <w:sz w:val="19"/>
          <w:szCs w:val="19"/>
          <w:color w:val="auto"/>
        </w:rPr>
        <w:t>Generally, utilization of the NOL carryforwards and credits may be subject to an annual limitation due to the ownership change limitations provided by Section 382, which provides for limitations on NOL carryforwards and certain built-in losses following ownership changes, and Section 383, which provides for special limitations on certain excess credits, etc., of the Code, and similar state provisions. Accordingly, the Company’s ability to utilize NOL carryforwards may be limited as the result of such an “ownership change.” A formal Section 382 study was not performed through December 31, 2017. The carryforwards could be subject to an annual limitation, resulting in a reduction in the gross deferred tax assets before considering the valuation allowance. Further, a portion of the carryforwards may expire before being applied to reduce future earnings.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F-22</w:t>
      </w:r>
    </w:p>
    <w:p>
      <w:pPr>
        <w:sectPr>
          <w:pgSz w:w="12240" w:h="15840" w:orient="portrait"/>
          <w:cols w:equalWidth="0" w:num="1">
            <w:col w:w="11780"/>
          </w:cols>
          <w:pgMar w:left="120" w:top="336" w:right="340" w:bottom="1440" w:gutter="0" w:footer="0" w:header="0"/>
        </w:sectPr>
      </w:pPr>
    </w:p>
    <w:bookmarkStart w:id="213" w:name="page214"/>
    <w:bookmarkEnd w:id="21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 reconciliation of the federal statutory rate to the Company’s effective tax rate is as follows for the year ended December 31, 2017:</w:t>
      </w:r>
    </w:p>
    <w:p>
      <w:pPr>
        <w:spacing w:after="0" w:line="281" w:lineRule="exact"/>
        <w:rPr>
          <w:sz w:val="20"/>
          <w:szCs w:val="20"/>
          <w:color w:val="auto"/>
        </w:rPr>
      </w:pPr>
    </w:p>
    <w:tbl>
      <w:tblPr>
        <w:tblLayout w:type="fixed"/>
        <w:tblInd w:w="2040" w:type="dxa"/>
        <w:tblCellMar>
          <w:top w:w="0" w:type="dxa"/>
          <w:left w:w="0" w:type="dxa"/>
          <w:bottom w:w="0" w:type="dxa"/>
          <w:right w:w="0" w:type="dxa"/>
        </w:tblCellMar>
      </w:tblPr>
      <w:tr>
        <w:trPr>
          <w:trHeight w:val="228"/>
        </w:trPr>
        <w:tc>
          <w:tcPr>
            <w:tcW w:w="7100" w:type="dxa"/>
            <w:vAlign w:val="bottom"/>
            <w:shd w:val="clear" w:color="auto" w:fill="CCEEFF"/>
          </w:tcPr>
          <w:p>
            <w:pPr>
              <w:spacing w:after="0"/>
              <w:rPr>
                <w:sz w:val="20"/>
                <w:szCs w:val="20"/>
                <w:color w:val="auto"/>
              </w:rPr>
            </w:pPr>
            <w:r>
              <w:rPr>
                <w:rFonts w:ascii="Arial" w:cs="Arial" w:eastAsia="Arial" w:hAnsi="Arial"/>
                <w:sz w:val="19"/>
                <w:szCs w:val="19"/>
                <w:color w:val="auto"/>
              </w:rPr>
              <w:t>Tax benefit at federal statutory rate</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w w:val="87"/>
              </w:rPr>
              <w:t>(11,038)</w:t>
            </w:r>
          </w:p>
        </w:tc>
      </w:tr>
      <w:tr>
        <w:trPr>
          <w:trHeight w:val="228"/>
        </w:trPr>
        <w:tc>
          <w:tcPr>
            <w:tcW w:w="7100" w:type="dxa"/>
            <w:vAlign w:val="bottom"/>
          </w:tcPr>
          <w:p>
            <w:pPr>
              <w:spacing w:after="0"/>
              <w:rPr>
                <w:sz w:val="20"/>
                <w:szCs w:val="20"/>
                <w:color w:val="auto"/>
              </w:rPr>
            </w:pPr>
            <w:r>
              <w:rPr>
                <w:rFonts w:ascii="Arial" w:cs="Arial" w:eastAsia="Arial" w:hAnsi="Arial"/>
                <w:sz w:val="19"/>
                <w:szCs w:val="19"/>
                <w:color w:val="auto"/>
              </w:rPr>
              <w:t>Pre-conversion passthrough loss</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7,331</w:t>
            </w:r>
          </w:p>
        </w:tc>
        <w:tc>
          <w:tcPr>
            <w:tcW w:w="100" w:type="dxa"/>
            <w:vAlign w:val="bottom"/>
          </w:tcPr>
          <w:p>
            <w:pPr>
              <w:spacing w:after="0"/>
              <w:rPr>
                <w:sz w:val="19"/>
                <w:szCs w:val="19"/>
                <w:color w:val="auto"/>
              </w:rPr>
            </w:pPr>
          </w:p>
        </w:tc>
      </w:tr>
      <w:tr>
        <w:trPr>
          <w:trHeight w:val="228"/>
        </w:trPr>
        <w:tc>
          <w:tcPr>
            <w:tcW w:w="7100" w:type="dxa"/>
            <w:vAlign w:val="bottom"/>
            <w:shd w:val="clear" w:color="auto" w:fill="CCEEFF"/>
          </w:tcPr>
          <w:p>
            <w:pPr>
              <w:spacing w:after="0"/>
              <w:rPr>
                <w:sz w:val="20"/>
                <w:szCs w:val="20"/>
                <w:color w:val="auto"/>
              </w:rPr>
            </w:pPr>
            <w:r>
              <w:rPr>
                <w:rFonts w:ascii="Arial" w:cs="Arial" w:eastAsia="Arial" w:hAnsi="Arial"/>
                <w:sz w:val="19"/>
                <w:szCs w:val="19"/>
                <w:color w:val="auto"/>
              </w:rPr>
              <w:t>Research and development credits</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(351)</w:t>
            </w:r>
          </w:p>
        </w:tc>
      </w:tr>
      <w:tr>
        <w:trPr>
          <w:trHeight w:val="228"/>
        </w:trPr>
        <w:tc>
          <w:tcPr>
            <w:tcW w:w="7100" w:type="dxa"/>
            <w:vAlign w:val="bottom"/>
          </w:tcPr>
          <w:p>
            <w:pPr>
              <w:spacing w:after="0"/>
              <w:rPr>
                <w:sz w:val="20"/>
                <w:szCs w:val="20"/>
                <w:color w:val="auto"/>
              </w:rPr>
            </w:pPr>
            <w:r>
              <w:rPr>
                <w:rFonts w:ascii="Arial" w:cs="Arial" w:eastAsia="Arial" w:hAnsi="Arial"/>
                <w:sz w:val="19"/>
                <w:szCs w:val="19"/>
                <w:color w:val="auto"/>
              </w:rPr>
              <w:t>Federal uncertain tax positions</w:t>
            </w: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9"/>
                <w:szCs w:val="19"/>
                <w:color w:val="auto"/>
              </w:rPr>
              <w:t>102</w:t>
            </w:r>
          </w:p>
        </w:tc>
      </w:tr>
      <w:tr>
        <w:trPr>
          <w:trHeight w:val="228"/>
        </w:trPr>
        <w:tc>
          <w:tcPr>
            <w:tcW w:w="7100" w:type="dxa"/>
            <w:vAlign w:val="bottom"/>
            <w:shd w:val="clear" w:color="auto" w:fill="CCEEFF"/>
          </w:tcPr>
          <w:p>
            <w:pPr>
              <w:spacing w:after="0"/>
              <w:rPr>
                <w:sz w:val="20"/>
                <w:szCs w:val="20"/>
                <w:color w:val="auto"/>
              </w:rPr>
            </w:pPr>
            <w:r>
              <w:rPr>
                <w:rFonts w:ascii="Arial" w:cs="Arial" w:eastAsia="Arial" w:hAnsi="Arial"/>
                <w:sz w:val="19"/>
                <w:szCs w:val="19"/>
                <w:color w:val="auto"/>
              </w:rPr>
              <w:t>Stock-based compensation</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470</w:t>
            </w:r>
          </w:p>
        </w:tc>
      </w:tr>
      <w:tr>
        <w:trPr>
          <w:trHeight w:val="228"/>
        </w:trPr>
        <w:tc>
          <w:tcPr>
            <w:tcW w:w="7100" w:type="dxa"/>
            <w:vAlign w:val="bottom"/>
          </w:tcPr>
          <w:p>
            <w:pPr>
              <w:spacing w:after="0"/>
              <w:rPr>
                <w:sz w:val="20"/>
                <w:szCs w:val="20"/>
                <w:color w:val="auto"/>
              </w:rPr>
            </w:pPr>
            <w:r>
              <w:rPr>
                <w:rFonts w:ascii="Arial" w:cs="Arial" w:eastAsia="Arial" w:hAnsi="Arial"/>
                <w:sz w:val="19"/>
                <w:szCs w:val="19"/>
                <w:color w:val="auto"/>
              </w:rPr>
              <w:t>Impact of federal rate change</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2,329</w:t>
            </w:r>
          </w:p>
        </w:tc>
        <w:tc>
          <w:tcPr>
            <w:tcW w:w="100" w:type="dxa"/>
            <w:vAlign w:val="bottom"/>
          </w:tcPr>
          <w:p>
            <w:pPr>
              <w:spacing w:after="0"/>
              <w:rPr>
                <w:sz w:val="19"/>
                <w:szCs w:val="19"/>
                <w:color w:val="auto"/>
              </w:rPr>
            </w:pPr>
          </w:p>
        </w:tc>
      </w:tr>
      <w:tr>
        <w:trPr>
          <w:trHeight w:val="228"/>
        </w:trPr>
        <w:tc>
          <w:tcPr>
            <w:tcW w:w="7100" w:type="dxa"/>
            <w:vAlign w:val="bottom"/>
            <w:shd w:val="clear" w:color="auto" w:fill="CCEEFF"/>
          </w:tcPr>
          <w:p>
            <w:pPr>
              <w:spacing w:after="0"/>
              <w:rPr>
                <w:sz w:val="20"/>
                <w:szCs w:val="20"/>
                <w:color w:val="auto"/>
              </w:rPr>
            </w:pPr>
            <w:r>
              <w:rPr>
                <w:rFonts w:ascii="Arial" w:cs="Arial" w:eastAsia="Arial" w:hAnsi="Arial"/>
                <w:sz w:val="19"/>
                <w:szCs w:val="19"/>
                <w:color w:val="auto"/>
              </w:rPr>
              <w:t>Nondeductible expense</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126</w:t>
            </w:r>
          </w:p>
        </w:tc>
      </w:tr>
      <w:tr>
        <w:trPr>
          <w:trHeight w:val="228"/>
        </w:trPr>
        <w:tc>
          <w:tcPr>
            <w:tcW w:w="7100" w:type="dxa"/>
            <w:vAlign w:val="bottom"/>
          </w:tcPr>
          <w:p>
            <w:pPr>
              <w:spacing w:after="0"/>
              <w:rPr>
                <w:sz w:val="20"/>
                <w:szCs w:val="20"/>
                <w:color w:val="auto"/>
              </w:rPr>
            </w:pPr>
            <w:r>
              <w:rPr>
                <w:rFonts w:ascii="Arial" w:cs="Arial" w:eastAsia="Arial" w:hAnsi="Arial"/>
                <w:sz w:val="19"/>
                <w:szCs w:val="19"/>
                <w:color w:val="auto"/>
              </w:rPr>
              <w:t>Change of valuation allowance</w:t>
            </w: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9"/>
                <w:szCs w:val="19"/>
                <w:color w:val="auto"/>
              </w:rPr>
              <w:t>782</w:t>
            </w:r>
          </w:p>
        </w:tc>
      </w:tr>
      <w:tr>
        <w:trPr>
          <w:trHeight w:val="228"/>
        </w:trPr>
        <w:tc>
          <w:tcPr>
            <w:tcW w:w="7100" w:type="dxa"/>
            <w:vAlign w:val="bottom"/>
            <w:shd w:val="clear" w:color="auto" w:fill="CCEEFF"/>
          </w:tcPr>
          <w:p>
            <w:pPr>
              <w:spacing w:after="0"/>
              <w:rPr>
                <w:sz w:val="20"/>
                <w:szCs w:val="20"/>
                <w:color w:val="auto"/>
              </w:rPr>
            </w:pPr>
            <w:r>
              <w:rPr>
                <w:rFonts w:ascii="Arial" w:cs="Arial" w:eastAsia="Arial" w:hAnsi="Arial"/>
                <w:sz w:val="19"/>
                <w:szCs w:val="19"/>
                <w:color w:val="auto"/>
              </w:rPr>
              <w:t>Others</w:t>
            </w: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249</w:t>
            </w:r>
          </w:p>
        </w:tc>
        <w:tc>
          <w:tcPr>
            <w:tcW w:w="100" w:type="dxa"/>
            <w:vAlign w:val="bottom"/>
            <w:shd w:val="clear" w:color="auto" w:fill="CCEEFF"/>
          </w:tcPr>
          <w:p>
            <w:pPr>
              <w:spacing w:after="0"/>
              <w:rPr>
                <w:sz w:val="19"/>
                <w:szCs w:val="19"/>
                <w:color w:val="auto"/>
              </w:rPr>
            </w:pPr>
          </w:p>
        </w:tc>
      </w:tr>
      <w:tr>
        <w:trPr>
          <w:trHeight w:val="236"/>
        </w:trPr>
        <w:tc>
          <w:tcPr>
            <w:tcW w:w="7100" w:type="dxa"/>
            <w:vAlign w:val="bottom"/>
          </w:tcPr>
          <w:p>
            <w:pPr>
              <w:ind w:left="380"/>
              <w:spacing w:after="0"/>
              <w:rPr>
                <w:sz w:val="20"/>
                <w:szCs w:val="20"/>
                <w:color w:val="auto"/>
              </w:rPr>
            </w:pPr>
            <w:r>
              <w:rPr>
                <w:rFonts w:ascii="Arial" w:cs="Arial" w:eastAsia="Arial" w:hAnsi="Arial"/>
                <w:sz w:val="19"/>
                <w:szCs w:val="19"/>
                <w:color w:val="auto"/>
              </w:rPr>
              <w:t>Income tax provision</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r>
      <w:tr>
        <w:trPr>
          <w:trHeight w:val="20"/>
        </w:trPr>
        <w:tc>
          <w:tcPr>
            <w:tcW w:w="7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spacing w:after="0" w:line="271"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Act reduces the federal corporate income tax rate from 35% to 21% effective January 1, 2018, which the Company expects will positively impact the Company’s future effective tax rate and after-tax earnings in the United States. The Company has recorded a decrease related to DTAs and DTLs, with an offset by the valuation allowance. As a result, the tax provision impact related to the federal tax rate change is zero. The Company may also be affected by certain other aspects of the Tax Act including, without limitation, provisions regarding modification of 162(m) rules. However, the Company does not expect those provisions will have any material impact on the Company’s financial results, while the Company maintains a full valuation allowance.</w:t>
      </w:r>
    </w:p>
    <w:p>
      <w:pPr>
        <w:spacing w:after="0" w:line="75" w:lineRule="exact"/>
        <w:rPr>
          <w:sz w:val="20"/>
          <w:szCs w:val="20"/>
          <w:color w:val="auto"/>
        </w:rPr>
      </w:pPr>
    </w:p>
    <w:p>
      <w:pPr>
        <w:ind w:left="640" w:right="160"/>
        <w:spacing w:after="0" w:line="256" w:lineRule="auto"/>
        <w:rPr>
          <w:sz w:val="20"/>
          <w:szCs w:val="20"/>
          <w:color w:val="auto"/>
        </w:rPr>
      </w:pPr>
      <w:r>
        <w:rPr>
          <w:rFonts w:ascii="Arial" w:cs="Arial" w:eastAsia="Arial" w:hAnsi="Arial"/>
          <w:sz w:val="19"/>
          <w:szCs w:val="19"/>
          <w:color w:val="auto"/>
        </w:rPr>
        <w:t>On December 22, 2017, Staff Account Bulletin No. 118 (“SAB 118”) was issued to address the applications of GAAP in situations when a registrant does not have the necessary information available, prepared, or analyzed (including computations) in reasonable detail to complete the accounting for certain income tax effects of the Tax Act. Because the Company is still in the process of analyzing certain provisions of the Tax Act, in accordance with SAB 118, the Company has determined that the adjustment to its deferred taxes was a provisional amount and a reasonable estimate as of December 31, 2017.</w:t>
      </w:r>
    </w:p>
    <w:p>
      <w:pPr>
        <w:spacing w:after="0" w:line="90" w:lineRule="exact"/>
        <w:rPr>
          <w:sz w:val="20"/>
          <w:szCs w:val="20"/>
          <w:color w:val="auto"/>
        </w:rPr>
      </w:pPr>
    </w:p>
    <w:p>
      <w:pPr>
        <w:ind w:left="640" w:right="620"/>
        <w:spacing w:after="0" w:line="275" w:lineRule="auto"/>
        <w:rPr>
          <w:sz w:val="20"/>
          <w:szCs w:val="20"/>
          <w:color w:val="auto"/>
        </w:rPr>
      </w:pPr>
      <w:r>
        <w:rPr>
          <w:rFonts w:ascii="Arial" w:cs="Arial" w:eastAsia="Arial" w:hAnsi="Arial"/>
          <w:sz w:val="19"/>
          <w:szCs w:val="19"/>
          <w:color w:val="auto"/>
        </w:rPr>
        <w:t>The following table summarizes the activity related to the Company’s unrecognized tax benefits for the year ended December 31, 2017 (in thousands):</w:t>
      </w:r>
    </w:p>
    <w:p>
      <w:pPr>
        <w:spacing w:after="0" w:line="227" w:lineRule="exact"/>
        <w:rPr>
          <w:sz w:val="20"/>
          <w:szCs w:val="20"/>
          <w:color w:val="auto"/>
        </w:rPr>
      </w:pPr>
    </w:p>
    <w:tbl>
      <w:tblPr>
        <w:tblLayout w:type="fixed"/>
        <w:tblInd w:w="1120" w:type="dxa"/>
        <w:tblCellMar>
          <w:top w:w="0" w:type="dxa"/>
          <w:left w:w="0" w:type="dxa"/>
          <w:bottom w:w="0" w:type="dxa"/>
          <w:right w:w="0" w:type="dxa"/>
        </w:tblCellMar>
      </w:tblPr>
      <w:tr>
        <w:trPr>
          <w:trHeight w:val="228"/>
        </w:trPr>
        <w:tc>
          <w:tcPr>
            <w:tcW w:w="9320" w:type="dxa"/>
            <w:vAlign w:val="bottom"/>
            <w:shd w:val="clear" w:color="auto" w:fill="CCEEFF"/>
          </w:tcPr>
          <w:p>
            <w:pPr>
              <w:spacing w:after="0"/>
              <w:rPr>
                <w:sz w:val="20"/>
                <w:szCs w:val="20"/>
                <w:color w:val="auto"/>
              </w:rPr>
            </w:pPr>
            <w:r>
              <w:rPr>
                <w:rFonts w:ascii="Arial" w:cs="Arial" w:eastAsia="Arial" w:hAnsi="Arial"/>
                <w:sz w:val="19"/>
                <w:szCs w:val="19"/>
                <w:color w:val="auto"/>
              </w:rPr>
              <w:t>Balance as of December 31, 2016</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w:t>
            </w:r>
          </w:p>
        </w:tc>
      </w:tr>
      <w:tr>
        <w:trPr>
          <w:trHeight w:val="228"/>
        </w:trPr>
        <w:tc>
          <w:tcPr>
            <w:tcW w:w="9320" w:type="dxa"/>
            <w:vAlign w:val="bottom"/>
          </w:tcPr>
          <w:p>
            <w:pPr>
              <w:ind w:left="380"/>
              <w:spacing w:after="0"/>
              <w:rPr>
                <w:sz w:val="20"/>
                <w:szCs w:val="20"/>
                <w:color w:val="auto"/>
              </w:rPr>
            </w:pPr>
            <w:r>
              <w:rPr>
                <w:rFonts w:ascii="Arial" w:cs="Arial" w:eastAsia="Arial" w:hAnsi="Arial"/>
                <w:sz w:val="19"/>
                <w:szCs w:val="19"/>
                <w:color w:val="auto"/>
              </w:rPr>
              <w:t>Increases related to tax positions taken during the prior year</w:t>
            </w: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9"/>
                <w:szCs w:val="19"/>
                <w:color w:val="auto"/>
                <w:w w:val="81"/>
              </w:rPr>
              <w:t>227</w:t>
            </w:r>
          </w:p>
        </w:tc>
        <w:tc>
          <w:tcPr>
            <w:tcW w:w="40" w:type="dxa"/>
            <w:vAlign w:val="bottom"/>
          </w:tcPr>
          <w:p>
            <w:pPr>
              <w:spacing w:after="0"/>
              <w:rPr>
                <w:sz w:val="19"/>
                <w:szCs w:val="19"/>
                <w:color w:val="auto"/>
              </w:rPr>
            </w:pPr>
          </w:p>
        </w:tc>
      </w:tr>
      <w:tr>
        <w:trPr>
          <w:trHeight w:val="228"/>
        </w:trPr>
        <w:tc>
          <w:tcPr>
            <w:tcW w:w="93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Increases related to tax positions taken during the current year</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1"/>
              </w:rPr>
              <w:t>403</w:t>
            </w:r>
          </w:p>
        </w:tc>
        <w:tc>
          <w:tcPr>
            <w:tcW w:w="40" w:type="dxa"/>
            <w:vAlign w:val="bottom"/>
            <w:shd w:val="clear" w:color="auto" w:fill="CCEEFF"/>
          </w:tcPr>
          <w:p>
            <w:pPr>
              <w:spacing w:after="0"/>
              <w:rPr>
                <w:sz w:val="19"/>
                <w:szCs w:val="19"/>
                <w:color w:val="auto"/>
              </w:rPr>
            </w:pPr>
          </w:p>
        </w:tc>
      </w:tr>
      <w:tr>
        <w:trPr>
          <w:trHeight w:val="236"/>
        </w:trPr>
        <w:tc>
          <w:tcPr>
            <w:tcW w:w="9320" w:type="dxa"/>
            <w:vAlign w:val="bottom"/>
          </w:tcPr>
          <w:p>
            <w:pPr>
              <w:spacing w:after="0"/>
              <w:rPr>
                <w:sz w:val="20"/>
                <w:szCs w:val="20"/>
                <w:color w:val="auto"/>
              </w:rPr>
            </w:pPr>
            <w:r>
              <w:rPr>
                <w:rFonts w:ascii="Arial" w:cs="Arial" w:eastAsia="Arial" w:hAnsi="Arial"/>
                <w:sz w:val="19"/>
                <w:szCs w:val="19"/>
                <w:color w:val="auto"/>
              </w:rPr>
              <w:t>Balance as of December 31, 2017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u w:val="single" w:color="auto"/>
                <w:color w:val="auto"/>
                <w:w w:val="75"/>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1"/>
              </w:rPr>
              <w:t>630</w:t>
            </w:r>
          </w:p>
        </w:tc>
        <w:tc>
          <w:tcPr>
            <w:tcW w:w="40" w:type="dxa"/>
            <w:vAlign w:val="bottom"/>
          </w:tcPr>
          <w:p>
            <w:pPr>
              <w:spacing w:after="0"/>
              <w:rPr>
                <w:sz w:val="20"/>
                <w:szCs w:val="20"/>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right="20"/>
        <w:spacing w:after="0" w:line="272" w:lineRule="auto"/>
        <w:rPr>
          <w:sz w:val="20"/>
          <w:szCs w:val="20"/>
          <w:color w:val="auto"/>
        </w:rPr>
      </w:pPr>
      <w:r>
        <w:rPr>
          <w:rFonts w:ascii="Arial" w:cs="Arial" w:eastAsia="Arial" w:hAnsi="Arial"/>
          <w:sz w:val="18"/>
          <w:szCs w:val="18"/>
          <w:color w:val="auto"/>
        </w:rPr>
        <w:t>If the unrecognized tax benefits for uncertain tax positions as of December 31, 2017, is recognized, there will be no impact to the effective tax rate as the tax benefit would increase the deferred tax assets, which is currently offset with a full valuation allowance. The Company’s policy is to include interest and penalties related to unrecognized tax benefits, if any, within the provision for taxes in the consolidated statements of operations. The Company did not accrue any interest or penalties and does not have any tax positions for interest or penalties for the year ended December 31, 2017. The Company does not have any tax positions for which it is reasonably possible that the total amount of gross unrecognized tax benefits will significantly change within 12 months of December 31, 2017.</w:t>
      </w:r>
    </w:p>
    <w:p>
      <w:pPr>
        <w:spacing w:after="0" w:line="76" w:lineRule="exact"/>
        <w:rPr>
          <w:sz w:val="20"/>
          <w:szCs w:val="20"/>
          <w:color w:val="auto"/>
        </w:rPr>
      </w:pPr>
    </w:p>
    <w:p>
      <w:pPr>
        <w:ind w:left="640" w:right="720"/>
        <w:spacing w:after="0" w:line="275" w:lineRule="auto"/>
        <w:rPr>
          <w:sz w:val="20"/>
          <w:szCs w:val="20"/>
          <w:color w:val="auto"/>
        </w:rPr>
      </w:pPr>
      <w:r>
        <w:rPr>
          <w:rFonts w:ascii="Arial" w:cs="Arial" w:eastAsia="Arial" w:hAnsi="Arial"/>
          <w:sz w:val="19"/>
          <w:szCs w:val="19"/>
          <w:color w:val="auto"/>
        </w:rPr>
        <w:t>The Company recognizes the tax benefit of an uncertain tax position only if it is more likely than not that the position is sustainable upon examination by the taxing authority, based on the technical merits. The Company</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F-23</w:t>
      </w:r>
    </w:p>
    <w:p>
      <w:pPr>
        <w:sectPr>
          <w:pgSz w:w="12240" w:h="15840" w:orient="portrait"/>
          <w:cols w:equalWidth="0" w:num="1">
            <w:col w:w="11800"/>
          </w:cols>
          <w:pgMar w:left="120" w:top="336" w:right="320" w:bottom="1440" w:gutter="0" w:footer="0" w:header="0"/>
        </w:sectPr>
      </w:pPr>
    </w:p>
    <w:bookmarkStart w:id="214" w:name="page215"/>
    <w:bookmarkEnd w:id="21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5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right="140"/>
        <w:spacing w:after="0" w:line="275" w:lineRule="auto"/>
        <w:rPr>
          <w:sz w:val="20"/>
          <w:szCs w:val="20"/>
          <w:color w:val="auto"/>
        </w:rPr>
      </w:pPr>
      <w:r>
        <w:rPr>
          <w:rFonts w:ascii="Arial" w:cs="Arial" w:eastAsia="Arial" w:hAnsi="Arial"/>
          <w:sz w:val="19"/>
          <w:szCs w:val="19"/>
          <w:color w:val="auto"/>
        </w:rPr>
        <w:t>uses a two-step approach to recognize and measure uncertain tax positions. During the year ended December 31, 2017, the Company recorded a tax reserve of $0.6 million as a reduction of the research credit carryover.</w:t>
      </w:r>
    </w:p>
    <w:p>
      <w:pPr>
        <w:spacing w:after="0" w:line="70" w:lineRule="exact"/>
        <w:rPr>
          <w:sz w:val="20"/>
          <w:szCs w:val="20"/>
          <w:color w:val="auto"/>
        </w:rPr>
      </w:pPr>
    </w:p>
    <w:p>
      <w:pPr>
        <w:jc w:val="both"/>
        <w:ind w:left="640" w:right="220"/>
        <w:spacing w:after="0" w:line="308" w:lineRule="auto"/>
        <w:rPr>
          <w:sz w:val="20"/>
          <w:szCs w:val="20"/>
          <w:color w:val="auto"/>
        </w:rPr>
      </w:pPr>
      <w:r>
        <w:rPr>
          <w:rFonts w:ascii="Arial" w:cs="Arial" w:eastAsia="Arial" w:hAnsi="Arial"/>
          <w:sz w:val="17"/>
          <w:szCs w:val="17"/>
          <w:color w:val="auto"/>
        </w:rPr>
        <w:t>The Company files federal and state income tax returns in jurisdictions with varying statutes of limitations. Due to its NOL carryforwards, the Company’s income tax returns generally remain subject to examination by federal and most state tax authorities. The Company is currently not subject to any income tax audits by federal or state taxing authorities. The statute of limitations for tax liabilities for all years remains open.</w:t>
      </w:r>
    </w:p>
    <w:p>
      <w:pPr>
        <w:spacing w:after="0" w:line="311" w:lineRule="exact"/>
        <w:rPr>
          <w:sz w:val="20"/>
          <w:szCs w:val="20"/>
          <w:color w:val="auto"/>
        </w:rPr>
      </w:pPr>
    </w:p>
    <w:p>
      <w:pPr>
        <w:ind w:left="640" w:hanging="461"/>
        <w:spacing w:after="0"/>
        <w:tabs>
          <w:tab w:leader="none" w:pos="640" w:val="left"/>
        </w:tabs>
        <w:numPr>
          <w:ilvl w:val="0"/>
          <w:numId w:val="131"/>
        </w:numPr>
        <w:rPr>
          <w:rFonts w:ascii="Arial" w:cs="Arial" w:eastAsia="Arial" w:hAnsi="Arial"/>
          <w:sz w:val="19"/>
          <w:szCs w:val="19"/>
          <w:b w:val="1"/>
          <w:bCs w:val="1"/>
          <w:color w:val="auto"/>
        </w:rPr>
      </w:pPr>
      <w:r>
        <w:rPr>
          <w:rFonts w:ascii="Arial" w:cs="Arial" w:eastAsia="Arial" w:hAnsi="Arial"/>
          <w:sz w:val="19"/>
          <w:szCs w:val="19"/>
          <w:b w:val="1"/>
          <w:bCs w:val="1"/>
          <w:color w:val="auto"/>
        </w:rPr>
        <w:t>Related Party Transactions</w:t>
      </w:r>
    </w:p>
    <w:p>
      <w:pPr>
        <w:spacing w:after="0" w:line="129" w:lineRule="exact"/>
        <w:rPr>
          <w:rFonts w:ascii="Arial" w:cs="Arial" w:eastAsia="Arial" w:hAnsi="Arial"/>
          <w:sz w:val="19"/>
          <w:szCs w:val="19"/>
          <w:b w:val="1"/>
          <w:bCs w:val="1"/>
          <w:color w:val="auto"/>
        </w:rPr>
      </w:pPr>
    </w:p>
    <w:p>
      <w:pPr>
        <w:ind w:left="640"/>
        <w:spacing w:after="0" w:line="268" w:lineRule="auto"/>
        <w:rPr>
          <w:rFonts w:ascii="Arial" w:cs="Arial" w:eastAsia="Arial" w:hAnsi="Arial"/>
          <w:sz w:val="19"/>
          <w:szCs w:val="19"/>
          <w:b w:val="1"/>
          <w:bCs w:val="1"/>
          <w:color w:val="auto"/>
        </w:rPr>
      </w:pPr>
      <w:r>
        <w:rPr>
          <w:rFonts w:ascii="Arial" w:cs="Arial" w:eastAsia="Arial" w:hAnsi="Arial"/>
          <w:sz w:val="18"/>
          <w:szCs w:val="18"/>
          <w:color w:val="auto"/>
        </w:rPr>
        <w:t>In 2014, the Company entered into a collaboration agreement with Adimab, LLC (“Adimab”), which (as amended, and together with certain applicable option exercise letters the Company sent to Adimab, the “Adimab Collaboration Agreement”). The Company works with Adimab to discover and optimize antibodies directed against certain targets selected by the Company. Under the Adimab Collaboration Agreement, the Company is required to fund, and the Company and Adimab are required to use commercially reasonable efforts to conduct certain research to discover and optimize antibodies directed against targets selected by the Company. The Company is developing antibodies discovered by Adimab in its AL001 and AL101 product candidates, and the Company is developing antibodies optimized by Adimab in its AL002 and AL003 product candidates. The Chief Executive Officer of Adimab is a Co-Founder and Chairperson of the board of directors of Alector. For the years ended December 31, 2016 and 2017, Alector incurred expenses of $0.6 million and $0.4 million for services provided by Adimab, respectively. As of December 31, 2016 and 2017, the Company had an accounts payable balance of $0.1 million relating to services provided by Adimab. The Company will owe up to $3.5 million in milestone payments per program to Adimab for its product candidates. We will also owe low- to mid-single-digit royalty payments for commercial sales of such product candidates.</w:t>
      </w:r>
    </w:p>
    <w:p>
      <w:pPr>
        <w:spacing w:after="0" w:line="346" w:lineRule="exact"/>
        <w:rPr>
          <w:rFonts w:ascii="Arial" w:cs="Arial" w:eastAsia="Arial" w:hAnsi="Arial"/>
          <w:sz w:val="19"/>
          <w:szCs w:val="19"/>
          <w:b w:val="1"/>
          <w:bCs w:val="1"/>
          <w:color w:val="auto"/>
        </w:rPr>
      </w:pPr>
    </w:p>
    <w:p>
      <w:pPr>
        <w:ind w:left="640" w:hanging="461"/>
        <w:spacing w:after="0"/>
        <w:tabs>
          <w:tab w:leader="none" w:pos="640" w:val="left"/>
        </w:tabs>
        <w:numPr>
          <w:ilvl w:val="0"/>
          <w:numId w:val="131"/>
        </w:numPr>
        <w:rPr>
          <w:rFonts w:ascii="Arial" w:cs="Arial" w:eastAsia="Arial" w:hAnsi="Arial"/>
          <w:sz w:val="19"/>
          <w:szCs w:val="19"/>
          <w:b w:val="1"/>
          <w:bCs w:val="1"/>
          <w:color w:val="auto"/>
        </w:rPr>
      </w:pPr>
      <w:r>
        <w:rPr>
          <w:rFonts w:ascii="Arial" w:cs="Arial" w:eastAsia="Arial" w:hAnsi="Arial"/>
          <w:sz w:val="19"/>
          <w:szCs w:val="19"/>
          <w:b w:val="1"/>
          <w:bCs w:val="1"/>
          <w:color w:val="auto"/>
        </w:rPr>
        <w:t>Net Loss Per Share and Unaudited Pro Forma Net Loss Per Share</w:t>
      </w:r>
    </w:p>
    <w:p>
      <w:pPr>
        <w:spacing w:after="0" w:line="129" w:lineRule="exact"/>
        <w:rPr>
          <w:rFonts w:ascii="Arial" w:cs="Arial" w:eastAsia="Arial" w:hAnsi="Arial"/>
          <w:sz w:val="19"/>
          <w:szCs w:val="19"/>
          <w:b w:val="1"/>
          <w:bCs w:val="1"/>
          <w:color w:val="auto"/>
        </w:rPr>
      </w:pPr>
    </w:p>
    <w:p>
      <w:pPr>
        <w:ind w:left="640" w:right="64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The following outstanding potentially dilutive shares have been excluded from the calculation of diluted net loss per share for the periods presented due to their anti-dilutive effect:</w:t>
      </w:r>
    </w:p>
    <w:p>
      <w:pPr>
        <w:spacing w:after="0" w:line="203" w:lineRule="exact"/>
        <w:rPr>
          <w:sz w:val="20"/>
          <w:szCs w:val="20"/>
          <w:color w:val="auto"/>
        </w:rPr>
      </w:pPr>
    </w:p>
    <w:tbl>
      <w:tblPr>
        <w:tblLayout w:type="fixed"/>
        <w:tblInd w:w="1580" w:type="dxa"/>
        <w:tblCellMar>
          <w:top w:w="0" w:type="dxa"/>
          <w:left w:w="0" w:type="dxa"/>
          <w:bottom w:w="0" w:type="dxa"/>
          <w:right w:w="0" w:type="dxa"/>
        </w:tblCellMar>
      </w:tblPr>
      <w:tr>
        <w:trPr>
          <w:trHeight w:val="180"/>
        </w:trPr>
        <w:tc>
          <w:tcPr>
            <w:tcW w:w="6180" w:type="dxa"/>
            <w:vAlign w:val="bottom"/>
          </w:tcPr>
          <w:p>
            <w:pPr>
              <w:spacing w:after="0"/>
              <w:rPr>
                <w:sz w:val="15"/>
                <w:szCs w:val="15"/>
                <w:color w:val="auto"/>
              </w:rPr>
            </w:pPr>
          </w:p>
        </w:tc>
        <w:tc>
          <w:tcPr>
            <w:tcW w:w="2660" w:type="dxa"/>
            <w:vAlign w:val="bottom"/>
            <w:gridSpan w:val="4"/>
          </w:tcPr>
          <w:p>
            <w:pPr>
              <w:jc w:val="right"/>
              <w:ind w:right="520"/>
              <w:spacing w:after="0"/>
              <w:rPr>
                <w:sz w:val="20"/>
                <w:szCs w:val="20"/>
                <w:color w:val="auto"/>
              </w:rPr>
            </w:pPr>
            <w:r>
              <w:rPr>
                <w:rFonts w:ascii="Arial" w:cs="Arial" w:eastAsia="Arial" w:hAnsi="Arial"/>
                <w:sz w:val="15"/>
                <w:szCs w:val="15"/>
                <w:b w:val="1"/>
                <w:bCs w:val="1"/>
                <w:color w:val="auto"/>
              </w:rPr>
              <w:t>Year Ended December 31,</w:t>
            </w:r>
          </w:p>
        </w:tc>
      </w:tr>
      <w:tr>
        <w:trPr>
          <w:trHeight w:val="151"/>
        </w:trPr>
        <w:tc>
          <w:tcPr>
            <w:tcW w:w="618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0"/>
              <w:spacing w:after="0" w:line="151" w:lineRule="exact"/>
              <w:rPr>
                <w:sz w:val="20"/>
                <w:szCs w:val="20"/>
                <w:color w:val="auto"/>
              </w:rPr>
            </w:pPr>
            <w:r>
              <w:rPr>
                <w:rFonts w:ascii="Arial" w:cs="Arial" w:eastAsia="Arial" w:hAnsi="Arial"/>
                <w:sz w:val="15"/>
                <w:szCs w:val="15"/>
                <w:b w:val="1"/>
                <w:bCs w:val="1"/>
                <w:color w:val="auto"/>
              </w:rPr>
              <w:t>2016</w:t>
            </w:r>
          </w:p>
        </w:tc>
        <w:tc>
          <w:tcPr>
            <w:tcW w:w="400" w:type="dxa"/>
            <w:vAlign w:val="bottom"/>
            <w:tcBorders>
              <w:top w:val="single" w:sz="8" w:color="auto"/>
              <w:bottom w:val="single" w:sz="8" w:color="CCEEFF"/>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08"/>
              <w:spacing w:after="0" w:line="151" w:lineRule="exact"/>
              <w:rPr>
                <w:sz w:val="20"/>
                <w:szCs w:val="20"/>
                <w:color w:val="auto"/>
              </w:rPr>
            </w:pPr>
            <w:r>
              <w:rPr>
                <w:rFonts w:ascii="Arial" w:cs="Arial" w:eastAsia="Arial" w:hAnsi="Arial"/>
                <w:sz w:val="15"/>
                <w:szCs w:val="15"/>
                <w:b w:val="1"/>
                <w:bCs w:val="1"/>
                <w:color w:val="auto"/>
              </w:rPr>
              <w:t>2017</w:t>
            </w:r>
          </w:p>
        </w:tc>
        <w:tc>
          <w:tcPr>
            <w:tcW w:w="80" w:type="dxa"/>
            <w:vAlign w:val="bottom"/>
            <w:tcBorders>
              <w:bottom w:val="single" w:sz="8" w:color="CCEEFF"/>
            </w:tcBorders>
          </w:tcPr>
          <w:p>
            <w:pPr>
              <w:spacing w:after="0"/>
              <w:rPr>
                <w:sz w:val="13"/>
                <w:szCs w:val="13"/>
                <w:color w:val="auto"/>
              </w:rPr>
            </w:pPr>
          </w:p>
        </w:tc>
      </w:tr>
      <w:tr>
        <w:trPr>
          <w:trHeight w:val="222"/>
        </w:trPr>
        <w:tc>
          <w:tcPr>
            <w:tcW w:w="6180" w:type="dxa"/>
            <w:vAlign w:val="bottom"/>
            <w:shd w:val="clear" w:color="auto" w:fill="CCEEFF"/>
          </w:tcPr>
          <w:p>
            <w:pPr>
              <w:spacing w:after="0"/>
              <w:rPr>
                <w:sz w:val="20"/>
                <w:szCs w:val="20"/>
                <w:color w:val="auto"/>
              </w:rPr>
            </w:pPr>
            <w:r>
              <w:rPr>
                <w:rFonts w:ascii="Arial" w:cs="Arial" w:eastAsia="Arial" w:hAnsi="Arial"/>
                <w:sz w:val="19"/>
                <w:szCs w:val="19"/>
                <w:color w:val="auto"/>
              </w:rPr>
              <w:t>Convertible preferred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36,001,203</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36,001,203</w:t>
            </w:r>
          </w:p>
        </w:tc>
        <w:tc>
          <w:tcPr>
            <w:tcW w:w="80" w:type="dxa"/>
            <w:vAlign w:val="bottom"/>
            <w:shd w:val="clear" w:color="auto" w:fill="CCEEFF"/>
          </w:tcPr>
          <w:p>
            <w:pPr>
              <w:spacing w:after="0"/>
              <w:rPr>
                <w:sz w:val="19"/>
                <w:szCs w:val="19"/>
                <w:color w:val="auto"/>
              </w:rPr>
            </w:pPr>
          </w:p>
        </w:tc>
      </w:tr>
      <w:tr>
        <w:trPr>
          <w:trHeight w:val="228"/>
        </w:trPr>
        <w:tc>
          <w:tcPr>
            <w:tcW w:w="6180" w:type="dxa"/>
            <w:vAlign w:val="bottom"/>
          </w:tcPr>
          <w:p>
            <w:pPr>
              <w:spacing w:after="0"/>
              <w:rPr>
                <w:sz w:val="20"/>
                <w:szCs w:val="20"/>
                <w:color w:val="auto"/>
              </w:rPr>
            </w:pPr>
            <w:r>
              <w:rPr>
                <w:rFonts w:ascii="Arial" w:cs="Arial" w:eastAsia="Arial" w:hAnsi="Arial"/>
                <w:sz w:val="19"/>
                <w:szCs w:val="19"/>
                <w:color w:val="auto"/>
              </w:rPr>
              <w:t>Restricted stock subject to future vesting</w:t>
            </w:r>
          </w:p>
        </w:tc>
        <w:tc>
          <w:tcPr>
            <w:tcW w:w="1480" w:type="dxa"/>
            <w:vAlign w:val="bottom"/>
            <w:gridSpan w:val="2"/>
          </w:tcPr>
          <w:p>
            <w:pPr>
              <w:jc w:val="right"/>
              <w:ind w:right="400"/>
              <w:spacing w:after="0"/>
              <w:rPr>
                <w:sz w:val="20"/>
                <w:szCs w:val="20"/>
                <w:color w:val="auto"/>
              </w:rPr>
            </w:pPr>
            <w:r>
              <w:rPr>
                <w:rFonts w:ascii="Arial" w:cs="Arial" w:eastAsia="Arial" w:hAnsi="Arial"/>
                <w:sz w:val="19"/>
                <w:szCs w:val="19"/>
                <w:color w:val="auto"/>
              </w:rPr>
              <w:t>1,480,199</w:t>
            </w:r>
          </w:p>
        </w:tc>
        <w:tc>
          <w:tcPr>
            <w:tcW w:w="1100" w:type="dxa"/>
            <w:vAlign w:val="bottom"/>
          </w:tcPr>
          <w:p>
            <w:pPr>
              <w:jc w:val="right"/>
              <w:spacing w:after="0"/>
              <w:rPr>
                <w:sz w:val="20"/>
                <w:szCs w:val="20"/>
                <w:color w:val="auto"/>
              </w:rPr>
            </w:pPr>
            <w:r>
              <w:rPr>
                <w:rFonts w:ascii="Arial" w:cs="Arial" w:eastAsia="Arial" w:hAnsi="Arial"/>
                <w:sz w:val="19"/>
                <w:szCs w:val="19"/>
                <w:color w:val="auto"/>
              </w:rPr>
              <w:t>3,148,813</w:t>
            </w:r>
          </w:p>
        </w:tc>
        <w:tc>
          <w:tcPr>
            <w:tcW w:w="80" w:type="dxa"/>
            <w:vAlign w:val="bottom"/>
          </w:tcPr>
          <w:p>
            <w:pPr>
              <w:spacing w:after="0"/>
              <w:rPr>
                <w:sz w:val="19"/>
                <w:szCs w:val="19"/>
                <w:color w:val="auto"/>
              </w:rPr>
            </w:pPr>
          </w:p>
        </w:tc>
      </w:tr>
      <w:tr>
        <w:trPr>
          <w:trHeight w:val="228"/>
        </w:trPr>
        <w:tc>
          <w:tcPr>
            <w:tcW w:w="6180" w:type="dxa"/>
            <w:vAlign w:val="bottom"/>
            <w:shd w:val="clear" w:color="auto" w:fill="CCEEFF"/>
          </w:tcPr>
          <w:p>
            <w:pPr>
              <w:spacing w:after="0"/>
              <w:rPr>
                <w:sz w:val="20"/>
                <w:szCs w:val="20"/>
                <w:color w:val="auto"/>
              </w:rPr>
            </w:pPr>
            <w:r>
              <w:rPr>
                <w:rFonts w:ascii="Arial" w:cs="Arial" w:eastAsia="Arial" w:hAnsi="Arial"/>
                <w:sz w:val="19"/>
                <w:szCs w:val="19"/>
                <w:color w:val="auto"/>
              </w:rPr>
              <w:t>Options to purchase common stock</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22,500</w:t>
            </w:r>
          </w:p>
        </w:tc>
      </w:tr>
      <w:tr>
        <w:trPr>
          <w:trHeight w:val="228"/>
        </w:trPr>
        <w:tc>
          <w:tcPr>
            <w:tcW w:w="6180" w:type="dxa"/>
            <w:vAlign w:val="bottom"/>
          </w:tcPr>
          <w:p>
            <w:pPr>
              <w:spacing w:after="0"/>
              <w:rPr>
                <w:sz w:val="20"/>
                <w:szCs w:val="20"/>
                <w:color w:val="auto"/>
              </w:rPr>
            </w:pPr>
            <w:r>
              <w:rPr>
                <w:rFonts w:ascii="Arial" w:cs="Arial" w:eastAsia="Arial" w:hAnsi="Arial"/>
                <w:sz w:val="19"/>
                <w:szCs w:val="19"/>
                <w:color w:val="auto"/>
              </w:rPr>
              <w:t>Profit interest units</w:t>
            </w:r>
          </w:p>
        </w:tc>
        <w:tc>
          <w:tcPr>
            <w:tcW w:w="1080" w:type="dxa"/>
            <w:vAlign w:val="bottom"/>
          </w:tcPr>
          <w:p>
            <w:pPr>
              <w:jc w:val="right"/>
              <w:spacing w:after="0"/>
              <w:rPr>
                <w:sz w:val="20"/>
                <w:szCs w:val="20"/>
                <w:color w:val="auto"/>
              </w:rPr>
            </w:pPr>
            <w:r>
              <w:rPr>
                <w:rFonts w:ascii="Arial" w:cs="Arial" w:eastAsia="Arial" w:hAnsi="Arial"/>
                <w:sz w:val="19"/>
                <w:szCs w:val="19"/>
                <w:color w:val="auto"/>
              </w:rPr>
              <w:t>1,893,201</w:t>
            </w:r>
          </w:p>
        </w:tc>
        <w:tc>
          <w:tcPr>
            <w:tcW w:w="4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r>
      <w:tr>
        <w:trPr>
          <w:trHeight w:val="29"/>
        </w:trPr>
        <w:tc>
          <w:tcPr>
            <w:tcW w:w="6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8"/>
        </w:trPr>
        <w:tc>
          <w:tcPr>
            <w:tcW w:w="618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39,374,603</w:t>
            </w:r>
          </w:p>
        </w:tc>
        <w:tc>
          <w:tcPr>
            <w:tcW w:w="4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39,172,516</w:t>
            </w:r>
          </w:p>
        </w:tc>
      </w:tr>
      <w:tr>
        <w:trPr>
          <w:trHeight w:val="20"/>
        </w:trPr>
        <w:tc>
          <w:tcPr>
            <w:tcW w:w="6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the computation of the Company’s unaudited pro forma basic and diluted net loss per share during the year ended</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December 31, 2017 (in thousands, except share and per share amounts):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172"/>
        </w:trPr>
        <w:tc>
          <w:tcPr>
            <w:tcW w:w="9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21"/>
              <w:spacing w:after="0"/>
              <w:rPr>
                <w:sz w:val="20"/>
                <w:szCs w:val="20"/>
                <w:color w:val="auto"/>
              </w:rPr>
            </w:pPr>
            <w:r>
              <w:rPr>
                <w:rFonts w:ascii="Arial" w:cs="Arial" w:eastAsia="Arial" w:hAnsi="Arial"/>
                <w:sz w:val="15"/>
                <w:szCs w:val="15"/>
                <w:b w:val="1"/>
                <w:bCs w:val="1"/>
                <w:color w:val="auto"/>
                <w:w w:val="92"/>
              </w:rPr>
              <w:t>Year Ended</w:t>
            </w:r>
          </w:p>
        </w:tc>
        <w:tc>
          <w:tcPr>
            <w:tcW w:w="0" w:type="dxa"/>
            <w:vAlign w:val="bottom"/>
          </w:tcPr>
          <w:p>
            <w:pPr>
              <w:spacing w:after="0"/>
              <w:rPr>
                <w:sz w:val="1"/>
                <w:szCs w:val="1"/>
                <w:color w:val="auto"/>
              </w:rPr>
            </w:pPr>
          </w:p>
        </w:tc>
      </w:tr>
      <w:tr>
        <w:trPr>
          <w:trHeight w:val="157"/>
        </w:trPr>
        <w:tc>
          <w:tcPr>
            <w:tcW w:w="9620" w:type="dxa"/>
            <w:vAlign w:val="bottom"/>
          </w:tcPr>
          <w:p>
            <w:pPr>
              <w:spacing w:after="0"/>
              <w:rPr>
                <w:sz w:val="13"/>
                <w:szCs w:val="13"/>
                <w:color w:val="auto"/>
              </w:rPr>
            </w:pPr>
          </w:p>
        </w:tc>
        <w:tc>
          <w:tcPr>
            <w:tcW w:w="1060" w:type="dxa"/>
            <w:vAlign w:val="bottom"/>
            <w:gridSpan w:val="3"/>
          </w:tcPr>
          <w:p>
            <w:pPr>
              <w:jc w:val="center"/>
              <w:ind w:right="21"/>
              <w:spacing w:after="0" w:line="157" w:lineRule="exact"/>
              <w:rPr>
                <w:sz w:val="20"/>
                <w:szCs w:val="20"/>
                <w:color w:val="auto"/>
              </w:rPr>
            </w:pPr>
            <w:r>
              <w:rPr>
                <w:rFonts w:ascii="Arial" w:cs="Arial" w:eastAsia="Arial" w:hAnsi="Arial"/>
                <w:sz w:val="15"/>
                <w:szCs w:val="15"/>
                <w:b w:val="1"/>
                <w:bCs w:val="1"/>
                <w:color w:val="auto"/>
                <w:w w:val="90"/>
              </w:rPr>
              <w:t>December 31,</w:t>
            </w:r>
          </w:p>
        </w:tc>
        <w:tc>
          <w:tcPr>
            <w:tcW w:w="0" w:type="dxa"/>
            <w:vAlign w:val="bottom"/>
          </w:tcPr>
          <w:p>
            <w:pPr>
              <w:spacing w:after="0"/>
              <w:rPr>
                <w:sz w:val="1"/>
                <w:szCs w:val="1"/>
                <w:color w:val="auto"/>
              </w:rPr>
            </w:pPr>
          </w:p>
        </w:tc>
      </w:tr>
      <w:tr>
        <w:trPr>
          <w:trHeight w:val="180"/>
        </w:trPr>
        <w:tc>
          <w:tcPr>
            <w:tcW w:w="96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0"/>
              <w:spacing w:after="0"/>
              <w:rPr>
                <w:sz w:val="20"/>
                <w:szCs w:val="20"/>
                <w:color w:val="auto"/>
              </w:rPr>
            </w:pPr>
            <w:r>
              <w:rPr>
                <w:rFonts w:ascii="Arial" w:cs="Arial" w:eastAsia="Arial" w:hAnsi="Arial"/>
                <w:sz w:val="15"/>
                <w:szCs w:val="15"/>
                <w:b w:val="1"/>
                <w:bCs w:val="1"/>
                <w:color w:val="auto"/>
                <w:w w:val="89"/>
              </w:rPr>
              <w:t>2017</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9620" w:type="dxa"/>
            <w:vAlign w:val="bottom"/>
            <w:shd w:val="clear" w:color="auto" w:fill="CCEEFF"/>
          </w:tcPr>
          <w:p>
            <w:pPr>
              <w:spacing w:after="0"/>
              <w:rPr>
                <w:sz w:val="20"/>
                <w:szCs w:val="20"/>
                <w:color w:val="auto"/>
              </w:rPr>
            </w:pPr>
            <w:r>
              <w:rPr>
                <w:rFonts w:ascii="Arial" w:cs="Arial" w:eastAsia="Arial" w:hAnsi="Arial"/>
                <w:sz w:val="19"/>
                <w:szCs w:val="19"/>
                <w:color w:val="auto"/>
              </w:rPr>
              <w:t>Net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(32,480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Arial" w:cs="Arial" w:eastAsia="Arial" w:hAnsi="Arial"/>
                <w:sz w:val="19"/>
                <w:szCs w:val="19"/>
                <w:color w:val="auto"/>
              </w:rPr>
              <w:t>Shares used in computing net loss per share, basic and diluted</w:t>
            </w: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w w:val="99"/>
              </w:rPr>
              <w:t>9,142,688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20" w:type="dxa"/>
            <w:vAlign w:val="bottom"/>
            <w:shd w:val="clear" w:color="auto" w:fill="CCEEFF"/>
          </w:tcPr>
          <w:p>
            <w:pPr>
              <w:spacing w:after="0"/>
              <w:rPr>
                <w:sz w:val="20"/>
                <w:szCs w:val="20"/>
                <w:color w:val="auto"/>
              </w:rPr>
            </w:pPr>
            <w:r>
              <w:rPr>
                <w:rFonts w:ascii="Arial" w:cs="Arial" w:eastAsia="Arial" w:hAnsi="Arial"/>
                <w:sz w:val="19"/>
                <w:szCs w:val="19"/>
                <w:color w:val="auto"/>
              </w:rPr>
              <w:t>Pro forma adjustment to reflect assumed conversion of convertible preferred stock</w:t>
            </w: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8"/>
              </w:rPr>
              <w:t>36,001,203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9620" w:type="dxa"/>
            <w:vAlign w:val="bottom"/>
          </w:tcPr>
          <w:p>
            <w:pPr>
              <w:spacing w:after="0"/>
              <w:rPr>
                <w:sz w:val="20"/>
                <w:szCs w:val="20"/>
                <w:color w:val="auto"/>
              </w:rPr>
            </w:pPr>
            <w:r>
              <w:rPr>
                <w:rFonts w:ascii="Arial" w:cs="Arial" w:eastAsia="Arial" w:hAnsi="Arial"/>
                <w:sz w:val="19"/>
                <w:szCs w:val="19"/>
                <w:color w:val="auto"/>
              </w:rPr>
              <w:t>Shares used in computing pro forma net loss per share, basic and diluted</w:t>
            </w:r>
          </w:p>
        </w:tc>
        <w:tc>
          <w:tcPr>
            <w:tcW w:w="10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9"/>
                <w:szCs w:val="19"/>
                <w:color w:val="auto"/>
                <w:w w:val="88"/>
              </w:rPr>
              <w:t>45,143,891</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6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Pro forma 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(0.72)</w:t>
            </w:r>
          </w:p>
        </w:tc>
        <w:tc>
          <w:tcPr>
            <w:tcW w:w="0" w:type="dxa"/>
            <w:vAlign w:val="bottom"/>
          </w:tcPr>
          <w:p>
            <w:pPr>
              <w:spacing w:after="0"/>
              <w:rPr>
                <w:sz w:val="1"/>
                <w:szCs w:val="1"/>
                <w:color w:val="auto"/>
              </w:rPr>
            </w:pPr>
          </w:p>
        </w:tc>
      </w:tr>
      <w:tr>
        <w:trPr>
          <w:trHeight w:val="20"/>
        </w:trPr>
        <w:tc>
          <w:tcPr>
            <w:tcW w:w="9620" w:type="dxa"/>
            <w:vAlign w:val="bottom"/>
            <w:vMerge w:val="restart"/>
          </w:tcPr>
          <w:p>
            <w:pPr>
              <w:ind w:left="5160"/>
              <w:spacing w:after="0"/>
              <w:rPr>
                <w:sz w:val="20"/>
                <w:szCs w:val="20"/>
                <w:color w:val="auto"/>
              </w:rPr>
            </w:pPr>
            <w:r>
              <w:rPr>
                <w:rFonts w:ascii="Arial" w:cs="Arial" w:eastAsia="Arial" w:hAnsi="Arial"/>
                <w:sz w:val="19"/>
                <w:szCs w:val="19"/>
                <w:color w:val="auto"/>
              </w:rPr>
              <w:t>F-24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9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740"/>
          </w:cols>
          <w:pgMar w:left="120" w:top="336" w:right="380" w:bottom="1440" w:gutter="0" w:footer="0" w:header="0"/>
        </w:sectPr>
      </w:pPr>
    </w:p>
    <w:bookmarkStart w:id="215" w:name="page216"/>
    <w:bookmarkEnd w:id="21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33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33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right="60"/>
        <w:spacing w:after="0" w:line="255" w:lineRule="auto"/>
        <w:rPr>
          <w:sz w:val="20"/>
          <w:szCs w:val="20"/>
          <w:color w:val="auto"/>
        </w:rPr>
      </w:pPr>
      <w:r>
        <w:rPr>
          <w:rFonts w:ascii="Arial" w:cs="Arial" w:eastAsia="Arial" w:hAnsi="Arial"/>
          <w:sz w:val="19"/>
          <w:szCs w:val="19"/>
          <w:color w:val="auto"/>
        </w:rPr>
        <w:t>Pro forma basic and diluted net loss per share has been computed to give effect to the conversion of all outstanding convertible preferred stock into shares of common stock. The unaudited pro forma net loss per share does not include the shares expected to be sold and related proceeds to be received from the initial public offering. The unaudited pro forma net loss per share for the year ended December 31, 2017, was computed using the weighted-average number of shares of common stock outstanding, including the pro forma effect of the conversion of all outstanding shares of convertible preferred stock into shares of common stock, as if such conversion had occurred at the beginning of the period, or their issuance dates if later.</w:t>
      </w:r>
    </w:p>
    <w:p>
      <w:pPr>
        <w:spacing w:after="0" w:line="355" w:lineRule="exact"/>
        <w:rPr>
          <w:sz w:val="20"/>
          <w:szCs w:val="20"/>
          <w:color w:val="auto"/>
        </w:rPr>
      </w:pPr>
    </w:p>
    <w:p>
      <w:pPr>
        <w:ind w:left="640" w:hanging="461"/>
        <w:spacing w:after="0"/>
        <w:tabs>
          <w:tab w:leader="none" w:pos="640" w:val="left"/>
        </w:tabs>
        <w:numPr>
          <w:ilvl w:val="0"/>
          <w:numId w:val="132"/>
        </w:numPr>
        <w:rPr>
          <w:rFonts w:ascii="Arial" w:cs="Arial" w:eastAsia="Arial" w:hAnsi="Arial"/>
          <w:sz w:val="19"/>
          <w:szCs w:val="19"/>
          <w:b w:val="1"/>
          <w:bCs w:val="1"/>
          <w:color w:val="auto"/>
        </w:rPr>
      </w:pPr>
      <w:r>
        <w:rPr>
          <w:rFonts w:ascii="Arial" w:cs="Arial" w:eastAsia="Arial" w:hAnsi="Arial"/>
          <w:sz w:val="19"/>
          <w:szCs w:val="19"/>
          <w:b w:val="1"/>
          <w:bCs w:val="1"/>
          <w:color w:val="auto"/>
        </w:rPr>
        <w:t>Subsequent Events</w:t>
      </w:r>
    </w:p>
    <w:p>
      <w:pPr>
        <w:spacing w:after="0" w:line="129" w:lineRule="exact"/>
        <w:rPr>
          <w:rFonts w:ascii="Arial" w:cs="Arial" w:eastAsia="Arial" w:hAnsi="Arial"/>
          <w:sz w:val="19"/>
          <w:szCs w:val="19"/>
          <w:b w:val="1"/>
          <w:bCs w:val="1"/>
          <w:color w:val="auto"/>
        </w:rPr>
      </w:pPr>
    </w:p>
    <w:p>
      <w:pPr>
        <w:ind w:left="640" w:right="280"/>
        <w:spacing w:after="0" w:line="304" w:lineRule="auto"/>
        <w:rPr>
          <w:rFonts w:ascii="Arial" w:cs="Arial" w:eastAsia="Arial" w:hAnsi="Arial"/>
          <w:sz w:val="19"/>
          <w:szCs w:val="19"/>
          <w:b w:val="1"/>
          <w:bCs w:val="1"/>
          <w:color w:val="auto"/>
        </w:rPr>
      </w:pPr>
      <w:r>
        <w:rPr>
          <w:rFonts w:ascii="Arial" w:cs="Arial" w:eastAsia="Arial" w:hAnsi="Arial"/>
          <w:sz w:val="18"/>
          <w:szCs w:val="18"/>
          <w:color w:val="auto"/>
        </w:rPr>
        <w:t>The Company has evaluated subsequent events that may require adjustments to or disclosure in the consolidated financial statements through October 12, 2018, the date on which the December 31, 2017 consolidated financial statements were issued.</w:t>
      </w:r>
    </w:p>
    <w:p>
      <w:pPr>
        <w:spacing w:after="0" w:line="46" w:lineRule="exact"/>
        <w:rPr>
          <w:rFonts w:ascii="Arial" w:cs="Arial" w:eastAsia="Arial" w:hAnsi="Arial"/>
          <w:sz w:val="19"/>
          <w:szCs w:val="19"/>
          <w:b w:val="1"/>
          <w:bCs w:val="1"/>
          <w:color w:val="auto"/>
        </w:rPr>
      </w:pPr>
    </w:p>
    <w:p>
      <w:pPr>
        <w:ind w:left="640" w:right="20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In April 2018 and July 2018, the Company issued 9,349,012 shares of Series E convertible preferred stock at a price of $14.2154 per share for aggregate gross proceeds of $132.9 million.</w:t>
      </w:r>
    </w:p>
    <w:p>
      <w:pPr>
        <w:spacing w:after="0" w:line="69" w:lineRule="exact"/>
        <w:rPr>
          <w:rFonts w:ascii="Arial" w:cs="Arial" w:eastAsia="Arial" w:hAnsi="Arial"/>
          <w:sz w:val="19"/>
          <w:szCs w:val="19"/>
          <w:b w:val="1"/>
          <w:bCs w:val="1"/>
          <w:color w:val="auto"/>
        </w:rPr>
      </w:pPr>
    </w:p>
    <w:p>
      <w:pPr>
        <w:ind w:left="64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In June 2018, the Company signed a lease agreement to lease approximately 105,000 square feet in a new office in South San Francisco that will be the new headquarters when the current lease ends in April 2019.</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9"/>
          <w:szCs w:val="19"/>
          <w:color w:val="auto"/>
        </w:rPr>
        <w:t>F-25</w:t>
      </w:r>
    </w:p>
    <w:p>
      <w:pPr>
        <w:sectPr>
          <w:pgSz w:w="12240" w:h="15840" w:orient="portrait"/>
          <w:cols w:equalWidth="0" w:num="1">
            <w:col w:w="11660"/>
          </w:cols>
          <w:pgMar w:left="120" w:top="336" w:right="460" w:bottom="1440" w:gutter="0" w:footer="0" w:header="0"/>
        </w:sectPr>
      </w:pPr>
    </w:p>
    <w:bookmarkStart w:id="216" w:name="page217"/>
    <w:bookmarkEnd w:id="21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Condensed Consolidated Balance Sheets</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i w:val="1"/>
          <w:iCs w:val="1"/>
          <w:color w:val="auto"/>
        </w:rPr>
        <w:t>(In thousands, except share and per share data)</w:t>
      </w:r>
    </w:p>
    <w:p>
      <w:pPr>
        <w:spacing w:after="0" w:line="229"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3"/>
              </w:rPr>
              <w:t>Pro Forma</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gridSpan w:val="3"/>
          </w:tcPr>
          <w:p>
            <w:pPr>
              <w:jc w:val="center"/>
              <w:ind w:right="100"/>
              <w:spacing w:after="0" w:line="157" w:lineRule="exact"/>
              <w:rPr>
                <w:sz w:val="20"/>
                <w:szCs w:val="20"/>
                <w:color w:val="auto"/>
              </w:rPr>
            </w:pPr>
            <w:r>
              <w:rPr>
                <w:rFonts w:ascii="Arial" w:cs="Arial" w:eastAsia="Arial" w:hAnsi="Arial"/>
                <w:sz w:val="15"/>
                <w:szCs w:val="15"/>
                <w:b w:val="1"/>
                <w:bCs w:val="1"/>
                <w:color w:val="auto"/>
                <w:w w:val="90"/>
              </w:rPr>
              <w:t>Stockholders’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gridSpan w:val="3"/>
          </w:tcPr>
          <w:p>
            <w:pPr>
              <w:jc w:val="center"/>
              <w:ind w:right="100"/>
              <w:spacing w:after="0" w:line="157" w:lineRule="exact"/>
              <w:rPr>
                <w:sz w:val="20"/>
                <w:szCs w:val="20"/>
                <w:color w:val="auto"/>
              </w:rPr>
            </w:pPr>
            <w:r>
              <w:rPr>
                <w:rFonts w:ascii="Arial" w:cs="Arial" w:eastAsia="Arial" w:hAnsi="Arial"/>
                <w:sz w:val="15"/>
                <w:szCs w:val="15"/>
                <w:b w:val="1"/>
                <w:bCs w:val="1"/>
                <w:color w:val="auto"/>
                <w:w w:val="91"/>
              </w:rPr>
              <w:t>Equity as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148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rPr>
              <w:t>December 31,</w:t>
            </w:r>
          </w:p>
        </w:tc>
        <w:tc>
          <w:tcPr>
            <w:tcW w:w="1540" w:type="dxa"/>
            <w:vAlign w:val="bottom"/>
            <w:gridSpan w:val="3"/>
          </w:tcPr>
          <w:p>
            <w:pPr>
              <w:ind w:left="20"/>
              <w:spacing w:after="0" w:line="157" w:lineRule="exact"/>
              <w:rPr>
                <w:sz w:val="20"/>
                <w:szCs w:val="20"/>
                <w:color w:val="auto"/>
              </w:rPr>
            </w:pPr>
            <w:r>
              <w:rPr>
                <w:rFonts w:ascii="Arial" w:cs="Arial" w:eastAsia="Arial" w:hAnsi="Arial"/>
                <w:sz w:val="15"/>
                <w:szCs w:val="15"/>
                <w:b w:val="1"/>
                <w:bCs w:val="1"/>
                <w:color w:val="auto"/>
              </w:rPr>
              <w:t>September 30,</w:t>
            </w:r>
          </w:p>
        </w:tc>
        <w:tc>
          <w:tcPr>
            <w:tcW w:w="1040" w:type="dxa"/>
            <w:vAlign w:val="bottom"/>
            <w:gridSpan w:val="3"/>
          </w:tcPr>
          <w:p>
            <w:pPr>
              <w:jc w:val="center"/>
              <w:ind w:right="80"/>
              <w:spacing w:after="0" w:line="157" w:lineRule="exact"/>
              <w:rPr>
                <w:sz w:val="20"/>
                <w:szCs w:val="20"/>
                <w:color w:val="auto"/>
              </w:rPr>
            </w:pPr>
            <w:r>
              <w:rPr>
                <w:rFonts w:ascii="Arial" w:cs="Arial" w:eastAsia="Arial" w:hAnsi="Arial"/>
                <w:sz w:val="15"/>
                <w:szCs w:val="15"/>
                <w:b w:val="1"/>
                <w:bCs w:val="1"/>
                <w:color w:val="auto"/>
                <w:w w:val="89"/>
              </w:rPr>
              <w:t>September 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5"/>
                <w:szCs w:val="15"/>
                <w:b w:val="1"/>
                <w:bCs w:val="1"/>
                <w:color w:val="auto"/>
              </w:rPr>
              <w:t>2017</w:t>
            </w:r>
          </w:p>
        </w:tc>
        <w:tc>
          <w:tcPr>
            <w:tcW w:w="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2018</w:t>
            </w:r>
          </w:p>
        </w:tc>
        <w:tc>
          <w:tcPr>
            <w:tcW w:w="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7"/>
              <w:spacing w:after="0"/>
              <w:rPr>
                <w:sz w:val="20"/>
                <w:szCs w:val="20"/>
                <w:color w:val="auto"/>
              </w:rPr>
            </w:pPr>
            <w:r>
              <w:rPr>
                <w:rFonts w:ascii="Arial" w:cs="Arial" w:eastAsia="Arial" w:hAnsi="Arial"/>
                <w:sz w:val="15"/>
                <w:szCs w:val="15"/>
                <w:b w:val="1"/>
                <w:bCs w:val="1"/>
                <w:color w:val="auto"/>
                <w:w w:val="89"/>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gridSpan w:val="2"/>
          </w:tcPr>
          <w:p>
            <w:pPr>
              <w:jc w:val="right"/>
              <w:spacing w:after="0" w:line="151" w:lineRule="exact"/>
              <w:rPr>
                <w:sz w:val="20"/>
                <w:szCs w:val="20"/>
                <w:color w:val="auto"/>
              </w:rPr>
            </w:pPr>
            <w:r>
              <w:rPr>
                <w:rFonts w:ascii="Arial" w:cs="Arial" w:eastAsia="Arial" w:hAnsi="Arial"/>
                <w:sz w:val="15"/>
                <w:szCs w:val="15"/>
                <w:b w:val="1"/>
                <w:bCs w:val="1"/>
                <w:color w:val="auto"/>
              </w:rPr>
              <w:t>(Unaudited)</w:t>
            </w:r>
          </w:p>
        </w:tc>
        <w:tc>
          <w:tcPr>
            <w:tcW w:w="600" w:type="dxa"/>
            <w:vAlign w:val="bottom"/>
          </w:tcPr>
          <w:p>
            <w:pPr>
              <w:spacing w:after="0"/>
              <w:rPr>
                <w:sz w:val="13"/>
                <w:szCs w:val="13"/>
                <w:color w:val="auto"/>
              </w:rPr>
            </w:pPr>
          </w:p>
        </w:tc>
        <w:tc>
          <w:tcPr>
            <w:tcW w:w="940" w:type="dxa"/>
            <w:vAlign w:val="bottom"/>
            <w:gridSpan w:val="2"/>
          </w:tcPr>
          <w:p>
            <w:pPr>
              <w:jc w:val="center"/>
              <w:spacing w:after="0" w:line="151" w:lineRule="exact"/>
              <w:rPr>
                <w:sz w:val="20"/>
                <w:szCs w:val="20"/>
                <w:color w:val="auto"/>
              </w:rPr>
            </w:pPr>
            <w:r>
              <w:rPr>
                <w:rFonts w:ascii="Arial" w:cs="Arial" w:eastAsia="Arial" w:hAnsi="Arial"/>
                <w:sz w:val="15"/>
                <w:szCs w:val="15"/>
                <w:b w:val="1"/>
                <w:bCs w:val="1"/>
                <w:color w:val="auto"/>
                <w:w w:val="93"/>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32,451</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41,939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7"/>
                <w:szCs w:val="17"/>
                <w:color w:val="auto"/>
              </w:rPr>
              <w:t>Marketable securities</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266,755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Receivable from collaboration partner</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7"/>
                <w:szCs w:val="17"/>
                <w:color w:val="auto"/>
              </w:rPr>
              <w:t>Accounts receivable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238</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Pr>
          <w:p>
            <w:pPr>
              <w:ind w:left="660"/>
              <w:spacing w:after="0"/>
              <w:rPr>
                <w:sz w:val="20"/>
                <w:szCs w:val="20"/>
                <w:color w:val="auto"/>
              </w:rPr>
            </w:pPr>
            <w:r>
              <w:rPr>
                <w:rFonts w:ascii="Arial" w:cs="Arial" w:eastAsia="Arial" w:hAnsi="Arial"/>
                <w:sz w:val="17"/>
                <w:szCs w:val="17"/>
                <w:color w:val="auto"/>
              </w:rPr>
              <w:t>Total current assets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232,974</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312,617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2,834</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3,555</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Restricted cash</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1,472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236,060</w:t>
            </w: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318,699</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CONVERTIBLE PREFERRED STOCK, AND STOCKHOLDERS’ EQUITY</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(DEFICIT)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CURRENT LIABILITIES: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1,140</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7"/>
                <w:szCs w:val="17"/>
                <w:color w:val="auto"/>
              </w:rPr>
              <w:t>Accrued clinical supply costs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3,820</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1,858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liabilities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3,455</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7"/>
                <w:szCs w:val="17"/>
                <w:color w:val="auto"/>
              </w:rPr>
              <w:t>Deferred revenue, current portion</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18,978</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33,963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rent, current portion</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Pr>
          <w:p>
            <w:pPr>
              <w:ind w:left="660"/>
              <w:spacing w:after="0"/>
              <w:rPr>
                <w:sz w:val="20"/>
                <w:szCs w:val="20"/>
                <w:color w:val="auto"/>
              </w:rPr>
            </w:pPr>
            <w:r>
              <w:rPr>
                <w:rFonts w:ascii="Arial" w:cs="Arial" w:eastAsia="Arial" w:hAnsi="Arial"/>
                <w:sz w:val="17"/>
                <w:szCs w:val="17"/>
                <w:color w:val="auto"/>
              </w:rPr>
              <w:t>Total current liabilities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27,403</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41,029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long-term portion</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183,150</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149,802</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Deferred rent, long-term portion</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41</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432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580" w:type="dxa"/>
            <w:vAlign w:val="bottom"/>
            <w:gridSpan w:val="2"/>
          </w:tcPr>
          <w:p>
            <w:pPr>
              <w:spacing w:after="0"/>
              <w:rPr>
                <w:sz w:val="20"/>
                <w:szCs w:val="20"/>
                <w:color w:val="auto"/>
              </w:rPr>
            </w:pPr>
            <w:r>
              <w:rPr>
                <w:rFonts w:ascii="Arial" w:cs="Arial" w:eastAsia="Arial" w:hAnsi="Arial"/>
                <w:sz w:val="17"/>
                <w:szCs w:val="17"/>
                <w:color w:val="auto"/>
              </w:rPr>
              <w:t>TOTAL LIABILITIES</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210,608</w:t>
            </w:r>
          </w:p>
        </w:tc>
        <w:tc>
          <w:tcPr>
            <w:tcW w:w="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191,312</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 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Convertible preferred stock; $0.0001 par value; 36,001,203 and 45,849,677 shares authorized as of</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7"/>
                <w:szCs w:val="17"/>
                <w:color w:val="auto"/>
                <w:w w:val="98"/>
              </w:rPr>
              <w:t>December 31, 2017 and September 30, 2018 (unaudited), respectively; 36,001,203 and 45,350,215</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7"/>
                <w:szCs w:val="17"/>
                <w:color w:val="auto"/>
              </w:rPr>
              <w:t>shares issued and outstanding as of December 31, 2017 and September 30, 2018 (unaudited),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7"/>
                <w:szCs w:val="17"/>
                <w:color w:val="auto"/>
              </w:rPr>
              <w:t>respectively; liquidation preference of $210,704 as of September 30, 2018 (unaudited); no shares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7"/>
                <w:szCs w:val="17"/>
                <w:color w:val="auto"/>
              </w:rPr>
              <w:t>authorized, issued, and outstanding, pro forma (unaudited)</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77,485</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210,170</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STOCKHOLDERS’ EQUITY (DEFICIT):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60" w:type="dxa"/>
            <w:vAlign w:val="bottom"/>
          </w:tcPr>
          <w:p>
            <w:pPr>
              <w:spacing w:after="0"/>
              <w:rPr>
                <w:sz w:val="20"/>
                <w:szCs w:val="20"/>
                <w:color w:val="auto"/>
              </w:rPr>
            </w:pPr>
            <w:r>
              <w:rPr>
                <w:rFonts w:ascii="Arial" w:cs="Arial" w:eastAsia="Arial" w:hAnsi="Arial"/>
                <w:sz w:val="17"/>
                <w:szCs w:val="17"/>
                <w:color w:val="auto"/>
                <w:w w:val="98"/>
              </w:rPr>
              <w:t>Common stock, $0.0001 par value; 52,000,000 and 65,000,000 shares authorized as of December 31,</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7"/>
                <w:szCs w:val="17"/>
                <w:color w:val="auto"/>
              </w:rPr>
              <w:t>2017 and September 30, 2018 (unaudited), respectively; 13,776,153 and 13,764,829 shares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7"/>
                <w:szCs w:val="17"/>
                <w:color w:val="auto"/>
                <w:w w:val="97"/>
              </w:rPr>
              <w:t>outstanding as of December 31, 2017 and September 30, 2018 (unaudited), respectively; 59,115,044</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7"/>
                <w:szCs w:val="17"/>
                <w:color w:val="auto"/>
              </w:rPr>
              <w:t>shares issued and outstanding, pro forma (unaudited)</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10,153</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14,418</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224,583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Accumulated other comprehensive loss</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(62,187)</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(97,062)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(97,062)</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7"/>
                <w:szCs w:val="17"/>
                <w:color w:val="auto"/>
              </w:rPr>
              <w:t>TOTAL STOCKHOLDERS’ EQUITY (DEFICIT)</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5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7"/>
                <w:szCs w:val="17"/>
                <w:color w:val="auto"/>
              </w:rPr>
              <w:t>(52,033)</w:t>
            </w:r>
          </w:p>
        </w:tc>
        <w:tc>
          <w:tcPr>
            <w:tcW w:w="2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7"/>
                <w:szCs w:val="17"/>
                <w:color w:val="auto"/>
              </w:rPr>
              <w:t>(82,783)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127,387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CONVERTIBLE PREFERRED STOCK, AND STOCKHOLDERS’ EQUITY</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(DEFICIT)</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236,060</w:t>
            </w:r>
          </w:p>
        </w:tc>
        <w:tc>
          <w:tcPr>
            <w:tcW w:w="6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318,699</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9"/>
          <w:szCs w:val="19"/>
          <w:i w:val="1"/>
          <w:iCs w:val="1"/>
          <w:color w:val="auto"/>
        </w:rPr>
        <w:t>The accompanying notes are an integral part of these condensed consolidated financial statements.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F-26</w:t>
      </w:r>
    </w:p>
    <w:p>
      <w:pPr>
        <w:sectPr>
          <w:pgSz w:w="12240" w:h="15840" w:orient="portrait"/>
          <w:cols w:equalWidth="0" w:num="1">
            <w:col w:w="11820"/>
          </w:cols>
          <w:pgMar w:left="120" w:top="336" w:right="300" w:bottom="1440" w:gutter="0" w:footer="0" w:header="0"/>
        </w:sectPr>
      </w:pPr>
    </w:p>
    <w:bookmarkStart w:id="217" w:name="page218"/>
    <w:bookmarkEnd w:id="21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left="300" w:right="2720"/>
        <w:spacing w:after="0" w:line="266" w:lineRule="auto"/>
        <w:rPr>
          <w:sz w:val="20"/>
          <w:szCs w:val="20"/>
          <w:color w:val="auto"/>
        </w:rPr>
      </w:pPr>
      <w:r>
        <w:rPr>
          <w:rFonts w:ascii="Arial" w:cs="Arial" w:eastAsia="Arial" w:hAnsi="Arial"/>
          <w:sz w:val="19"/>
          <w:szCs w:val="19"/>
          <w:b w:val="1"/>
          <w:bCs w:val="1"/>
          <w:color w:val="auto"/>
        </w:rPr>
        <w:t xml:space="preserve">Condensed Consolidated Statements of Operations and Comprehensive Loss </w:t>
      </w:r>
      <w:r>
        <w:rPr>
          <w:rFonts w:ascii="Arial" w:cs="Arial" w:eastAsia="Arial" w:hAnsi="Arial"/>
          <w:sz w:val="19"/>
          <w:szCs w:val="19"/>
          <w:b w:val="1"/>
          <w:bCs w:val="1"/>
          <w:i w:val="1"/>
          <w:iCs w:val="1"/>
          <w:color w:val="auto"/>
        </w:rPr>
        <w:t>(In thousands, except share and per share data) (Unaudited)</w:t>
      </w:r>
    </w:p>
    <w:p>
      <w:pPr>
        <w:spacing w:after="0" w:line="196"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jc w:val="right"/>
              <w:ind w:right="760"/>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5"/>
          </w:tcPr>
          <w:p>
            <w:pPr>
              <w:jc w:val="right"/>
              <w:ind w:right="940"/>
              <w:spacing w:after="0"/>
              <w:rPr>
                <w:sz w:val="20"/>
                <w:szCs w:val="20"/>
                <w:color w:val="auto"/>
              </w:rPr>
            </w:pPr>
            <w:r>
              <w:rPr>
                <w:rFonts w:ascii="Arial" w:cs="Arial" w:eastAsia="Arial" w:hAnsi="Arial"/>
                <w:sz w:val="15"/>
                <w:szCs w:val="15"/>
                <w:b w:val="1"/>
                <w:bCs w:val="1"/>
                <w:color w:val="auto"/>
              </w:rPr>
              <w:t>September 30,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9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09"/>
              <w:spacing w:after="0" w:line="151" w:lineRule="exact"/>
              <w:rPr>
                <w:sz w:val="20"/>
                <w:szCs w:val="20"/>
                <w:color w:val="auto"/>
              </w:rPr>
            </w:pPr>
            <w:r>
              <w:rPr>
                <w:rFonts w:ascii="Arial" w:cs="Arial" w:eastAsia="Arial" w:hAnsi="Arial"/>
                <w:sz w:val="15"/>
                <w:szCs w:val="15"/>
                <w:b w:val="1"/>
                <w:bCs w:val="1"/>
                <w:color w:val="auto"/>
              </w:rPr>
              <w:t>2017</w:t>
            </w:r>
          </w:p>
        </w:tc>
        <w:tc>
          <w:tcPr>
            <w:tcW w:w="7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26"/>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shd w:val="clear" w:color="auto" w:fill="CCEEFF"/>
          </w:tcPr>
          <w:p>
            <w:pPr>
              <w:spacing w:after="0" w:line="208" w:lineRule="exact"/>
              <w:rPr>
                <w:sz w:val="20"/>
                <w:szCs w:val="20"/>
                <w:color w:val="auto"/>
              </w:rPr>
            </w:pPr>
            <w:r>
              <w:rPr>
                <w:rFonts w:ascii="Arial" w:cs="Arial" w:eastAsia="Arial" w:hAnsi="Arial"/>
                <w:sz w:val="19"/>
                <w:szCs w:val="19"/>
                <w:color w:val="auto"/>
              </w:rPr>
              <w:t>Revenue: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Pr>
          <w:p>
            <w:pPr>
              <w:ind w:left="360"/>
              <w:spacing w:after="0"/>
              <w:rPr>
                <w:sz w:val="20"/>
                <w:szCs w:val="20"/>
                <w:color w:val="auto"/>
              </w:rPr>
            </w:pPr>
            <w:r>
              <w:rPr>
                <w:rFonts w:ascii="Arial" w:cs="Arial" w:eastAsia="Arial" w:hAnsi="Arial"/>
                <w:sz w:val="19"/>
                <w:szCs w:val="19"/>
                <w:color w:val="auto"/>
              </w:rPr>
              <w:t>Collaboration revenue</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20" w:type="dxa"/>
            <w:vAlign w:val="bottom"/>
            <w:gridSpan w:val="2"/>
          </w:tcPr>
          <w:p>
            <w:pPr>
              <w:jc w:val="right"/>
              <w:ind w:right="740"/>
              <w:spacing w:after="0"/>
              <w:rPr>
                <w:sz w:val="20"/>
                <w:szCs w:val="20"/>
                <w:color w:val="auto"/>
              </w:rPr>
            </w:pPr>
            <w:r>
              <w:rPr>
                <w:rFonts w:ascii="Arial" w:cs="Arial" w:eastAsia="Arial" w:hAnsi="Arial"/>
                <w:sz w:val="19"/>
                <w:szCs w:val="19"/>
                <w:color w:val="auto"/>
              </w:rPr>
              <w:t>—</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120"/>
              <w:spacing w:after="0"/>
              <w:rPr>
                <w:sz w:val="20"/>
                <w:szCs w:val="20"/>
                <w:color w:val="auto"/>
              </w:rPr>
            </w:pPr>
            <w:r>
              <w:rPr>
                <w:rFonts w:ascii="Arial" w:cs="Arial" w:eastAsia="Arial" w:hAnsi="Arial"/>
                <w:sz w:val="19"/>
                <w:szCs w:val="19"/>
                <w:color w:val="auto"/>
              </w:rPr>
              <w:t>18,363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shd w:val="clear" w:color="auto" w:fill="CCEEFF"/>
          </w:tcPr>
          <w:p>
            <w:pPr>
              <w:ind w:left="360"/>
              <w:spacing w:after="0"/>
              <w:rPr>
                <w:sz w:val="20"/>
                <w:szCs w:val="20"/>
                <w:color w:val="auto"/>
              </w:rPr>
            </w:pPr>
            <w:r>
              <w:rPr>
                <w:rFonts w:ascii="Arial" w:cs="Arial" w:eastAsia="Arial" w:hAnsi="Arial"/>
                <w:sz w:val="19"/>
                <w:szCs w:val="19"/>
                <w:color w:val="auto"/>
              </w:rPr>
              <w:t>Grant revenue</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676</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vMerge w:val="restart"/>
          </w:tcPr>
          <w:p>
            <w:pPr>
              <w:ind w:left="740"/>
              <w:spacing w:after="0"/>
              <w:rPr>
                <w:sz w:val="20"/>
                <w:szCs w:val="20"/>
                <w:color w:val="auto"/>
              </w:rPr>
            </w:pPr>
            <w:r>
              <w:rPr>
                <w:rFonts w:ascii="Arial" w:cs="Arial" w:eastAsia="Arial" w:hAnsi="Arial"/>
                <w:sz w:val="19"/>
                <w:szCs w:val="19"/>
                <w:color w:val="auto"/>
              </w:rPr>
              <w:t>Total revenue</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676</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9"/>
                <w:szCs w:val="19"/>
                <w:color w:val="auto"/>
              </w:rPr>
              <w:t>18,532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9"/>
                <w:szCs w:val="19"/>
                <w:color w:val="auto"/>
              </w:rPr>
              <w:t>Operating expenses: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Pr>
          <w:p>
            <w:pPr>
              <w:ind w:left="360"/>
              <w:spacing w:after="0"/>
              <w:rPr>
                <w:sz w:val="20"/>
                <w:szCs w:val="20"/>
                <w:color w:val="auto"/>
              </w:rPr>
            </w:pPr>
            <w:r>
              <w:rPr>
                <w:rFonts w:ascii="Arial" w:cs="Arial" w:eastAsia="Arial" w:hAnsi="Arial"/>
                <w:sz w:val="19"/>
                <w:szCs w:val="19"/>
                <w:color w:val="auto"/>
              </w:rPr>
              <w:t>Research and development</w:t>
            </w:r>
          </w:p>
        </w:tc>
        <w:tc>
          <w:tcPr>
            <w:tcW w:w="100" w:type="dxa"/>
            <w:vAlign w:val="bottom"/>
          </w:tcPr>
          <w:p>
            <w:pPr>
              <w:spacing w:after="0"/>
              <w:rPr>
                <w:sz w:val="19"/>
                <w:szCs w:val="19"/>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9"/>
                <w:szCs w:val="19"/>
                <w:color w:val="auto"/>
              </w:rPr>
              <w:t>19,073</w:t>
            </w: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9"/>
                <w:szCs w:val="19"/>
                <w:color w:val="auto"/>
              </w:rPr>
              <w:t>48,934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shd w:val="clear" w:color="auto" w:fill="CCEEFF"/>
          </w:tcPr>
          <w:p>
            <w:pPr>
              <w:ind w:left="360"/>
              <w:spacing w:after="0"/>
              <w:rPr>
                <w:sz w:val="20"/>
                <w:szCs w:val="20"/>
                <w:color w:val="auto"/>
              </w:rPr>
            </w:pPr>
            <w:r>
              <w:rPr>
                <w:rFonts w:ascii="Arial" w:cs="Arial" w:eastAsia="Arial" w:hAnsi="Arial"/>
                <w:sz w:val="19"/>
                <w:szCs w:val="19"/>
                <w:color w:val="auto"/>
              </w:rPr>
              <w:t>General and administrative</w:t>
            </w: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4,475</w:t>
            </w:r>
          </w:p>
        </w:tc>
        <w:tc>
          <w:tcPr>
            <w:tcW w:w="7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7,869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920" w:type="dxa"/>
            <w:vAlign w:val="bottom"/>
          </w:tcPr>
          <w:p>
            <w:pPr>
              <w:ind w:left="740"/>
              <w:spacing w:after="0"/>
              <w:rPr>
                <w:sz w:val="20"/>
                <w:szCs w:val="20"/>
                <w:color w:val="auto"/>
              </w:rPr>
            </w:pPr>
            <w:r>
              <w:rPr>
                <w:rFonts w:ascii="Arial" w:cs="Arial" w:eastAsia="Arial" w:hAnsi="Arial"/>
                <w:sz w:val="19"/>
                <w:szCs w:val="19"/>
                <w:color w:val="auto"/>
              </w:rPr>
              <w:t>Total operating expenses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23,548</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9"/>
                <w:szCs w:val="19"/>
                <w:color w:val="auto"/>
              </w:rPr>
              <w:t>56,803</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9"/>
                <w:szCs w:val="19"/>
                <w:color w:val="auto"/>
              </w:rPr>
              <w:t>Loss from operations</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9"/>
                <w:szCs w:val="19"/>
                <w:color w:val="auto"/>
              </w:rPr>
              <w:t>(22,872)</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(38,271)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19"/>
                <w:szCs w:val="19"/>
                <w:color w:val="auto"/>
              </w:rPr>
              <w:t>Other income, net</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170</w:t>
            </w: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9"/>
                <w:szCs w:val="19"/>
                <w:color w:val="auto"/>
              </w:rPr>
              <w:t>Net loss</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9"/>
                <w:szCs w:val="19"/>
                <w:color w:val="auto"/>
              </w:rPr>
              <w:t>(22,702)</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(34,875)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9"/>
                <w:szCs w:val="19"/>
                <w:color w:val="auto"/>
              </w:rPr>
              <w:t>Unrealized loss on marketable securities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(140)</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9"/>
                <w:szCs w:val="19"/>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9"/>
                <w:szCs w:val="19"/>
                <w:color w:val="auto"/>
              </w:rPr>
              <w:t>(22,702)</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(35,015)</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9"/>
                <w:szCs w:val="19"/>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9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20" w:type="dxa"/>
            <w:vAlign w:val="bottom"/>
            <w:gridSpan w:val="2"/>
          </w:tcPr>
          <w:p>
            <w:pPr>
              <w:jc w:val="right"/>
              <w:ind w:right="680"/>
              <w:spacing w:after="0"/>
              <w:rPr>
                <w:sz w:val="20"/>
                <w:szCs w:val="20"/>
                <w:color w:val="auto"/>
              </w:rPr>
            </w:pPr>
            <w:r>
              <w:rPr>
                <w:rFonts w:ascii="Arial" w:cs="Arial" w:eastAsia="Arial" w:hAnsi="Arial"/>
                <w:sz w:val="19"/>
                <w:szCs w:val="19"/>
                <w:color w:val="auto"/>
              </w:rPr>
              <w:t>(2.61)</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9"/>
                <w:szCs w:val="19"/>
                <w:color w:val="auto"/>
              </w:rPr>
              <w:t>Shares used in computing net loss per share, basic and diluted</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9"/>
              </w:rPr>
              <w:t>8,712,730</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88"/>
              </w:rPr>
              <w:t>11,154,391</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9"/>
                <w:szCs w:val="19"/>
                <w:color w:val="auto"/>
              </w:rPr>
              <w:t>Pro forma 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9"/>
                <w:szCs w:val="19"/>
                <w:color w:val="auto"/>
              </w:rPr>
              <w:t>Shares used in computing pro forma net loss per share, basic and diluted</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88"/>
              </w:rPr>
              <w:t>51,223,565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9"/>
          <w:szCs w:val="19"/>
          <w:i w:val="1"/>
          <w:iCs w:val="1"/>
          <w:color w:val="auto"/>
        </w:rPr>
        <w:t>The accompanying notes are an integral part of these condensed consolidated financial statements.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F-27</w:t>
      </w:r>
    </w:p>
    <w:p>
      <w:pPr>
        <w:sectPr>
          <w:pgSz w:w="12240" w:h="15840" w:orient="portrait"/>
          <w:cols w:equalWidth="0" w:num="1">
            <w:col w:w="11820"/>
          </w:cols>
          <w:pgMar w:left="120" w:top="337" w:right="300" w:bottom="1440" w:gutter="0" w:footer="0" w:header="0"/>
        </w:sectPr>
      </w:pPr>
    </w:p>
    <w:bookmarkStart w:id="218" w:name="page219"/>
    <w:bookmarkEnd w:id="21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Condensed Consolidated Statements of Cash Flows</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i w:val="1"/>
          <w:iCs w:val="1"/>
          <w:color w:val="auto"/>
        </w:rPr>
        <w:t>(In thousands)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i w:val="1"/>
          <w:iCs w:val="1"/>
          <w:color w:val="auto"/>
        </w:rPr>
        <w:t>(Unaudited)</w:t>
      </w:r>
    </w:p>
    <w:p>
      <w:pPr>
        <w:spacing w:after="0" w:line="229"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500"/>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6"/>
          </w:tcPr>
          <w:p>
            <w:pPr>
              <w:jc w:val="right"/>
              <w:ind w:right="680"/>
              <w:spacing w:after="0"/>
              <w:rPr>
                <w:sz w:val="20"/>
                <w:szCs w:val="20"/>
                <w:color w:val="auto"/>
              </w:rPr>
            </w:pPr>
            <w:r>
              <w:rPr>
                <w:rFonts w:ascii="Arial" w:cs="Arial" w:eastAsia="Arial" w:hAnsi="Arial"/>
                <w:sz w:val="15"/>
                <w:szCs w:val="15"/>
                <w:b w:val="1"/>
                <w:bCs w:val="1"/>
                <w:color w:val="auto"/>
              </w:rPr>
              <w:t>September 30,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4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87"/>
              <w:spacing w:after="0" w:line="151" w:lineRule="exact"/>
              <w:rPr>
                <w:sz w:val="20"/>
                <w:szCs w:val="20"/>
                <w:color w:val="auto"/>
              </w:rPr>
            </w:pPr>
            <w:r>
              <w:rPr>
                <w:rFonts w:ascii="Arial" w:cs="Arial" w:eastAsia="Arial" w:hAnsi="Arial"/>
                <w:sz w:val="15"/>
                <w:szCs w:val="15"/>
                <w:b w:val="1"/>
                <w:bCs w:val="1"/>
                <w:color w:val="auto"/>
              </w:rPr>
              <w:t>2017</w:t>
            </w:r>
          </w:p>
        </w:tc>
        <w:tc>
          <w:tcPr>
            <w:tcW w:w="3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46"/>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40" w:type="dxa"/>
            <w:vAlign w:val="bottom"/>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spacing w:after="0"/>
              <w:rPr>
                <w:sz w:val="20"/>
                <w:szCs w:val="20"/>
                <w:color w:val="auto"/>
              </w:rPr>
            </w:pPr>
            <w:r>
              <w:rPr>
                <w:rFonts w:ascii="Arial" w:cs="Arial" w:eastAsia="Arial" w:hAnsi="Arial"/>
                <w:sz w:val="19"/>
                <w:szCs w:val="19"/>
                <w:color w:val="auto"/>
              </w:rPr>
              <w:t>Net loss</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gridSpan w:val="2"/>
          </w:tcPr>
          <w:p>
            <w:pPr>
              <w:jc w:val="right"/>
              <w:ind w:right="240"/>
              <w:spacing w:after="0"/>
              <w:rPr>
                <w:sz w:val="20"/>
                <w:szCs w:val="20"/>
                <w:color w:val="auto"/>
              </w:rPr>
            </w:pPr>
            <w:r>
              <w:rPr>
                <w:rFonts w:ascii="Arial" w:cs="Arial" w:eastAsia="Arial" w:hAnsi="Arial"/>
                <w:sz w:val="19"/>
                <w:szCs w:val="19"/>
                <w:color w:val="auto"/>
                <w:w w:val="90"/>
              </w:rPr>
              <w:t>(22,702)</w:t>
            </w:r>
          </w:p>
        </w:tc>
        <w:tc>
          <w:tcPr>
            <w:tcW w:w="3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(34,875)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9"/>
                <w:szCs w:val="19"/>
                <w:color w:val="auto"/>
              </w:rPr>
              <w:t>Adjustments to reconcile net loss to net cash provided by (used in) operating activities:</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ind w:left="360"/>
              <w:spacing w:after="0"/>
              <w:rPr>
                <w:sz w:val="20"/>
                <w:szCs w:val="20"/>
                <w:color w:val="auto"/>
              </w:rPr>
            </w:pPr>
            <w:r>
              <w:rPr>
                <w:rFonts w:ascii="Arial" w:cs="Arial" w:eastAsia="Arial" w:hAnsi="Arial"/>
                <w:sz w:val="19"/>
                <w:szCs w:val="19"/>
                <w:color w:val="auto"/>
              </w:rPr>
              <w:t>Depreciation and amortization</w:t>
            </w:r>
          </w:p>
        </w:tc>
        <w:tc>
          <w:tcPr>
            <w:tcW w:w="1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9"/>
                <w:szCs w:val="19"/>
                <w:color w:val="auto"/>
              </w:rPr>
              <w:t>500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9"/>
                <w:szCs w:val="19"/>
                <w:color w:val="auto"/>
              </w:rPr>
              <w:t>743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Stock-based compensation</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4,258</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4,265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ind w:left="360"/>
              <w:spacing w:after="0"/>
              <w:rPr>
                <w:sz w:val="20"/>
                <w:szCs w:val="20"/>
                <w:color w:val="auto"/>
              </w:rPr>
            </w:pPr>
            <w:r>
              <w:rPr>
                <w:rFonts w:ascii="Arial" w:cs="Arial" w:eastAsia="Arial" w:hAnsi="Arial"/>
                <w:sz w:val="19"/>
                <w:szCs w:val="19"/>
                <w:color w:val="auto"/>
              </w:rPr>
              <w:t>Accretion of discount on marketable securities</w:t>
            </w:r>
          </w:p>
        </w:tc>
        <w:tc>
          <w:tcPr>
            <w:tcW w:w="1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(1,778)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Loss from disposal of fixed assets</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ind w:left="360"/>
              <w:spacing w:after="0"/>
              <w:rPr>
                <w:sz w:val="20"/>
                <w:szCs w:val="20"/>
                <w:color w:val="auto"/>
              </w:rPr>
            </w:pPr>
            <w:r>
              <w:rPr>
                <w:rFonts w:ascii="Arial" w:cs="Arial" w:eastAsia="Arial" w:hAnsi="Arial"/>
                <w:sz w:val="19"/>
                <w:szCs w:val="19"/>
                <w:color w:val="auto"/>
              </w:rPr>
              <w:t>Changes in operating assets and liabilities: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shd w:val="clear" w:color="auto" w:fill="CCEEFF"/>
          </w:tcPr>
          <w:p>
            <w:pPr>
              <w:ind w:left="740"/>
              <w:spacing w:after="0"/>
              <w:rPr>
                <w:sz w:val="20"/>
                <w:szCs w:val="20"/>
                <w:color w:val="auto"/>
              </w:rPr>
            </w:pPr>
            <w:r>
              <w:rPr>
                <w:rFonts w:ascii="Arial" w:cs="Arial" w:eastAsia="Arial" w:hAnsi="Arial"/>
                <w:sz w:val="19"/>
                <w:szCs w:val="19"/>
                <w:color w:val="auto"/>
              </w:rPr>
              <w:t>Accounts receivable</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65</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238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ind w:left="740"/>
              <w:spacing w:after="0"/>
              <w:rPr>
                <w:sz w:val="20"/>
                <w:szCs w:val="20"/>
                <w:color w:val="auto"/>
              </w:rPr>
            </w:pPr>
            <w:r>
              <w:rPr>
                <w:rFonts w:ascii="Arial" w:cs="Arial" w:eastAsia="Arial" w:hAnsi="Arial"/>
                <w:sz w:val="19"/>
                <w:szCs w:val="19"/>
                <w:color w:val="auto"/>
              </w:rPr>
              <w:t>Prepaid expenses and other current assets</w:t>
            </w: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9"/>
                <w:szCs w:val="19"/>
                <w:color w:val="auto"/>
              </w:rPr>
              <w:t>(314)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(3,638)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shd w:val="clear" w:color="auto" w:fill="CCEEFF"/>
          </w:tcPr>
          <w:p>
            <w:pPr>
              <w:ind w:left="740"/>
              <w:spacing w:after="0"/>
              <w:rPr>
                <w:sz w:val="20"/>
                <w:szCs w:val="20"/>
                <w:color w:val="auto"/>
              </w:rPr>
            </w:pPr>
            <w:r>
              <w:rPr>
                <w:rFonts w:ascii="Arial" w:cs="Arial" w:eastAsia="Arial" w:hAnsi="Arial"/>
                <w:sz w:val="19"/>
                <w:szCs w:val="19"/>
                <w:color w:val="auto"/>
              </w:rPr>
              <w:t>Other assets</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132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ind w:left="740"/>
              <w:spacing w:after="0"/>
              <w:rPr>
                <w:sz w:val="20"/>
                <w:szCs w:val="20"/>
                <w:color w:val="auto"/>
              </w:rPr>
            </w:pPr>
            <w:r>
              <w:rPr>
                <w:rFonts w:ascii="Arial" w:cs="Arial" w:eastAsia="Arial" w:hAnsi="Arial"/>
                <w:sz w:val="19"/>
                <w:szCs w:val="19"/>
                <w:color w:val="auto"/>
              </w:rPr>
              <w:t>Accounts payable</w:t>
            </w:r>
          </w:p>
        </w:tc>
        <w:tc>
          <w:tcPr>
            <w:tcW w:w="1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9"/>
                <w:szCs w:val="19"/>
                <w:color w:val="auto"/>
              </w:rPr>
              <w:t>562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(604)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shd w:val="clear" w:color="auto" w:fill="CCEEFF"/>
          </w:tcPr>
          <w:p>
            <w:pPr>
              <w:ind w:left="740"/>
              <w:spacing w:after="0"/>
              <w:rPr>
                <w:sz w:val="20"/>
                <w:szCs w:val="20"/>
                <w:color w:val="auto"/>
              </w:rPr>
            </w:pPr>
            <w:r>
              <w:rPr>
                <w:rFonts w:ascii="Arial" w:cs="Arial" w:eastAsia="Arial" w:hAnsi="Arial"/>
                <w:sz w:val="19"/>
                <w:szCs w:val="19"/>
                <w:color w:val="auto"/>
              </w:rPr>
              <w:t>Accrued liabilities and accrued clinical supply costs</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2,250</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(1,125)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ind w:left="740"/>
              <w:spacing w:after="0"/>
              <w:rPr>
                <w:sz w:val="20"/>
                <w:szCs w:val="20"/>
                <w:color w:val="auto"/>
              </w:rPr>
            </w:pPr>
            <w:r>
              <w:rPr>
                <w:rFonts w:ascii="Arial" w:cs="Arial" w:eastAsia="Arial" w:hAnsi="Arial"/>
                <w:sz w:val="19"/>
                <w:szCs w:val="19"/>
                <w:color w:val="auto"/>
              </w:rPr>
              <w:t>Deferred revenue</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46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w w:val="96"/>
              </w:rPr>
              <w:t>181,637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shd w:val="clear" w:color="auto" w:fill="CCEEFF"/>
          </w:tcPr>
          <w:p>
            <w:pPr>
              <w:ind w:left="740"/>
              <w:spacing w:after="0"/>
              <w:rPr>
                <w:sz w:val="20"/>
                <w:szCs w:val="20"/>
                <w:color w:val="auto"/>
              </w:rPr>
            </w:pPr>
            <w:r>
              <w:rPr>
                <w:rFonts w:ascii="Arial" w:cs="Arial" w:eastAsia="Arial" w:hAnsi="Arial"/>
                <w:sz w:val="19"/>
                <w:szCs w:val="19"/>
                <w:color w:val="auto"/>
              </w:rPr>
              <w:t>Deferred rent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ind w:left="740"/>
              <w:spacing w:after="0"/>
              <w:rPr>
                <w:sz w:val="20"/>
                <w:szCs w:val="20"/>
                <w:color w:val="auto"/>
              </w:rPr>
            </w:pPr>
            <w:r>
              <w:rPr>
                <w:rFonts w:ascii="Arial" w:cs="Arial" w:eastAsia="Arial" w:hAnsi="Arial"/>
                <w:sz w:val="19"/>
                <w:szCs w:val="19"/>
                <w:color w:val="auto"/>
              </w:rPr>
              <w:t>Other long-term liabilities</w:t>
            </w:r>
          </w:p>
        </w:tc>
        <w:tc>
          <w:tcPr>
            <w:tcW w:w="1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shd w:val="clear" w:color="auto" w:fill="CCEEFF"/>
          </w:tcPr>
          <w:p>
            <w:pPr>
              <w:ind w:left="1120"/>
              <w:spacing w:after="0"/>
              <w:rPr>
                <w:sz w:val="20"/>
                <w:szCs w:val="20"/>
                <w:color w:val="auto"/>
              </w:rPr>
            </w:pPr>
            <w:r>
              <w:rPr>
                <w:rFonts w:ascii="Arial" w:cs="Arial" w:eastAsia="Arial" w:hAnsi="Arial"/>
                <w:sz w:val="19"/>
                <w:szCs w:val="19"/>
                <w:color w:val="auto"/>
              </w:rPr>
              <w:t>Net cash provided by (used in) operating activities</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w w:val="90"/>
              </w:rPr>
              <w:t>(15,312)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96"/>
              </w:rPr>
              <w:t>145,118</w:t>
            </w:r>
          </w:p>
        </w:tc>
        <w:tc>
          <w:tcPr>
            <w:tcW w:w="0" w:type="dxa"/>
            <w:vAlign w:val="bottom"/>
          </w:tcPr>
          <w:p>
            <w:pPr>
              <w:spacing w:after="0"/>
              <w:rPr>
                <w:sz w:val="1"/>
                <w:szCs w:val="1"/>
                <w:color w:val="auto"/>
              </w:rPr>
            </w:pPr>
          </w:p>
        </w:tc>
      </w:tr>
      <w:tr>
        <w:trPr>
          <w:trHeight w:val="236"/>
        </w:trPr>
        <w:tc>
          <w:tcPr>
            <w:tcW w:w="9460" w:type="dxa"/>
            <w:vAlign w:val="bottom"/>
            <w:gridSpan w:val="2"/>
          </w:tcPr>
          <w:p>
            <w:pPr>
              <w:spacing w:after="0"/>
              <w:rPr>
                <w:sz w:val="20"/>
                <w:szCs w:val="20"/>
                <w:color w:val="auto"/>
              </w:rPr>
            </w:pPr>
            <w:r>
              <w:rPr>
                <w:rFonts w:ascii="Arial" w:cs="Arial" w:eastAsia="Arial" w:hAnsi="Arial"/>
                <w:sz w:val="19"/>
                <w:szCs w:val="19"/>
                <w:b w:val="1"/>
                <w:bCs w:val="1"/>
                <w:color w:val="auto"/>
              </w:rPr>
              <w:t>CASH FLOWS FROM INVESTING ACTIVITIES:</w:t>
            </w: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4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Purchase of property and equipment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(691)</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(1,467)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ind w:left="360"/>
              <w:spacing w:after="0"/>
              <w:rPr>
                <w:sz w:val="20"/>
                <w:szCs w:val="20"/>
                <w:color w:val="auto"/>
              </w:rPr>
            </w:pPr>
            <w:r>
              <w:rPr>
                <w:rFonts w:ascii="Arial" w:cs="Arial" w:eastAsia="Arial" w:hAnsi="Arial"/>
                <w:sz w:val="19"/>
                <w:szCs w:val="19"/>
                <w:color w:val="auto"/>
              </w:rPr>
              <w:t>Purchase of marketable securities</w:t>
            </w:r>
          </w:p>
        </w:tc>
        <w:tc>
          <w:tcPr>
            <w:tcW w:w="1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w w:val="88"/>
              </w:rPr>
              <w:t>(395,117)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Maturities of marketable securities</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6"/>
              </w:rPr>
              <w:t>130,000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vMerge w:val="restart"/>
          </w:tcPr>
          <w:p>
            <w:pPr>
              <w:ind w:left="1120"/>
              <w:spacing w:after="0"/>
              <w:rPr>
                <w:sz w:val="20"/>
                <w:szCs w:val="20"/>
                <w:color w:val="auto"/>
              </w:rPr>
            </w:pPr>
            <w:r>
              <w:rPr>
                <w:rFonts w:ascii="Arial" w:cs="Arial" w:eastAsia="Arial" w:hAnsi="Arial"/>
                <w:sz w:val="19"/>
                <w:szCs w:val="19"/>
                <w:color w:val="auto"/>
              </w:rPr>
              <w:t>Net cash used in investing activities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94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9"/>
                <w:szCs w:val="19"/>
                <w:color w:val="auto"/>
              </w:rPr>
              <w:t>(691)</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w w:val="88"/>
              </w:rPr>
              <w:t>(266,584)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CASH FLOWS FROM FINANCING ACTIVITIES:</w:t>
            </w:r>
          </w:p>
        </w:tc>
        <w:tc>
          <w:tcPr>
            <w:tcW w:w="1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ind w:left="360"/>
              <w:spacing w:after="0"/>
              <w:rPr>
                <w:sz w:val="20"/>
                <w:szCs w:val="20"/>
                <w:color w:val="auto"/>
              </w:rPr>
            </w:pPr>
            <w:r>
              <w:rPr>
                <w:rFonts w:ascii="Arial" w:cs="Arial" w:eastAsia="Arial" w:hAnsi="Arial"/>
                <w:sz w:val="19"/>
                <w:szCs w:val="19"/>
                <w:color w:val="auto"/>
              </w:rPr>
              <w:t>Proceeds from issuance of convertible preferred stock, net of issuance costs</w:t>
            </w:r>
          </w:p>
        </w:tc>
        <w:tc>
          <w:tcPr>
            <w:tcW w:w="1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w w:val="96"/>
              </w:rPr>
              <w:t>132,704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Payment of deferred offering costs</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vMerge w:val="restart"/>
          </w:tcPr>
          <w:p>
            <w:pPr>
              <w:ind w:left="1120"/>
              <w:spacing w:after="0"/>
              <w:rPr>
                <w:sz w:val="20"/>
                <w:szCs w:val="20"/>
                <w:color w:val="auto"/>
              </w:rPr>
            </w:pPr>
            <w:r>
              <w:rPr>
                <w:rFonts w:ascii="Arial" w:cs="Arial" w:eastAsia="Arial" w:hAnsi="Arial"/>
                <w:sz w:val="19"/>
                <w:szCs w:val="19"/>
                <w:color w:val="auto"/>
              </w:rPr>
              <w:t>Net cash provided by financing activities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4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w w:val="96"/>
              </w:rPr>
              <w:t>132,426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9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9"/>
                <w:szCs w:val="19"/>
                <w:color w:val="auto"/>
              </w:rPr>
              <w:t>Net increase (decrease) in cash, cash equivalents and restricted cash</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w w:val="90"/>
              </w:rPr>
              <w:t>(16,003)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10,960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spacing w:after="0"/>
              <w:rPr>
                <w:sz w:val="20"/>
                <w:szCs w:val="20"/>
                <w:color w:val="auto"/>
              </w:rPr>
            </w:pPr>
            <w:r>
              <w:rPr>
                <w:rFonts w:ascii="Arial" w:cs="Arial" w:eastAsia="Arial" w:hAnsi="Arial"/>
                <w:sz w:val="19"/>
                <w:szCs w:val="19"/>
                <w:color w:val="auto"/>
              </w:rPr>
              <w:t>Cash, cash equivalents, and restricted cash at beginning of period</w:t>
            </w:r>
          </w:p>
        </w:tc>
        <w:tc>
          <w:tcPr>
            <w:tcW w:w="1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9"/>
                <w:szCs w:val="19"/>
                <w:color w:val="auto"/>
                <w:w w:val="96"/>
              </w:rPr>
              <w:t>51,038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9"/>
                <w:szCs w:val="19"/>
                <w:color w:val="auto"/>
              </w:rPr>
              <w:t>32,451</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9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9"/>
                <w:szCs w:val="19"/>
                <w:color w:val="auto"/>
              </w:rPr>
              <w:t>Cash, cash equivalents, and restricted cash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w w:val="96"/>
              </w:rPr>
              <w:t>35,035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43,411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6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NON-CASH INVESTING AND FINANCING ACTIVITIES: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4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4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Property and equipment purchases included in accounts payable and accrued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vMerge w:val="restart"/>
          </w:tcPr>
          <w:p>
            <w:pPr>
              <w:ind w:left="360"/>
              <w:spacing w:after="0"/>
              <w:rPr>
                <w:sz w:val="20"/>
                <w:szCs w:val="20"/>
                <w:color w:val="auto"/>
              </w:rPr>
            </w:pPr>
            <w:r>
              <w:rPr>
                <w:rFonts w:ascii="Arial" w:cs="Arial" w:eastAsia="Arial" w:hAnsi="Arial"/>
                <w:sz w:val="19"/>
                <w:szCs w:val="19"/>
                <w:color w:val="auto"/>
              </w:rPr>
              <w:t>Issuance costs for convertible preferred stock included in accrued 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94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34</w:t>
            </w:r>
          </w:p>
        </w:tc>
        <w:tc>
          <w:tcPr>
            <w:tcW w:w="3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94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Deferred offering costs included in accrued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vMerge w:val="restart"/>
          </w:tcPr>
          <w:p>
            <w:pPr>
              <w:ind w:left="360"/>
              <w:spacing w:after="0"/>
              <w:rPr>
                <w:sz w:val="20"/>
                <w:szCs w:val="20"/>
                <w:color w:val="auto"/>
              </w:rPr>
            </w:pPr>
            <w:r>
              <w:rPr>
                <w:rFonts w:ascii="Arial" w:cs="Arial" w:eastAsia="Arial" w:hAnsi="Arial"/>
                <w:sz w:val="19"/>
                <w:szCs w:val="19"/>
                <w:color w:val="auto"/>
              </w:rPr>
              <w:t>Tenant improvements paid by landlord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94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3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9"/>
                <w:szCs w:val="19"/>
                <w:color w:val="auto"/>
              </w:rPr>
              <w:t>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9"/>
          <w:szCs w:val="19"/>
          <w:i w:val="1"/>
          <w:iCs w:val="1"/>
          <w:color w:val="auto"/>
        </w:rPr>
        <w:t>The accompanying notes are an integral part of these condensed consolidated financial statements.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F-28</w:t>
      </w:r>
    </w:p>
    <w:p>
      <w:pPr>
        <w:sectPr>
          <w:pgSz w:w="12240" w:h="15840" w:orient="portrait"/>
          <w:cols w:equalWidth="0" w:num="1">
            <w:col w:w="11820"/>
          </w:cols>
          <w:pgMar w:left="120" w:top="336" w:right="300" w:bottom="1440" w:gutter="0" w:footer="0" w:header="0"/>
        </w:sectPr>
      </w:pPr>
    </w:p>
    <w:bookmarkStart w:id="219" w:name="page220"/>
    <w:bookmarkEnd w:id="21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Unaudited Interim Condensed Consolidated Financial Statements</w:t>
      </w:r>
    </w:p>
    <w:p>
      <w:pPr>
        <w:spacing w:after="0" w:line="266" w:lineRule="exact"/>
        <w:rPr>
          <w:sz w:val="20"/>
          <w:szCs w:val="20"/>
          <w:color w:val="auto"/>
        </w:rPr>
      </w:pPr>
    </w:p>
    <w:p>
      <w:pPr>
        <w:ind w:left="640" w:hanging="461"/>
        <w:spacing w:after="0"/>
        <w:tabs>
          <w:tab w:leader="none" w:pos="640" w:val="left"/>
        </w:tabs>
        <w:numPr>
          <w:ilvl w:val="0"/>
          <w:numId w:val="133"/>
        </w:numPr>
        <w:rPr>
          <w:rFonts w:ascii="Arial" w:cs="Arial" w:eastAsia="Arial" w:hAnsi="Arial"/>
          <w:sz w:val="19"/>
          <w:szCs w:val="19"/>
          <w:b w:val="1"/>
          <w:bCs w:val="1"/>
          <w:color w:val="auto"/>
        </w:rPr>
      </w:pPr>
      <w:r>
        <w:rPr>
          <w:rFonts w:ascii="Arial" w:cs="Arial" w:eastAsia="Arial" w:hAnsi="Arial"/>
          <w:sz w:val="19"/>
          <w:szCs w:val="19"/>
          <w:b w:val="1"/>
          <w:bCs w:val="1"/>
          <w:color w:val="auto"/>
        </w:rPr>
        <w:t>The Company and Liquidity</w:t>
      </w:r>
    </w:p>
    <w:p>
      <w:pPr>
        <w:spacing w:after="0" w:line="129" w:lineRule="exact"/>
        <w:rPr>
          <w:rFonts w:ascii="Arial" w:cs="Arial" w:eastAsia="Arial" w:hAnsi="Arial"/>
          <w:sz w:val="19"/>
          <w:szCs w:val="19"/>
          <w:b w:val="1"/>
          <w:bCs w:val="1"/>
          <w:color w:val="auto"/>
        </w:rPr>
      </w:pPr>
    </w:p>
    <w:p>
      <w:pPr>
        <w:ind w:left="640" w:right="112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Alector, Inc. (“Alector” or the “Company”) is a Delaware corporation headquartered in South San Francisco, California. Alector is a biotechnology company focused on harnessing the immune system to cure neurodegenerative diseases.</w:t>
      </w:r>
    </w:p>
    <w:p>
      <w:pPr>
        <w:spacing w:after="0" w:line="297" w:lineRule="exact"/>
        <w:rPr>
          <w:rFonts w:ascii="Arial" w:cs="Arial" w:eastAsia="Arial" w:hAnsi="Arial"/>
          <w:sz w:val="19"/>
          <w:szCs w:val="19"/>
          <w:b w:val="1"/>
          <w:bCs w:val="1"/>
          <w:color w:val="auto"/>
        </w:rPr>
      </w:pPr>
    </w:p>
    <w:p>
      <w:pPr>
        <w:ind w:left="640"/>
        <w:spacing w:after="0"/>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Liquidity and Capital Resources</w:t>
      </w:r>
    </w:p>
    <w:p>
      <w:pPr>
        <w:spacing w:after="0" w:line="123" w:lineRule="exact"/>
        <w:rPr>
          <w:rFonts w:ascii="Arial" w:cs="Arial" w:eastAsia="Arial" w:hAnsi="Arial"/>
          <w:sz w:val="19"/>
          <w:szCs w:val="19"/>
          <w:b w:val="1"/>
          <w:bCs w:val="1"/>
          <w:color w:val="auto"/>
        </w:rPr>
      </w:pPr>
    </w:p>
    <w:p>
      <w:pPr>
        <w:ind w:left="640"/>
        <w:spacing w:after="0"/>
        <w:rPr>
          <w:rFonts w:ascii="Arial" w:cs="Arial" w:eastAsia="Arial" w:hAnsi="Arial"/>
          <w:sz w:val="19"/>
          <w:szCs w:val="19"/>
          <w:b w:val="1"/>
          <w:bCs w:val="1"/>
          <w:color w:val="auto"/>
        </w:rPr>
      </w:pPr>
      <w:r>
        <w:rPr>
          <w:rFonts w:ascii="Arial" w:cs="Arial" w:eastAsia="Arial" w:hAnsi="Arial"/>
          <w:sz w:val="18"/>
          <w:szCs w:val="18"/>
          <w:color w:val="auto"/>
        </w:rPr>
        <w:t>The Company has incurred net operating losses since inception. As of September 30, 2018, the Company had an accumulated deficit of</w:t>
      </w:r>
    </w:p>
    <w:p>
      <w:pPr>
        <w:spacing w:after="0" w:line="34" w:lineRule="exact"/>
        <w:rPr>
          <w:rFonts w:ascii="Arial" w:cs="Arial" w:eastAsia="Arial" w:hAnsi="Arial"/>
          <w:sz w:val="19"/>
          <w:szCs w:val="19"/>
          <w:b w:val="1"/>
          <w:bCs w:val="1"/>
          <w:color w:val="auto"/>
        </w:rPr>
      </w:pPr>
    </w:p>
    <w:p>
      <w:pPr>
        <w:ind w:left="640"/>
        <w:spacing w:after="0" w:line="285" w:lineRule="auto"/>
        <w:rPr>
          <w:rFonts w:ascii="Arial" w:cs="Arial" w:eastAsia="Arial" w:hAnsi="Arial"/>
          <w:sz w:val="19"/>
          <w:szCs w:val="19"/>
          <w:b w:val="1"/>
          <w:bCs w:val="1"/>
          <w:color w:val="auto"/>
        </w:rPr>
      </w:pPr>
      <w:r>
        <w:rPr>
          <w:rFonts w:ascii="Arial" w:cs="Arial" w:eastAsia="Arial" w:hAnsi="Arial"/>
          <w:sz w:val="17"/>
          <w:szCs w:val="17"/>
          <w:color w:val="auto"/>
        </w:rPr>
        <w:t>$97.1 million and has not generated income from operations. Management believes that its existing financial resources are sufficient to continue operating activities at least one year past the issuance date of these condensed consolidated financial statements. To date, the Company has been able to fund its operations through the issuance and sale of preferred units and convertible preferred stock in addition to the Company’s license and collaboration agreement with AbbVie Biotechnology, Ltd. (“AbbVie”). Future capital requirements will depend on many factors, including the timing and extent of spending on research and development and the market acceptance of the Company’s products.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 These factors would have a material adverse effect on the Company’s future financial results, financial position, and cash flows.</w:t>
      </w:r>
    </w:p>
    <w:p>
      <w:pPr>
        <w:spacing w:after="0" w:line="330" w:lineRule="exact"/>
        <w:rPr>
          <w:rFonts w:ascii="Arial" w:cs="Arial" w:eastAsia="Arial" w:hAnsi="Arial"/>
          <w:sz w:val="19"/>
          <w:szCs w:val="19"/>
          <w:b w:val="1"/>
          <w:bCs w:val="1"/>
          <w:color w:val="auto"/>
        </w:rPr>
      </w:pPr>
    </w:p>
    <w:p>
      <w:pPr>
        <w:ind w:left="640" w:right="6920" w:hanging="461"/>
        <w:spacing w:after="0" w:line="450" w:lineRule="auto"/>
        <w:tabs>
          <w:tab w:leader="none" w:pos="631"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color w:val="auto"/>
        </w:rPr>
        <w:t>Unaudited Interim Consolidated Financial Statements</w:t>
      </w:r>
    </w:p>
    <w:p>
      <w:pPr>
        <w:ind w:left="640" w:right="60"/>
        <w:spacing w:after="0" w:line="268" w:lineRule="auto"/>
        <w:rPr>
          <w:rFonts w:ascii="Arial" w:cs="Arial" w:eastAsia="Arial" w:hAnsi="Arial"/>
          <w:sz w:val="16"/>
          <w:szCs w:val="16"/>
          <w:b w:val="1"/>
          <w:bCs w:val="1"/>
          <w:color w:val="auto"/>
        </w:rPr>
      </w:pPr>
      <w:r>
        <w:rPr>
          <w:rFonts w:ascii="Arial" w:cs="Arial" w:eastAsia="Arial" w:hAnsi="Arial"/>
          <w:sz w:val="18"/>
          <w:szCs w:val="18"/>
          <w:color w:val="auto"/>
        </w:rPr>
        <w:t>The interim condensed consolidated balance sheet as of September 30, 2018, and the interim condensed consolidated statements of operations and comprehensive loss and cash flows for the nine months ended September 30, 2017 and 2018, are unaudited. The unaudited interim condensed consolidated financial statements have been prepared on the same basis as the annual consolidated financial statements and, in the opinion of management, reflect all adjustments, which include only normal, recurring adjustments that are necessary to present fairly the Company’s financial position as of September 30, 2018, and its results of operations and cash flows for the nine months ended September 30, 2017 and 2018. The financial data and the other financial information contained in these notes to the condensed financial statements related to the nine-month periods are also unaudited. The condensed consolidated balance sheet as of December 31, 2017, is derived from our audited financial statements included elsewhere in this prospectus. The results of operations for the nine months ended September 30, 2018, are not necessarily indicative of the results to be expected for the year ending December 31, 2018, or for any other future annual or interim period. These interim condensed consolidated financial statements should be read in conjunction with the Company’s audited financial statements included elsewhere in this prospectus.</w:t>
      </w:r>
    </w:p>
    <w:p>
      <w:pPr>
        <w:spacing w:after="0" w:line="309"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19"/>
          <w:szCs w:val="19"/>
          <w:b w:val="1"/>
          <w:bCs w:val="1"/>
          <w:i w:val="1"/>
          <w:iCs w:val="1"/>
          <w:color w:val="auto"/>
        </w:rPr>
        <w:t>Unaudited Pro Forma Financial Information</w:t>
      </w:r>
    </w:p>
    <w:p>
      <w:pPr>
        <w:spacing w:after="0" w:line="123" w:lineRule="exact"/>
        <w:rPr>
          <w:rFonts w:ascii="Arial" w:cs="Arial" w:eastAsia="Arial" w:hAnsi="Arial"/>
          <w:sz w:val="16"/>
          <w:szCs w:val="16"/>
          <w:b w:val="1"/>
          <w:bCs w:val="1"/>
          <w:color w:val="auto"/>
        </w:rPr>
      </w:pPr>
    </w:p>
    <w:p>
      <w:pPr>
        <w:ind w:left="640" w:right="40"/>
        <w:spacing w:after="0" w:line="259" w:lineRule="auto"/>
        <w:rPr>
          <w:rFonts w:ascii="Arial" w:cs="Arial" w:eastAsia="Arial" w:hAnsi="Arial"/>
          <w:sz w:val="16"/>
          <w:szCs w:val="16"/>
          <w:b w:val="1"/>
          <w:bCs w:val="1"/>
          <w:color w:val="auto"/>
        </w:rPr>
      </w:pPr>
      <w:r>
        <w:rPr>
          <w:rFonts w:ascii="Arial" w:cs="Arial" w:eastAsia="Arial" w:hAnsi="Arial"/>
          <w:sz w:val="19"/>
          <w:szCs w:val="19"/>
          <w:color w:val="auto"/>
        </w:rPr>
        <w:t>Immediately upon the closing of this offering, all outstanding shares of convertible preferred stock will convert into common stock. Unaudited pro forma stockholders’ equity information as of September 30, 2018, assumes the conversion of all outstanding convertible preferred stock into shares of common stock. The shares of common stock issuable and the proceeds expected to be received in the Company’s anticipated initial public offering (the “IPO”) are excluded from such pro forma financial information.</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F-29</w:t>
      </w:r>
    </w:p>
    <w:p>
      <w:pPr>
        <w:sectPr>
          <w:pgSz w:w="12240" w:h="15840" w:orient="portrait"/>
          <w:cols w:equalWidth="0" w:num="1">
            <w:col w:w="11820"/>
          </w:cols>
          <w:pgMar w:left="120" w:top="337" w:right="300" w:bottom="1440" w:gutter="0" w:footer="0" w:header="0"/>
        </w:sectPr>
      </w:pPr>
    </w:p>
    <w:bookmarkStart w:id="220" w:name="page221"/>
    <w:bookmarkEnd w:id="22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Unaudited Interim Condensed Consolidated Financial Statements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Use of Estimates</w:t>
      </w:r>
    </w:p>
    <w:p>
      <w:pPr>
        <w:spacing w:after="0" w:line="124" w:lineRule="exact"/>
        <w:rPr>
          <w:sz w:val="20"/>
          <w:szCs w:val="20"/>
          <w:color w:val="auto"/>
        </w:rPr>
      </w:pPr>
    </w:p>
    <w:p>
      <w:pPr>
        <w:ind w:left="640"/>
        <w:spacing w:after="0" w:line="272"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 during the reporting period. The Company evaluates its estimates, including those related to revenue recognition, manufacturing accruals, fair value of assets and liabilities, income taxes uncertainties, stock-based compensation, and related assumptions on an ongoing basis using historical experience and other factors and adjusts those estimates and assumptions when facts and circumstances dictate. Actual results could materially differ from those estimates</w:t>
      </w:r>
      <w:r>
        <w:rPr>
          <w:rFonts w:ascii="Arial" w:cs="Arial" w:eastAsia="Arial" w:hAnsi="Arial"/>
          <w:sz w:val="18"/>
          <w:szCs w:val="18"/>
          <w:i w:val="1"/>
          <w:iCs w:val="1"/>
          <w:color w:val="auto"/>
        </w:rPr>
        <w:t>.</w:t>
      </w:r>
    </w:p>
    <w:p>
      <w:pPr>
        <w:spacing w:after="0" w:line="304"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Concentration of Credit Risk</w:t>
      </w:r>
    </w:p>
    <w:p>
      <w:pPr>
        <w:spacing w:after="0" w:line="124"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and short-term marketable securities. Cash and cash equivalents are deposited in checking and sweep accounts at a financial institution. Such deposits may, at times, exceed federally insured limits. The Company holds investments in money market funds and U.S. treasury securities. The Company has not experienced any losses on its deposits of cash, cash equivalents, and marketable securities.</w:t>
      </w:r>
    </w:p>
    <w:p>
      <w:pPr>
        <w:spacing w:after="0" w:line="29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Cash, Cash Equivalents, and Restricted Cash</w:t>
      </w:r>
    </w:p>
    <w:p>
      <w:pPr>
        <w:spacing w:after="0" w:line="124" w:lineRule="exact"/>
        <w:rPr>
          <w:sz w:val="20"/>
          <w:szCs w:val="20"/>
          <w:color w:val="auto"/>
        </w:rPr>
      </w:pPr>
    </w:p>
    <w:p>
      <w:pPr>
        <w:ind w:left="640" w:right="300"/>
        <w:spacing w:after="0" w:line="30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amounts shown in the condensed consolidated statements of cash flows:</w:t>
      </w:r>
    </w:p>
    <w:p>
      <w:pPr>
        <w:spacing w:after="0" w:line="180" w:lineRule="exact"/>
        <w:rPr>
          <w:sz w:val="20"/>
          <w:szCs w:val="20"/>
          <w:color w:val="auto"/>
        </w:rPr>
      </w:pPr>
    </w:p>
    <w:p>
      <w:pPr>
        <w:jc w:val="center"/>
        <w:ind w:left="6880"/>
        <w:spacing w:after="0"/>
        <w:rPr>
          <w:sz w:val="20"/>
          <w:szCs w:val="20"/>
          <w:color w:val="auto"/>
        </w:rPr>
      </w:pPr>
      <w:r>
        <w:rPr>
          <w:rFonts w:ascii="Arial" w:cs="Arial" w:eastAsia="Arial" w:hAnsi="Arial"/>
          <w:sz w:val="15"/>
          <w:szCs w:val="15"/>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5411470</wp:posOffset>
            </wp:positionH>
            <wp:positionV relativeFrom="paragraph">
              <wp:posOffset>4445</wp:posOffset>
            </wp:positionV>
            <wp:extent cx="11684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68400" cy="8890"/>
                    </a:xfrm>
                    <a:prstGeom prst="rect">
                      <a:avLst/>
                    </a:prstGeom>
                    <a:noFill/>
                  </pic:spPr>
                </pic:pic>
              </a:graphicData>
            </a:graphic>
          </wp:anchor>
        </w:drawing>
      </w:r>
    </w:p>
    <w:p>
      <w:pPr>
        <w:ind w:left="8680"/>
        <w:spacing w:after="0"/>
        <w:tabs>
          <w:tab w:leader="none" w:pos="9880" w:val="left"/>
        </w:tabs>
        <w:rPr>
          <w:sz w:val="20"/>
          <w:szCs w:val="20"/>
          <w:color w:val="auto"/>
        </w:rPr>
      </w:pPr>
      <w:r>
        <w:rPr>
          <w:rFonts w:ascii="Arial" w:cs="Arial" w:eastAsia="Arial" w:hAnsi="Arial"/>
          <w:sz w:val="15"/>
          <w:szCs w:val="15"/>
          <w:b w:val="1"/>
          <w:bCs w:val="1"/>
          <w:color w:val="auto"/>
        </w:rPr>
        <w:t>2017</w:t>
      </w:r>
      <w:r>
        <w:rPr>
          <w:sz w:val="20"/>
          <w:szCs w:val="20"/>
          <w:color w:val="auto"/>
        </w:rPr>
        <w:tab/>
      </w:r>
      <w:r>
        <w:rPr>
          <w:rFonts w:ascii="Arial" w:cs="Arial" w:eastAsia="Arial" w:hAnsi="Arial"/>
          <w:sz w:val="15"/>
          <w:szCs w:val="15"/>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5411470</wp:posOffset>
            </wp:positionH>
            <wp:positionV relativeFrom="paragraph">
              <wp:posOffset>-3810</wp:posOffset>
            </wp:positionV>
            <wp:extent cx="11684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68400" cy="8890"/>
                    </a:xfrm>
                    <a:prstGeom prst="rect">
                      <a:avLst/>
                    </a:prstGeom>
                    <a:noFill/>
                  </pic:spPr>
                </pic:pic>
              </a:graphicData>
            </a:graphic>
          </wp:anchor>
        </w:drawing>
      </w:r>
    </w:p>
    <w:p>
      <w:pPr>
        <w:ind w:left="8980"/>
        <w:spacing w:after="0" w:line="228" w:lineRule="auto"/>
        <w:rPr>
          <w:sz w:val="20"/>
          <w:szCs w:val="20"/>
          <w:color w:val="auto"/>
        </w:rPr>
      </w:pPr>
      <w:r>
        <w:rPr>
          <w:rFonts w:ascii="Arial" w:cs="Arial" w:eastAsia="Arial" w:hAnsi="Arial"/>
          <w:sz w:val="15"/>
          <w:szCs w:val="15"/>
          <w:b w:val="1"/>
          <w:bCs w:val="1"/>
          <w:color w:val="auto"/>
        </w:rPr>
        <w:t>(In thousands)</w:t>
      </w:r>
    </w:p>
    <w:p>
      <w:pPr>
        <w:spacing w:after="0" w:line="10" w:lineRule="exact"/>
        <w:rPr>
          <w:sz w:val="20"/>
          <w:szCs w:val="20"/>
          <w:color w:val="auto"/>
        </w:rPr>
      </w:pPr>
    </w:p>
    <w:tbl>
      <w:tblPr>
        <w:tblLayout w:type="fixed"/>
        <w:tblInd w:w="1580" w:type="dxa"/>
        <w:tblCellMar>
          <w:top w:w="0" w:type="dxa"/>
          <w:left w:w="0" w:type="dxa"/>
          <w:bottom w:w="0" w:type="dxa"/>
          <w:right w:w="0" w:type="dxa"/>
        </w:tblCellMar>
      </w:tblPr>
      <w:tr>
        <w:trPr>
          <w:trHeight w:val="218"/>
        </w:trPr>
        <w:tc>
          <w:tcPr>
            <w:tcW w:w="5480" w:type="dxa"/>
            <w:vAlign w:val="bottom"/>
            <w:shd w:val="clear" w:color="auto" w:fill="CCEEFF"/>
          </w:tcPr>
          <w:p>
            <w:pPr>
              <w:spacing w:after="0"/>
              <w:rPr>
                <w:sz w:val="20"/>
                <w:szCs w:val="20"/>
                <w:color w:val="auto"/>
              </w:rPr>
            </w:pPr>
            <w:r>
              <w:rPr>
                <w:rFonts w:ascii="Arial" w:cs="Arial" w:eastAsia="Arial" w:hAnsi="Arial"/>
                <w:sz w:val="19"/>
                <w:szCs w:val="19"/>
                <w:color w:val="auto"/>
              </w:rPr>
              <w:t>Cash and cash equivalents</w:t>
            </w:r>
          </w:p>
        </w:tc>
        <w:tc>
          <w:tcPr>
            <w:tcW w:w="2680" w:type="dxa"/>
            <w:vAlign w:val="bottom"/>
            <w:gridSpan w:val="3"/>
            <w:shd w:val="clear" w:color="auto" w:fill="CCEEFF"/>
          </w:tcPr>
          <w:p>
            <w:pPr>
              <w:jc w:val="right"/>
              <w:ind w:right="600"/>
              <w:spacing w:after="0"/>
              <w:rPr>
                <w:sz w:val="20"/>
                <w:szCs w:val="20"/>
                <w:color w:val="auto"/>
              </w:rPr>
            </w:pPr>
            <w:r>
              <w:rPr>
                <w:rFonts w:ascii="Arial" w:cs="Arial" w:eastAsia="Arial" w:hAnsi="Arial"/>
                <w:sz w:val="19"/>
                <w:szCs w:val="19"/>
                <w:color w:val="auto"/>
              </w:rPr>
              <w:t>$34,835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7"/>
              </w:rPr>
              <w:t>$41,939</w:t>
            </w:r>
          </w:p>
        </w:tc>
      </w:tr>
      <w:tr>
        <w:trPr>
          <w:trHeight w:val="228"/>
        </w:trPr>
        <w:tc>
          <w:tcPr>
            <w:tcW w:w="5480" w:type="dxa"/>
            <w:vAlign w:val="bottom"/>
          </w:tcPr>
          <w:p>
            <w:pPr>
              <w:spacing w:after="0"/>
              <w:rPr>
                <w:sz w:val="20"/>
                <w:szCs w:val="20"/>
                <w:color w:val="auto"/>
              </w:rPr>
            </w:pPr>
            <w:r>
              <w:rPr>
                <w:rFonts w:ascii="Arial" w:cs="Arial" w:eastAsia="Arial" w:hAnsi="Arial"/>
                <w:sz w:val="19"/>
                <w:szCs w:val="19"/>
                <w:color w:val="auto"/>
              </w:rPr>
              <w:t>Restricted cash</w:t>
            </w:r>
          </w:p>
        </w:tc>
        <w:tc>
          <w:tcPr>
            <w:tcW w:w="146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9"/>
                <w:szCs w:val="19"/>
                <w:color w:val="auto"/>
              </w:rPr>
              <w:t>200</w:t>
            </w: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rPr>
              <w:t>1,472</w:t>
            </w:r>
          </w:p>
        </w:tc>
      </w:tr>
      <w:tr>
        <w:trPr>
          <w:trHeight w:val="29"/>
        </w:trPr>
        <w:tc>
          <w:tcPr>
            <w:tcW w:w="5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548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cash, cash equivalents, and restricted cash</w:t>
            </w:r>
          </w:p>
        </w:tc>
        <w:tc>
          <w:tcPr>
            <w:tcW w:w="14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9"/>
                <w:szCs w:val="19"/>
                <w:u w:val="single" w:color="auto"/>
                <w:color w:val="auto"/>
                <w:w w:val="87"/>
              </w:rPr>
              <w:t>$</w:t>
            </w:r>
            <w:r>
              <w:rPr>
                <w:rFonts w:ascii="Arial" w:cs="Arial" w:eastAsia="Arial" w:hAnsi="Arial"/>
                <w:sz w:val="19"/>
                <w:szCs w:val="19"/>
                <w:color w:val="auto"/>
                <w:w w:val="87"/>
              </w:rPr>
              <w:t>35,035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u w:val="single" w:color="auto"/>
                <w:color w:val="auto"/>
                <w:w w:val="87"/>
              </w:rPr>
              <w:t>$</w:t>
            </w:r>
            <w:r>
              <w:rPr>
                <w:rFonts w:ascii="Arial" w:cs="Arial" w:eastAsia="Arial" w:hAnsi="Arial"/>
                <w:sz w:val="19"/>
                <w:szCs w:val="19"/>
                <w:color w:val="auto"/>
                <w:w w:val="87"/>
              </w:rPr>
              <w:t>43,411</w:t>
            </w:r>
          </w:p>
        </w:tc>
      </w:tr>
      <w:tr>
        <w:trPr>
          <w:trHeight w:val="20"/>
        </w:trPr>
        <w:tc>
          <w:tcPr>
            <w:tcW w:w="5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Restricted cash as of September 30, 2018 relates to a letter of credit established for a lease entered into in June 2018.</w:t>
      </w:r>
    </w:p>
    <w:p>
      <w:pPr>
        <w:spacing w:after="0" w:line="35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Fair Value of Financial Instruments</w:t>
      </w:r>
    </w:p>
    <w:p>
      <w:pPr>
        <w:spacing w:after="0" w:line="124" w:lineRule="exact"/>
        <w:rPr>
          <w:sz w:val="20"/>
          <w:szCs w:val="20"/>
          <w:color w:val="auto"/>
        </w:rPr>
      </w:pPr>
    </w:p>
    <w:p>
      <w:pPr>
        <w:ind w:left="640" w:right="620"/>
        <w:spacing w:after="0" w:line="304" w:lineRule="auto"/>
        <w:rPr>
          <w:sz w:val="20"/>
          <w:szCs w:val="20"/>
          <w:color w:val="auto"/>
        </w:rPr>
      </w:pPr>
      <w:r>
        <w:rPr>
          <w:rFonts w:ascii="Arial" w:cs="Arial" w:eastAsia="Arial" w:hAnsi="Arial"/>
          <w:sz w:val="18"/>
          <w:szCs w:val="18"/>
          <w:color w:val="auto"/>
        </w:rPr>
        <w:t>The Company’s financial instruments include cash and cash equivalents, marketable securities, receivables, accounts payable, and accrued liabilities. The Company’s financial instruments approximate fair value due to their relatively short maturities.</w:t>
      </w:r>
    </w:p>
    <w:p>
      <w:pPr>
        <w:spacing w:after="0" w:line="46" w:lineRule="exact"/>
        <w:rPr>
          <w:sz w:val="20"/>
          <w:szCs w:val="20"/>
          <w:color w:val="auto"/>
        </w:rPr>
      </w:pPr>
    </w:p>
    <w:p>
      <w:pPr>
        <w:ind w:left="640" w:right="20"/>
        <w:spacing w:after="0" w:line="298" w:lineRule="auto"/>
        <w:rPr>
          <w:sz w:val="20"/>
          <w:szCs w:val="20"/>
          <w:color w:val="auto"/>
        </w:rPr>
      </w:pPr>
      <w:r>
        <w:rPr>
          <w:rFonts w:ascii="Arial" w:cs="Arial" w:eastAsia="Arial" w:hAnsi="Arial"/>
          <w:sz w:val="17"/>
          <w:szCs w:val="17"/>
          <w:color w:val="auto"/>
        </w:rPr>
        <w:t>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56" w:lineRule="exact"/>
        <w:rPr>
          <w:sz w:val="20"/>
          <w:szCs w:val="20"/>
          <w:color w:val="auto"/>
        </w:rPr>
      </w:pPr>
    </w:p>
    <w:p>
      <w:pPr>
        <w:ind w:left="1120"/>
        <w:spacing w:after="0"/>
        <w:rPr>
          <w:sz w:val="20"/>
          <w:szCs w:val="20"/>
          <w:color w:val="auto"/>
        </w:rPr>
      </w:pPr>
      <w:r>
        <w:rPr>
          <w:rFonts w:ascii="Arial" w:cs="Arial" w:eastAsia="Arial" w:hAnsi="Arial"/>
          <w:sz w:val="19"/>
          <w:szCs w:val="19"/>
          <w:i w:val="1"/>
          <w:iCs w:val="1"/>
          <w:color w:val="auto"/>
        </w:rPr>
        <w:t xml:space="preserve">Level 1 </w:t>
      </w:r>
      <w:r>
        <w:rPr>
          <w:rFonts w:ascii="Arial" w:cs="Arial" w:eastAsia="Arial" w:hAnsi="Arial"/>
          <w:sz w:val="19"/>
          <w:szCs w:val="19"/>
          <w:color w:val="auto"/>
        </w:rPr>
        <w:t>– Inputs are unadjusted, quoted prices in active markets for identical assets or liabilities at the measurement date;</w:t>
      </w:r>
    </w:p>
    <w:p>
      <w:pPr>
        <w:spacing w:after="0" w:line="167" w:lineRule="exact"/>
        <w:rPr>
          <w:sz w:val="20"/>
          <w:szCs w:val="20"/>
          <w:color w:val="auto"/>
        </w:rPr>
      </w:pPr>
    </w:p>
    <w:p>
      <w:pPr>
        <w:ind w:left="5820"/>
        <w:spacing w:after="0"/>
        <w:rPr>
          <w:sz w:val="20"/>
          <w:szCs w:val="20"/>
          <w:color w:val="auto"/>
        </w:rPr>
      </w:pPr>
      <w:r>
        <w:rPr>
          <w:rFonts w:ascii="Arial" w:cs="Arial" w:eastAsia="Arial" w:hAnsi="Arial"/>
          <w:sz w:val="19"/>
          <w:szCs w:val="19"/>
          <w:color w:val="auto"/>
        </w:rPr>
        <w:t>F-30</w:t>
      </w:r>
    </w:p>
    <w:p>
      <w:pPr>
        <w:sectPr>
          <w:pgSz w:w="12240" w:h="15840" w:orient="portrait"/>
          <w:cols w:equalWidth="0" w:num="1">
            <w:col w:w="11800"/>
          </w:cols>
          <w:pgMar w:left="120" w:top="336" w:right="320" w:bottom="1440" w:gutter="0" w:footer="0" w:header="0"/>
        </w:sectPr>
      </w:pPr>
    </w:p>
    <w:bookmarkStart w:id="221" w:name="page222"/>
    <w:bookmarkEnd w:id="22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Unaudited Interim Condensed Consolidated Financial Statements</w:t>
      </w:r>
    </w:p>
    <w:p>
      <w:pPr>
        <w:spacing w:after="0" w:line="272" w:lineRule="exact"/>
        <w:rPr>
          <w:sz w:val="20"/>
          <w:szCs w:val="20"/>
          <w:color w:val="auto"/>
        </w:rPr>
      </w:pPr>
    </w:p>
    <w:p>
      <w:pPr>
        <w:ind w:left="1120"/>
        <w:spacing w:after="0" w:line="263" w:lineRule="auto"/>
        <w:rPr>
          <w:sz w:val="20"/>
          <w:szCs w:val="20"/>
          <w:color w:val="auto"/>
        </w:rPr>
      </w:pPr>
      <w:r>
        <w:rPr>
          <w:rFonts w:ascii="Arial" w:cs="Arial" w:eastAsia="Arial" w:hAnsi="Arial"/>
          <w:sz w:val="19"/>
          <w:szCs w:val="19"/>
          <w:i w:val="1"/>
          <w:iCs w:val="1"/>
          <w:color w:val="auto"/>
        </w:rPr>
        <w:t xml:space="preserve">Level 2 </w:t>
      </w:r>
      <w:r>
        <w:rPr>
          <w:rFonts w:ascii="Arial" w:cs="Arial" w:eastAsia="Arial" w:hAnsi="Arial"/>
          <w:sz w:val="19"/>
          <w:szCs w:val="19"/>
          <w:color w:val="auto"/>
        </w:rPr>
        <w:t>– Inputs are observable, unadjusted quoted prices in active markets for similar assets or liabilities, unadjusted quoted prices for</w:t>
      </w:r>
      <w:r>
        <w:rPr>
          <w:rFonts w:ascii="Arial" w:cs="Arial" w:eastAsia="Arial" w:hAnsi="Arial"/>
          <w:sz w:val="19"/>
          <w:szCs w:val="19"/>
          <w:i w:val="1"/>
          <w:iCs w:val="1"/>
          <w:color w:val="auto"/>
        </w:rPr>
        <w:t xml:space="preserve"> </w:t>
      </w:r>
      <w:r>
        <w:rPr>
          <w:rFonts w:ascii="Arial" w:cs="Arial" w:eastAsia="Arial" w:hAnsi="Arial"/>
          <w:sz w:val="19"/>
          <w:szCs w:val="19"/>
          <w:color w:val="auto"/>
        </w:rPr>
        <w:t>identical or similar assets or liabilities in markets that are not active, or other inputs that are observable or can be corroborated by observable market data for substantially the full term of the related assets or liabilities; and</w:t>
      </w:r>
    </w:p>
    <w:p>
      <w:pPr>
        <w:spacing w:after="0" w:line="80" w:lineRule="exact"/>
        <w:rPr>
          <w:sz w:val="20"/>
          <w:szCs w:val="20"/>
          <w:color w:val="auto"/>
        </w:rPr>
      </w:pPr>
    </w:p>
    <w:p>
      <w:pPr>
        <w:ind w:left="1120" w:right="140"/>
        <w:spacing w:after="0" w:line="275" w:lineRule="auto"/>
        <w:rPr>
          <w:sz w:val="20"/>
          <w:szCs w:val="20"/>
          <w:color w:val="auto"/>
        </w:rPr>
      </w:pPr>
      <w:r>
        <w:rPr>
          <w:rFonts w:ascii="Arial" w:cs="Arial" w:eastAsia="Arial" w:hAnsi="Arial"/>
          <w:sz w:val="19"/>
          <w:szCs w:val="19"/>
          <w:i w:val="1"/>
          <w:iCs w:val="1"/>
          <w:color w:val="auto"/>
        </w:rPr>
        <w:t xml:space="preserve">Level 3 </w:t>
      </w:r>
      <w:r>
        <w:rPr>
          <w:rFonts w:ascii="Arial" w:cs="Arial" w:eastAsia="Arial" w:hAnsi="Arial"/>
          <w:sz w:val="19"/>
          <w:szCs w:val="19"/>
          <w:color w:val="auto"/>
        </w:rPr>
        <w:t>– Unobservable inputs that are significant to the measurement of the fair value of the assets or liabilities that are supported by little</w:t>
      </w:r>
      <w:r>
        <w:rPr>
          <w:rFonts w:ascii="Arial" w:cs="Arial" w:eastAsia="Arial" w:hAnsi="Arial"/>
          <w:sz w:val="19"/>
          <w:szCs w:val="19"/>
          <w:i w:val="1"/>
          <w:iCs w:val="1"/>
          <w:color w:val="auto"/>
        </w:rPr>
        <w:t xml:space="preserve"> </w:t>
      </w:r>
      <w:r>
        <w:rPr>
          <w:rFonts w:ascii="Arial" w:cs="Arial" w:eastAsia="Arial" w:hAnsi="Arial"/>
          <w:sz w:val="19"/>
          <w:szCs w:val="19"/>
          <w:color w:val="auto"/>
        </w:rPr>
        <w:t>or no market data.</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124" w:lineRule="exact"/>
        <w:rPr>
          <w:sz w:val="20"/>
          <w:szCs w:val="20"/>
          <w:color w:val="auto"/>
        </w:rPr>
      </w:pPr>
    </w:p>
    <w:p>
      <w:pPr>
        <w:ind w:left="640" w:right="20"/>
        <w:spacing w:after="0" w:line="268" w:lineRule="auto"/>
        <w:rPr>
          <w:sz w:val="20"/>
          <w:szCs w:val="20"/>
          <w:color w:val="auto"/>
        </w:rPr>
      </w:pPr>
      <w:r>
        <w:rPr>
          <w:rFonts w:ascii="Arial" w:cs="Arial" w:eastAsia="Arial" w:hAnsi="Arial"/>
          <w:sz w:val="18"/>
          <w:szCs w:val="18"/>
          <w:color w:val="auto"/>
        </w:rPr>
        <w:t>The Company signed an agreement in October 2017, with AbbVie to co-develop antibodies to two program targets in preclinical development. Under the terms of the agreement, AbbVie made $205.0 million in upfront payments, of which $5.0 million and $200.0 million was received by the Company in October 2017 and January 2018, respectively. The Company will perform research and development services for the antibodies to the two programs through the end of Phase 2 clinical trials which the Company expects to conduct through 2023. AbbVie will then have the exclusive right to exercise an option to enter into a license and collaboration agreement with the Company for one or both of the programs for $250.0 million each. If AbbVie exercises its option for the programs, AbbVie will take over the development of the product candidates for such program and costs will be split between the parties. The Company will also share in profits and losses upon commercialization of any products from such program. However, following AbbVie’s exercise of its option for a program, the Company may opt out of sharing in development costs and profits or losses for that program and instead receive tiered royalties. Additionally, under the terms of the agreement, the Company will be eligible to earn up to an additional $242.8 million in milestone payments per program related to the initiation of certain clinical studies and regulatory approval for up to three indications per program. The Company assessed its collaboration agreement with AbbVie in the context of the delivery of the research and development services.</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Collaboration revenue under the Company’s collaboration agreement with AbbVie during the nine months ended September 30, 2018 was</w:t>
      </w:r>
    </w:p>
    <w:p>
      <w:pPr>
        <w:spacing w:after="0" w:line="34" w:lineRule="exact"/>
        <w:rPr>
          <w:sz w:val="20"/>
          <w:szCs w:val="20"/>
          <w:color w:val="auto"/>
        </w:rPr>
      </w:pPr>
    </w:p>
    <w:p>
      <w:pPr>
        <w:ind w:left="640" w:right="120"/>
        <w:spacing w:after="0" w:line="255" w:lineRule="auto"/>
        <w:rPr>
          <w:sz w:val="20"/>
          <w:szCs w:val="20"/>
          <w:color w:val="auto"/>
        </w:rPr>
      </w:pPr>
      <w:r>
        <w:rPr>
          <w:rFonts w:ascii="Arial" w:cs="Arial" w:eastAsia="Arial" w:hAnsi="Arial"/>
          <w:sz w:val="19"/>
          <w:szCs w:val="19"/>
          <w:color w:val="auto"/>
        </w:rPr>
        <w:t>$18.4 million, which the entire amount was included in deferred revenue at the beginning of the period. The Company recorded deferred revenue of $183.8 million as of September 30, 2018. The deferred revenue is expected to be recognized over the research and development period of the programs through the completion of Phase 2 clinical trials.</w:t>
      </w:r>
    </w:p>
    <w:p>
      <w:pPr>
        <w:spacing w:after="0" w:line="317"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Comprehensive Loss</w:t>
      </w:r>
    </w:p>
    <w:p>
      <w:pPr>
        <w:spacing w:after="0" w:line="124" w:lineRule="exact"/>
        <w:rPr>
          <w:sz w:val="20"/>
          <w:szCs w:val="20"/>
          <w:color w:val="auto"/>
        </w:rPr>
      </w:pPr>
    </w:p>
    <w:p>
      <w:pPr>
        <w:ind w:left="640"/>
        <w:spacing w:after="0" w:line="336" w:lineRule="auto"/>
        <w:rPr>
          <w:sz w:val="20"/>
          <w:szCs w:val="20"/>
          <w:color w:val="auto"/>
        </w:rPr>
      </w:pPr>
      <w:r>
        <w:rPr>
          <w:rFonts w:ascii="Arial" w:cs="Arial" w:eastAsia="Arial" w:hAnsi="Arial"/>
          <w:sz w:val="17"/>
          <w:szCs w:val="17"/>
          <w:color w:val="auto"/>
        </w:rPr>
        <w:t>Comprehensive loss includes net loss and certain changes in stockholders’ equity that are the result of transactions and economic events other than those with stockholders. The Company’s only element of other comprehensive loss was unrealized losses on marketable securities.</w:t>
      </w:r>
    </w:p>
    <w:p>
      <w:pPr>
        <w:spacing w:after="0" w:line="251"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Deferred Offering Costs</w:t>
      </w:r>
    </w:p>
    <w:p>
      <w:pPr>
        <w:spacing w:after="0" w:line="124"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color w:val="auto"/>
        </w:rPr>
        <w:t>Offering costs, consisting of legal, accounting, printer, and filing fees related to the IPO are deferred and will be offset against proceeds from the IPO upon the effectiveness of the offering. In the event the offering is terminated, all deferred offering costs will be expensed. As of September 30, 2018, $1.0 million of deferred offering costs were recorded as other assets in the accompanying condensed consolidated balance sheet. There were no deferred offering costs for the IPO as of December 31, 2017.</w:t>
      </w:r>
    </w:p>
    <w:p>
      <w:pPr>
        <w:spacing w:after="0" w:line="29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Recent Accounting Pronouncements</w:t>
      </w:r>
    </w:p>
    <w:p>
      <w:pPr>
        <w:spacing w:after="0" w:line="124" w:lineRule="exact"/>
        <w:rPr>
          <w:sz w:val="20"/>
          <w:szCs w:val="20"/>
          <w:color w:val="auto"/>
        </w:rPr>
      </w:pPr>
    </w:p>
    <w:p>
      <w:pPr>
        <w:ind w:left="640" w:right="380"/>
        <w:spacing w:after="0" w:line="275" w:lineRule="auto"/>
        <w:rPr>
          <w:sz w:val="20"/>
          <w:szCs w:val="20"/>
          <w:color w:val="auto"/>
        </w:rPr>
      </w:pPr>
      <w:r>
        <w:rPr>
          <w:rFonts w:ascii="Arial" w:cs="Arial" w:eastAsia="Arial" w:hAnsi="Arial"/>
          <w:sz w:val="19"/>
          <w:szCs w:val="19"/>
          <w:color w:val="auto"/>
        </w:rPr>
        <w:t xml:space="preserve">In February 2016, the FASB issued ASU No. 2016-02, </w:t>
      </w:r>
      <w:r>
        <w:rPr>
          <w:rFonts w:ascii="Arial" w:cs="Arial" w:eastAsia="Arial" w:hAnsi="Arial"/>
          <w:sz w:val="19"/>
          <w:szCs w:val="19"/>
          <w:i w:val="1"/>
          <w:iCs w:val="1"/>
          <w:color w:val="auto"/>
        </w:rPr>
        <w:t>Leases</w:t>
      </w:r>
      <w:r>
        <w:rPr>
          <w:rFonts w:ascii="Arial" w:cs="Arial" w:eastAsia="Arial" w:hAnsi="Arial"/>
          <w:sz w:val="19"/>
          <w:szCs w:val="19"/>
          <w:color w:val="auto"/>
        </w:rPr>
        <w:t xml:space="preserve"> (“ASU 2016-02”). The new standard requires lessees to apply a dual approach, classifying leases as either finance or operating leases based on the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F-31</w:t>
      </w:r>
    </w:p>
    <w:p>
      <w:pPr>
        <w:sectPr>
          <w:pgSz w:w="12240" w:h="15840" w:orient="portrait"/>
          <w:cols w:equalWidth="0" w:num="1">
            <w:col w:w="11800"/>
          </w:cols>
          <w:pgMar w:left="120" w:top="336" w:right="320" w:bottom="1440" w:gutter="0" w:footer="0" w:header="0"/>
        </w:sectPr>
      </w:pPr>
    </w:p>
    <w:bookmarkStart w:id="222" w:name="page223"/>
    <w:bookmarkEnd w:id="22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Unaudited Interim Condensed Consolidated Financial Statements</w:t>
      </w:r>
    </w:p>
    <w:p>
      <w:pPr>
        <w:spacing w:after="0" w:line="272" w:lineRule="exact"/>
        <w:rPr>
          <w:sz w:val="20"/>
          <w:szCs w:val="20"/>
          <w:color w:val="auto"/>
        </w:rPr>
      </w:pPr>
    </w:p>
    <w:p>
      <w:pPr>
        <w:ind w:left="640"/>
        <w:spacing w:after="0" w:line="285" w:lineRule="auto"/>
        <w:rPr>
          <w:sz w:val="20"/>
          <w:szCs w:val="20"/>
          <w:color w:val="auto"/>
        </w:rPr>
      </w:pPr>
      <w:r>
        <w:rPr>
          <w:rFonts w:ascii="Arial" w:cs="Arial" w:eastAsia="Arial" w:hAnsi="Arial"/>
          <w:sz w:val="17"/>
          <w:szCs w:val="17"/>
          <w:color w:val="auto"/>
        </w:rPr>
        <w:t xml:space="preserve">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similar to existing guidance for operating leases. The Company will adopt ASU 2016-02 effective January 1, 2019. In July 2018, the FASB issued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xml:space="preserve"> (“ASU 2018-11”). In issuing ASU 2018-11, the FASB is permitting another transition method for ASU 2016-02, which allows the transition to the new lease standard by recognizing a cumulative-effect adjustment to the opening balance of retained earnings in the period of adoption. The Company is currently in the process of evaluating the impact the adoption of this new standard on the Company’s financial statements and related disclosures. Management expects that the adoption of this standard will result in the recognition of a right-of-use asset for leased facilities and recognition of a liability for the lease payments remaining on the leases. These changes will be reflected on the condensed consolidated balance sheets. Management does not expect a material change to the condensed consolidated statement of operations and comprehensive loss or cash flows.</w:t>
      </w:r>
    </w:p>
    <w:p>
      <w:pPr>
        <w:spacing w:after="0" w:line="71" w:lineRule="exact"/>
        <w:rPr>
          <w:sz w:val="20"/>
          <w:szCs w:val="20"/>
          <w:color w:val="auto"/>
        </w:rPr>
      </w:pPr>
    </w:p>
    <w:p>
      <w:pPr>
        <w:ind w:left="640" w:right="120"/>
        <w:spacing w:after="0" w:line="255" w:lineRule="auto"/>
        <w:rPr>
          <w:sz w:val="20"/>
          <w:szCs w:val="20"/>
          <w:color w:val="auto"/>
        </w:rPr>
      </w:pPr>
      <w:r>
        <w:rPr>
          <w:rFonts w:ascii="Arial" w:cs="Arial" w:eastAsia="Arial" w:hAnsi="Arial"/>
          <w:sz w:val="19"/>
          <w:szCs w:val="19"/>
          <w:color w:val="auto"/>
        </w:rPr>
        <w:t xml:space="preserve">In June 2018, the FASB issued ASU No. 2018-07, </w:t>
      </w:r>
      <w:r>
        <w:rPr>
          <w:rFonts w:ascii="Arial" w:cs="Arial" w:eastAsia="Arial" w:hAnsi="Arial"/>
          <w:sz w:val="19"/>
          <w:szCs w:val="19"/>
          <w:i w:val="1"/>
          <w:iCs w:val="1"/>
          <w:color w:val="auto"/>
        </w:rPr>
        <w:t>Improvements to Nonemployee Share-Based Payment Accounting</w:t>
      </w:r>
      <w:r>
        <w:rPr>
          <w:rFonts w:ascii="Arial" w:cs="Arial" w:eastAsia="Arial" w:hAnsi="Arial"/>
          <w:sz w:val="19"/>
          <w:szCs w:val="19"/>
          <w:color w:val="auto"/>
        </w:rPr>
        <w:t xml:space="preserve"> (“ASU 2018-07”). The new standard simplifies the accounting for share-based payments to nonemployees by aligning it with the accounting for share-based payments to employees, with certain exceptions. The new standard is effective for public companies for fiscal years beginning after December 15, 2018, including interim periods within that fiscal year. Early adoption is permitted, but no earlier than a company’s adoption date of ASC 606. The Company early adopted ASU 2018-07 effective July 1, 2018. The early adoption of this new standard did not have a material impact on the Company’s condensed consolidated financial statements.</w:t>
      </w:r>
    </w:p>
    <w:p>
      <w:pPr>
        <w:spacing w:after="0" w:line="355" w:lineRule="exact"/>
        <w:rPr>
          <w:sz w:val="20"/>
          <w:szCs w:val="20"/>
          <w:color w:val="auto"/>
        </w:rPr>
      </w:pPr>
    </w:p>
    <w:p>
      <w:pPr>
        <w:ind w:left="640" w:hanging="461"/>
        <w:spacing w:after="0"/>
        <w:tabs>
          <w:tab w:leader="none" w:pos="640" w:val="left"/>
        </w:tabs>
        <w:numPr>
          <w:ilvl w:val="0"/>
          <w:numId w:val="134"/>
        </w:numPr>
        <w:rPr>
          <w:rFonts w:ascii="Arial" w:cs="Arial" w:eastAsia="Arial" w:hAnsi="Arial"/>
          <w:sz w:val="19"/>
          <w:szCs w:val="19"/>
          <w:b w:val="1"/>
          <w:bCs w:val="1"/>
          <w:color w:val="auto"/>
        </w:rPr>
      </w:pPr>
      <w:r>
        <w:rPr>
          <w:rFonts w:ascii="Arial" w:cs="Arial" w:eastAsia="Arial" w:hAnsi="Arial"/>
          <w:sz w:val="19"/>
          <w:szCs w:val="19"/>
          <w:b w:val="1"/>
          <w:bCs w:val="1"/>
          <w:color w:val="auto"/>
        </w:rPr>
        <w:t>Fair Value Measurements</w:t>
      </w:r>
    </w:p>
    <w:p>
      <w:pPr>
        <w:spacing w:after="0" w:line="129" w:lineRule="exact"/>
        <w:rPr>
          <w:rFonts w:ascii="Arial" w:cs="Arial" w:eastAsia="Arial" w:hAnsi="Arial"/>
          <w:sz w:val="19"/>
          <w:szCs w:val="19"/>
          <w:b w:val="1"/>
          <w:bCs w:val="1"/>
          <w:color w:val="auto"/>
        </w:rPr>
      </w:pPr>
    </w:p>
    <w:p>
      <w:pPr>
        <w:ind w:left="640" w:right="78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The following tables summarize the Company’s financial assets measured at fair value on a recurring basis by level within the fair value hierarchy:</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80"/>
        </w:trPr>
        <w:tc>
          <w:tcPr>
            <w:tcW w:w="49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90"/>
              </w:rPr>
              <w:t>December 31, 2017</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960" w:type="dxa"/>
            <w:vAlign w:val="bottom"/>
          </w:tcPr>
          <w:p>
            <w:pPr>
              <w:spacing w:after="0"/>
              <w:rPr>
                <w:sz w:val="11"/>
                <w:szCs w:val="11"/>
                <w:color w:val="auto"/>
              </w:rPr>
            </w:pPr>
          </w:p>
        </w:tc>
        <w:tc>
          <w:tcPr>
            <w:tcW w:w="920" w:type="dxa"/>
            <w:vAlign w:val="bottom"/>
          </w:tcPr>
          <w:p>
            <w:pPr>
              <w:jc w:val="center"/>
              <w:ind w:right="199"/>
              <w:spacing w:after="0" w:line="128"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16"/>
              <w:spacing w:after="0" w:line="128"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960" w:type="dxa"/>
            <w:vAlign w:val="bottom"/>
          </w:tcPr>
          <w:p>
            <w:pPr>
              <w:spacing w:after="0"/>
              <w:rPr>
                <w:sz w:val="13"/>
                <w:szCs w:val="13"/>
                <w:color w:val="auto"/>
              </w:rPr>
            </w:pPr>
          </w:p>
        </w:tc>
        <w:tc>
          <w:tcPr>
            <w:tcW w:w="920" w:type="dxa"/>
            <w:vAlign w:val="bottom"/>
          </w:tcPr>
          <w:p>
            <w:pPr>
              <w:jc w:val="center"/>
              <w:ind w:right="179"/>
              <w:spacing w:after="0" w:line="157" w:lineRule="exact"/>
              <w:rPr>
                <w:sz w:val="20"/>
                <w:szCs w:val="20"/>
                <w:color w:val="auto"/>
              </w:rPr>
            </w:pPr>
            <w:r>
              <w:rPr>
                <w:rFonts w:ascii="Arial" w:cs="Arial" w:eastAsia="Arial" w:hAnsi="Arial"/>
                <w:sz w:val="15"/>
                <w:szCs w:val="15"/>
                <w:b w:val="1"/>
                <w:bCs w:val="1"/>
                <w:color w:val="auto"/>
                <w:w w:val="94"/>
              </w:rPr>
              <w:t>Value</w:t>
            </w:r>
          </w:p>
        </w:tc>
        <w:tc>
          <w:tcPr>
            <w:tcW w:w="260" w:type="dxa"/>
            <w:vAlign w:val="bottom"/>
          </w:tcPr>
          <w:p>
            <w:pPr>
              <w:spacing w:after="0"/>
              <w:rPr>
                <w:sz w:val="13"/>
                <w:szCs w:val="13"/>
                <w:color w:val="auto"/>
              </w:rPr>
            </w:pPr>
          </w:p>
        </w:tc>
        <w:tc>
          <w:tcPr>
            <w:tcW w:w="880" w:type="dxa"/>
            <w:vAlign w:val="bottom"/>
            <w:gridSpan w:val="3"/>
          </w:tcPr>
          <w:p>
            <w:pPr>
              <w:ind w:left="20"/>
              <w:spacing w:after="0" w:line="157" w:lineRule="exact"/>
              <w:rPr>
                <w:sz w:val="20"/>
                <w:szCs w:val="20"/>
                <w:color w:val="auto"/>
              </w:rPr>
            </w:pPr>
            <w:r>
              <w:rPr>
                <w:rFonts w:ascii="Arial" w:cs="Arial" w:eastAsia="Arial" w:hAnsi="Arial"/>
                <w:sz w:val="15"/>
                <w:szCs w:val="15"/>
                <w:b w:val="1"/>
                <w:bCs w:val="1"/>
                <w:color w:val="auto"/>
              </w:rPr>
              <w:t>Amortized</w:t>
            </w:r>
          </w:p>
        </w:tc>
        <w:tc>
          <w:tcPr>
            <w:tcW w:w="360" w:type="dxa"/>
            <w:vAlign w:val="bottom"/>
          </w:tcPr>
          <w:p>
            <w:pPr>
              <w:spacing w:after="0"/>
              <w:rPr>
                <w:sz w:val="13"/>
                <w:szCs w:val="13"/>
                <w:color w:val="auto"/>
              </w:rPr>
            </w:pPr>
          </w:p>
        </w:tc>
        <w:tc>
          <w:tcPr>
            <w:tcW w:w="114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rPr>
              <w:t>Unrealized</w:t>
            </w:r>
          </w:p>
        </w:tc>
        <w:tc>
          <w:tcPr>
            <w:tcW w:w="100" w:type="dxa"/>
            <w:vAlign w:val="bottom"/>
          </w:tcPr>
          <w:p>
            <w:pPr>
              <w:spacing w:after="0"/>
              <w:rPr>
                <w:sz w:val="13"/>
                <w:szCs w:val="13"/>
                <w:color w:val="auto"/>
              </w:rPr>
            </w:pPr>
          </w:p>
        </w:tc>
        <w:tc>
          <w:tcPr>
            <w:tcW w:w="128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rPr>
              <w:t>Unrealized</w:t>
            </w:r>
          </w:p>
        </w:tc>
        <w:tc>
          <w:tcPr>
            <w:tcW w:w="100" w:type="dxa"/>
            <w:vAlign w:val="bottom"/>
          </w:tcPr>
          <w:p>
            <w:pPr>
              <w:spacing w:after="0"/>
              <w:rPr>
                <w:sz w:val="13"/>
                <w:szCs w:val="13"/>
                <w:color w:val="auto"/>
              </w:rPr>
            </w:pPr>
          </w:p>
        </w:tc>
        <w:tc>
          <w:tcPr>
            <w:tcW w:w="680" w:type="dxa"/>
            <w:vAlign w:val="bottom"/>
            <w:gridSpan w:val="2"/>
          </w:tcPr>
          <w:p>
            <w:pPr>
              <w:jc w:val="center"/>
              <w:ind w:right="140"/>
              <w:spacing w:after="0" w:line="157" w:lineRule="exact"/>
              <w:rPr>
                <w:sz w:val="20"/>
                <w:szCs w:val="20"/>
                <w:color w:val="auto"/>
              </w:rPr>
            </w:pPr>
            <w:r>
              <w:rPr>
                <w:rFonts w:ascii="Arial" w:cs="Arial" w:eastAsia="Arial" w:hAnsi="Arial"/>
                <w:sz w:val="15"/>
                <w:szCs w:val="15"/>
                <w:b w:val="1"/>
                <w:bCs w:val="1"/>
                <w:color w:val="auto"/>
              </w:rPr>
              <w:t>Market</w:t>
            </w:r>
          </w:p>
        </w:tc>
        <w:tc>
          <w:tcPr>
            <w:tcW w:w="0" w:type="dxa"/>
            <w:vAlign w:val="bottom"/>
          </w:tcPr>
          <w:p>
            <w:pPr>
              <w:spacing w:after="0"/>
              <w:rPr>
                <w:sz w:val="1"/>
                <w:szCs w:val="1"/>
                <w:color w:val="auto"/>
              </w:rPr>
            </w:pPr>
          </w:p>
        </w:tc>
      </w:tr>
      <w:tr>
        <w:trPr>
          <w:trHeight w:val="180"/>
        </w:trPr>
        <w:tc>
          <w:tcPr>
            <w:tcW w:w="4960" w:type="dxa"/>
            <w:vAlign w:val="bottom"/>
          </w:tcPr>
          <w:p>
            <w:pPr>
              <w:spacing w:after="0"/>
              <w:rPr>
                <w:sz w:val="15"/>
                <w:szCs w:val="15"/>
                <w:color w:val="auto"/>
              </w:rPr>
            </w:pPr>
          </w:p>
        </w:tc>
        <w:tc>
          <w:tcPr>
            <w:tcW w:w="920" w:type="dxa"/>
            <w:vAlign w:val="bottom"/>
          </w:tcPr>
          <w:p>
            <w:pPr>
              <w:jc w:val="center"/>
              <w:ind w:right="179"/>
              <w:spacing w:after="0"/>
              <w:rPr>
                <w:sz w:val="20"/>
                <w:szCs w:val="20"/>
                <w:color w:val="auto"/>
              </w:rPr>
            </w:pPr>
            <w:r>
              <w:rPr>
                <w:rFonts w:ascii="Arial" w:cs="Arial" w:eastAsia="Arial" w:hAnsi="Arial"/>
                <w:sz w:val="15"/>
                <w:szCs w:val="15"/>
                <w:b w:val="1"/>
                <w:bCs w:val="1"/>
                <w:color w:val="auto"/>
                <w:w w:val="95"/>
              </w:rPr>
              <w:t>Hierarchy</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Cost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5"/>
                <w:szCs w:val="15"/>
                <w:b w:val="1"/>
                <w:bCs w:val="1"/>
                <w:color w:val="auto"/>
              </w:rPr>
              <w:t>Gains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5"/>
                <w:szCs w:val="15"/>
                <w:b w:val="1"/>
                <w:bCs w:val="1"/>
                <w:color w:val="auto"/>
                <w:w w:val="81"/>
              </w:rPr>
              <w:t>Losses</w:t>
            </w:r>
          </w:p>
        </w:tc>
        <w:tc>
          <w:tcPr>
            <w:tcW w:w="100" w:type="dxa"/>
            <w:vAlign w:val="bottom"/>
          </w:tcPr>
          <w:p>
            <w:pPr>
              <w:spacing w:after="0"/>
              <w:rPr>
                <w:sz w:val="15"/>
                <w:szCs w:val="15"/>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151"/>
        </w:trPr>
        <w:tc>
          <w:tcPr>
            <w:tcW w:w="49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4"/>
          </w:tcPr>
          <w:p>
            <w:pPr>
              <w:jc w:val="center"/>
              <w:spacing w:after="0" w:line="151" w:lineRule="exact"/>
              <w:rPr>
                <w:sz w:val="20"/>
                <w:szCs w:val="20"/>
                <w:color w:val="auto"/>
              </w:rPr>
            </w:pPr>
            <w:r>
              <w:rPr>
                <w:rFonts w:ascii="Arial" w:cs="Arial" w:eastAsia="Arial" w:hAnsi="Arial"/>
                <w:sz w:val="15"/>
                <w:szCs w:val="15"/>
                <w:b w:val="1"/>
                <w:bCs w:val="1"/>
                <w:color w:val="auto"/>
                <w:w w:val="90"/>
              </w:rPr>
              <w:t>(In thousands)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4960" w:type="dxa"/>
            <w:vAlign w:val="bottom"/>
            <w:shd w:val="clear" w:color="auto" w:fill="CCEEFF"/>
          </w:tcPr>
          <w:p>
            <w:pPr>
              <w:spacing w:after="0"/>
              <w:rPr>
                <w:sz w:val="20"/>
                <w:szCs w:val="20"/>
                <w:color w:val="auto"/>
              </w:rPr>
            </w:pPr>
            <w:r>
              <w:rPr>
                <w:rFonts w:ascii="Arial" w:cs="Arial" w:eastAsia="Arial" w:hAnsi="Arial"/>
                <w:sz w:val="19"/>
                <w:szCs w:val="19"/>
                <w:color w:val="auto"/>
              </w:rPr>
              <w:t>Money market funds</w:t>
            </w:r>
          </w:p>
        </w:tc>
        <w:tc>
          <w:tcPr>
            <w:tcW w:w="920" w:type="dxa"/>
            <w:vAlign w:val="bottom"/>
            <w:shd w:val="clear" w:color="auto" w:fill="CCEEFF"/>
          </w:tcPr>
          <w:p>
            <w:pPr>
              <w:ind w:left="80"/>
              <w:spacing w:after="0"/>
              <w:rPr>
                <w:sz w:val="20"/>
                <w:szCs w:val="20"/>
                <w:color w:val="auto"/>
              </w:rPr>
            </w:pPr>
            <w:r>
              <w:rPr>
                <w:rFonts w:ascii="Arial" w:cs="Arial" w:eastAsia="Arial" w:hAnsi="Arial"/>
                <w:sz w:val="19"/>
                <w:szCs w:val="19"/>
                <w:color w:val="auto"/>
              </w:rPr>
              <w:t>Level 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9"/>
                <w:szCs w:val="19"/>
                <w:color w:val="auto"/>
                <w:w w:val="75"/>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27,201</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w w:val="94"/>
              </w:rPr>
              <w:t>$</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9"/>
                <w:szCs w:val="19"/>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9"/>
                <w:szCs w:val="19"/>
                <w:color w:val="auto"/>
                <w:w w:val="94"/>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27,201</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380"/>
              <w:spacing w:after="0"/>
              <w:rPr>
                <w:sz w:val="20"/>
                <w:szCs w:val="20"/>
                <w:color w:val="auto"/>
              </w:rPr>
            </w:pPr>
            <w:r>
              <w:rPr>
                <w:rFonts w:ascii="Arial" w:cs="Arial" w:eastAsia="Arial" w:hAnsi="Arial"/>
                <w:sz w:val="19"/>
                <w:szCs w:val="19"/>
                <w:color w:val="auto"/>
              </w:rPr>
              <w:t>Total cash equivalents and marketable securities</w:t>
            </w: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6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gridSpan w:val="2"/>
          </w:tcPr>
          <w:p>
            <w:pPr>
              <w:ind w:left="260"/>
              <w:spacing w:after="0"/>
              <w:rPr>
                <w:sz w:val="20"/>
                <w:szCs w:val="20"/>
                <w:color w:val="auto"/>
              </w:rPr>
            </w:pPr>
            <w:r>
              <w:rPr>
                <w:rFonts w:ascii="Arial" w:cs="Arial" w:eastAsia="Arial" w:hAnsi="Arial"/>
                <w:sz w:val="19"/>
                <w:szCs w:val="19"/>
                <w:color w:val="auto"/>
                <w:w w:val="75"/>
              </w:rPr>
              <w:t>$</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27,201</w:t>
            </w:r>
          </w:p>
        </w:tc>
        <w:tc>
          <w:tcPr>
            <w:tcW w:w="480" w:type="dxa"/>
            <w:vAlign w:val="bottom"/>
            <w:gridSpan w:val="2"/>
          </w:tcPr>
          <w:p>
            <w:pPr>
              <w:ind w:left="360"/>
              <w:spacing w:after="0"/>
              <w:rPr>
                <w:sz w:val="20"/>
                <w:szCs w:val="20"/>
                <w:color w:val="auto"/>
              </w:rPr>
            </w:pPr>
            <w:r>
              <w:rPr>
                <w:rFonts w:ascii="Arial" w:cs="Arial" w:eastAsia="Arial" w:hAnsi="Arial"/>
                <w:sz w:val="19"/>
                <w:szCs w:val="19"/>
                <w:color w:val="auto"/>
                <w:w w:val="94"/>
              </w:rPr>
              <w:t>$</w:t>
            </w:r>
          </w:p>
        </w:tc>
        <w:tc>
          <w:tcPr>
            <w:tcW w:w="1020" w:type="dxa"/>
            <w:vAlign w:val="bottom"/>
            <w:gridSpan w:val="2"/>
          </w:tcPr>
          <w:p>
            <w:pPr>
              <w:ind w:left="400"/>
              <w:spacing w:after="0"/>
              <w:rPr>
                <w:sz w:val="20"/>
                <w:szCs w:val="20"/>
                <w:color w:val="auto"/>
              </w:rPr>
            </w:pPr>
            <w:r>
              <w:rPr>
                <w:rFonts w:ascii="Arial" w:cs="Arial" w:eastAsia="Arial" w:hAnsi="Arial"/>
                <w:sz w:val="19"/>
                <w:szCs w:val="19"/>
                <w:color w:val="auto"/>
              </w:rPr>
              <w:t>—</w:t>
            </w:r>
          </w:p>
        </w:tc>
        <w:tc>
          <w:tcPr>
            <w:tcW w:w="220" w:type="dxa"/>
            <w:vAlign w:val="bottom"/>
            <w:gridSpan w:val="2"/>
          </w:tcPr>
          <w:p>
            <w:pPr>
              <w:ind w:left="100"/>
              <w:spacing w:after="0"/>
              <w:rPr>
                <w:sz w:val="20"/>
                <w:szCs w:val="20"/>
                <w:color w:val="auto"/>
              </w:rPr>
            </w:pPr>
            <w:r>
              <w:rPr>
                <w:rFonts w:ascii="Arial" w:cs="Arial" w:eastAsia="Arial" w:hAnsi="Arial"/>
                <w:sz w:val="19"/>
                <w:szCs w:val="19"/>
                <w:color w:val="auto"/>
                <w:w w:val="94"/>
              </w:rPr>
              <w:t>$</w:t>
            </w:r>
          </w:p>
        </w:tc>
        <w:tc>
          <w:tcPr>
            <w:tcW w:w="1160" w:type="dxa"/>
            <w:vAlign w:val="bottom"/>
            <w:gridSpan w:val="2"/>
          </w:tcPr>
          <w:p>
            <w:pPr>
              <w:jc w:val="right"/>
              <w:ind w:right="560"/>
              <w:spacing w:after="0"/>
              <w:rPr>
                <w:sz w:val="20"/>
                <w:szCs w:val="20"/>
                <w:color w:val="auto"/>
              </w:rPr>
            </w:pPr>
            <w:r>
              <w:rPr>
                <w:rFonts w:ascii="Arial" w:cs="Arial" w:eastAsia="Arial" w:hAnsi="Arial"/>
                <w:sz w:val="19"/>
                <w:szCs w:val="19"/>
                <w:color w:val="auto"/>
              </w:rPr>
              <w:t>—</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rPr>
              <w:t>27,201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9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89"/>
              </w:rPr>
              <w:t>September 30, 2018</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960" w:type="dxa"/>
            <w:vAlign w:val="bottom"/>
          </w:tcPr>
          <w:p>
            <w:pPr>
              <w:spacing w:after="0"/>
              <w:rPr>
                <w:sz w:val="11"/>
                <w:szCs w:val="11"/>
                <w:color w:val="auto"/>
              </w:rPr>
            </w:pPr>
          </w:p>
        </w:tc>
        <w:tc>
          <w:tcPr>
            <w:tcW w:w="920" w:type="dxa"/>
            <w:vAlign w:val="bottom"/>
          </w:tcPr>
          <w:p>
            <w:pPr>
              <w:jc w:val="center"/>
              <w:ind w:right="199"/>
              <w:spacing w:after="0" w:line="128"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16"/>
              <w:spacing w:after="0" w:line="128"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960" w:type="dxa"/>
            <w:vAlign w:val="bottom"/>
          </w:tcPr>
          <w:p>
            <w:pPr>
              <w:spacing w:after="0"/>
              <w:rPr>
                <w:sz w:val="13"/>
                <w:szCs w:val="13"/>
                <w:color w:val="auto"/>
              </w:rPr>
            </w:pPr>
          </w:p>
        </w:tc>
        <w:tc>
          <w:tcPr>
            <w:tcW w:w="920" w:type="dxa"/>
            <w:vAlign w:val="bottom"/>
          </w:tcPr>
          <w:p>
            <w:pPr>
              <w:jc w:val="center"/>
              <w:ind w:right="179"/>
              <w:spacing w:after="0" w:line="157" w:lineRule="exact"/>
              <w:rPr>
                <w:sz w:val="20"/>
                <w:szCs w:val="20"/>
                <w:color w:val="auto"/>
              </w:rPr>
            </w:pPr>
            <w:r>
              <w:rPr>
                <w:rFonts w:ascii="Arial" w:cs="Arial" w:eastAsia="Arial" w:hAnsi="Arial"/>
                <w:sz w:val="15"/>
                <w:szCs w:val="15"/>
                <w:b w:val="1"/>
                <w:bCs w:val="1"/>
                <w:color w:val="auto"/>
                <w:w w:val="94"/>
              </w:rPr>
              <w:t>Value</w:t>
            </w:r>
          </w:p>
        </w:tc>
        <w:tc>
          <w:tcPr>
            <w:tcW w:w="260" w:type="dxa"/>
            <w:vAlign w:val="bottom"/>
          </w:tcPr>
          <w:p>
            <w:pPr>
              <w:spacing w:after="0"/>
              <w:rPr>
                <w:sz w:val="13"/>
                <w:szCs w:val="13"/>
                <w:color w:val="auto"/>
              </w:rPr>
            </w:pPr>
          </w:p>
        </w:tc>
        <w:tc>
          <w:tcPr>
            <w:tcW w:w="880" w:type="dxa"/>
            <w:vAlign w:val="bottom"/>
            <w:gridSpan w:val="3"/>
          </w:tcPr>
          <w:p>
            <w:pPr>
              <w:ind w:left="20"/>
              <w:spacing w:after="0" w:line="157" w:lineRule="exact"/>
              <w:rPr>
                <w:sz w:val="20"/>
                <w:szCs w:val="20"/>
                <w:color w:val="auto"/>
              </w:rPr>
            </w:pPr>
            <w:r>
              <w:rPr>
                <w:rFonts w:ascii="Arial" w:cs="Arial" w:eastAsia="Arial" w:hAnsi="Arial"/>
                <w:sz w:val="15"/>
                <w:szCs w:val="15"/>
                <w:b w:val="1"/>
                <w:bCs w:val="1"/>
                <w:color w:val="auto"/>
              </w:rPr>
              <w:t>Amortized</w:t>
            </w:r>
          </w:p>
        </w:tc>
        <w:tc>
          <w:tcPr>
            <w:tcW w:w="360" w:type="dxa"/>
            <w:vAlign w:val="bottom"/>
          </w:tcPr>
          <w:p>
            <w:pPr>
              <w:spacing w:after="0"/>
              <w:rPr>
                <w:sz w:val="13"/>
                <w:szCs w:val="13"/>
                <w:color w:val="auto"/>
              </w:rPr>
            </w:pPr>
          </w:p>
        </w:tc>
        <w:tc>
          <w:tcPr>
            <w:tcW w:w="114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rPr>
              <w:t>Unrealized</w:t>
            </w:r>
          </w:p>
        </w:tc>
        <w:tc>
          <w:tcPr>
            <w:tcW w:w="100" w:type="dxa"/>
            <w:vAlign w:val="bottom"/>
          </w:tcPr>
          <w:p>
            <w:pPr>
              <w:spacing w:after="0"/>
              <w:rPr>
                <w:sz w:val="13"/>
                <w:szCs w:val="13"/>
                <w:color w:val="auto"/>
              </w:rPr>
            </w:pPr>
          </w:p>
        </w:tc>
        <w:tc>
          <w:tcPr>
            <w:tcW w:w="128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rPr>
              <w:t>Unrealized</w:t>
            </w:r>
          </w:p>
        </w:tc>
        <w:tc>
          <w:tcPr>
            <w:tcW w:w="100" w:type="dxa"/>
            <w:vAlign w:val="bottom"/>
          </w:tcPr>
          <w:p>
            <w:pPr>
              <w:spacing w:after="0"/>
              <w:rPr>
                <w:sz w:val="13"/>
                <w:szCs w:val="13"/>
                <w:color w:val="auto"/>
              </w:rPr>
            </w:pPr>
          </w:p>
        </w:tc>
        <w:tc>
          <w:tcPr>
            <w:tcW w:w="680" w:type="dxa"/>
            <w:vAlign w:val="bottom"/>
            <w:gridSpan w:val="2"/>
          </w:tcPr>
          <w:p>
            <w:pPr>
              <w:jc w:val="center"/>
              <w:ind w:right="140"/>
              <w:spacing w:after="0" w:line="157" w:lineRule="exact"/>
              <w:rPr>
                <w:sz w:val="20"/>
                <w:szCs w:val="20"/>
                <w:color w:val="auto"/>
              </w:rPr>
            </w:pPr>
            <w:r>
              <w:rPr>
                <w:rFonts w:ascii="Arial" w:cs="Arial" w:eastAsia="Arial" w:hAnsi="Arial"/>
                <w:sz w:val="15"/>
                <w:szCs w:val="15"/>
                <w:b w:val="1"/>
                <w:bCs w:val="1"/>
                <w:color w:val="auto"/>
              </w:rPr>
              <w:t>Market</w:t>
            </w:r>
          </w:p>
        </w:tc>
        <w:tc>
          <w:tcPr>
            <w:tcW w:w="0" w:type="dxa"/>
            <w:vAlign w:val="bottom"/>
          </w:tcPr>
          <w:p>
            <w:pPr>
              <w:spacing w:after="0"/>
              <w:rPr>
                <w:sz w:val="1"/>
                <w:szCs w:val="1"/>
                <w:color w:val="auto"/>
              </w:rPr>
            </w:pPr>
          </w:p>
        </w:tc>
      </w:tr>
      <w:tr>
        <w:trPr>
          <w:trHeight w:val="180"/>
        </w:trPr>
        <w:tc>
          <w:tcPr>
            <w:tcW w:w="4960" w:type="dxa"/>
            <w:vAlign w:val="bottom"/>
          </w:tcPr>
          <w:p>
            <w:pPr>
              <w:spacing w:after="0"/>
              <w:rPr>
                <w:sz w:val="15"/>
                <w:szCs w:val="15"/>
                <w:color w:val="auto"/>
              </w:rPr>
            </w:pPr>
          </w:p>
        </w:tc>
        <w:tc>
          <w:tcPr>
            <w:tcW w:w="920" w:type="dxa"/>
            <w:vAlign w:val="bottom"/>
          </w:tcPr>
          <w:p>
            <w:pPr>
              <w:jc w:val="center"/>
              <w:ind w:right="179"/>
              <w:spacing w:after="0"/>
              <w:rPr>
                <w:sz w:val="20"/>
                <w:szCs w:val="20"/>
                <w:color w:val="auto"/>
              </w:rPr>
            </w:pPr>
            <w:r>
              <w:rPr>
                <w:rFonts w:ascii="Arial" w:cs="Arial" w:eastAsia="Arial" w:hAnsi="Arial"/>
                <w:sz w:val="15"/>
                <w:szCs w:val="15"/>
                <w:b w:val="1"/>
                <w:bCs w:val="1"/>
                <w:color w:val="auto"/>
                <w:w w:val="95"/>
              </w:rPr>
              <w:t>Hierarchy</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Cost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5"/>
                <w:szCs w:val="15"/>
                <w:b w:val="1"/>
                <w:bCs w:val="1"/>
                <w:color w:val="auto"/>
              </w:rPr>
              <w:t>Gains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5"/>
                <w:szCs w:val="15"/>
                <w:b w:val="1"/>
                <w:bCs w:val="1"/>
                <w:color w:val="auto"/>
                <w:w w:val="81"/>
              </w:rPr>
              <w:t>Losses</w:t>
            </w:r>
          </w:p>
        </w:tc>
        <w:tc>
          <w:tcPr>
            <w:tcW w:w="100" w:type="dxa"/>
            <w:vAlign w:val="bottom"/>
          </w:tcPr>
          <w:p>
            <w:pPr>
              <w:spacing w:after="0"/>
              <w:rPr>
                <w:sz w:val="15"/>
                <w:szCs w:val="15"/>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151"/>
        </w:trPr>
        <w:tc>
          <w:tcPr>
            <w:tcW w:w="49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4"/>
          </w:tcPr>
          <w:p>
            <w:pPr>
              <w:jc w:val="center"/>
              <w:spacing w:after="0" w:line="151" w:lineRule="exact"/>
              <w:rPr>
                <w:sz w:val="20"/>
                <w:szCs w:val="20"/>
                <w:color w:val="auto"/>
              </w:rPr>
            </w:pPr>
            <w:r>
              <w:rPr>
                <w:rFonts w:ascii="Arial" w:cs="Arial" w:eastAsia="Arial" w:hAnsi="Arial"/>
                <w:sz w:val="15"/>
                <w:szCs w:val="15"/>
                <w:b w:val="1"/>
                <w:bCs w:val="1"/>
                <w:color w:val="auto"/>
                <w:w w:val="90"/>
              </w:rPr>
              <w:t>(In thousands)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4960" w:type="dxa"/>
            <w:vAlign w:val="bottom"/>
            <w:shd w:val="clear" w:color="auto" w:fill="CCEEFF"/>
          </w:tcPr>
          <w:p>
            <w:pPr>
              <w:spacing w:after="0"/>
              <w:rPr>
                <w:sz w:val="20"/>
                <w:szCs w:val="20"/>
                <w:color w:val="auto"/>
              </w:rPr>
            </w:pPr>
            <w:r>
              <w:rPr>
                <w:rFonts w:ascii="Arial" w:cs="Arial" w:eastAsia="Arial" w:hAnsi="Arial"/>
                <w:sz w:val="19"/>
                <w:szCs w:val="19"/>
                <w:color w:val="auto"/>
              </w:rPr>
              <w:t>Money market funds</w:t>
            </w:r>
          </w:p>
        </w:tc>
        <w:tc>
          <w:tcPr>
            <w:tcW w:w="920" w:type="dxa"/>
            <w:vAlign w:val="bottom"/>
            <w:shd w:val="clear" w:color="auto" w:fill="CCEEFF"/>
          </w:tcPr>
          <w:p>
            <w:pPr>
              <w:ind w:left="80"/>
              <w:spacing w:after="0"/>
              <w:rPr>
                <w:sz w:val="20"/>
                <w:szCs w:val="20"/>
                <w:color w:val="auto"/>
              </w:rPr>
            </w:pPr>
            <w:r>
              <w:rPr>
                <w:rFonts w:ascii="Arial" w:cs="Arial" w:eastAsia="Arial" w:hAnsi="Arial"/>
                <w:sz w:val="19"/>
                <w:szCs w:val="19"/>
                <w:color w:val="auto"/>
              </w:rPr>
              <w:t>Level 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9"/>
                <w:szCs w:val="19"/>
                <w:color w:val="auto"/>
                <w:w w:val="75"/>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41,729</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w w:val="94"/>
              </w:rPr>
              <w:t>$</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9"/>
                <w:szCs w:val="19"/>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9"/>
                <w:szCs w:val="19"/>
                <w:color w:val="auto"/>
                <w:w w:val="94"/>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41,729</w:t>
            </w:r>
          </w:p>
        </w:tc>
        <w:tc>
          <w:tcPr>
            <w:tcW w:w="0" w:type="dxa"/>
            <w:vAlign w:val="bottom"/>
          </w:tcPr>
          <w:p>
            <w:pPr>
              <w:spacing w:after="0"/>
              <w:rPr>
                <w:sz w:val="1"/>
                <w:szCs w:val="1"/>
                <w:color w:val="auto"/>
              </w:rPr>
            </w:pPr>
          </w:p>
        </w:tc>
      </w:tr>
      <w:tr>
        <w:trPr>
          <w:trHeight w:val="228"/>
        </w:trPr>
        <w:tc>
          <w:tcPr>
            <w:tcW w:w="4960" w:type="dxa"/>
            <w:vAlign w:val="bottom"/>
          </w:tcPr>
          <w:p>
            <w:pPr>
              <w:spacing w:after="0"/>
              <w:rPr>
                <w:sz w:val="20"/>
                <w:szCs w:val="20"/>
                <w:color w:val="auto"/>
              </w:rPr>
            </w:pPr>
            <w:r>
              <w:rPr>
                <w:rFonts w:ascii="Arial" w:cs="Arial" w:eastAsia="Arial" w:hAnsi="Arial"/>
                <w:sz w:val="19"/>
                <w:szCs w:val="19"/>
                <w:color w:val="auto"/>
              </w:rPr>
              <w:t>U.S. government treasury securities</w:t>
            </w:r>
          </w:p>
        </w:tc>
        <w:tc>
          <w:tcPr>
            <w:tcW w:w="920" w:type="dxa"/>
            <w:vAlign w:val="bottom"/>
          </w:tcPr>
          <w:p>
            <w:pPr>
              <w:ind w:left="80"/>
              <w:spacing w:after="0"/>
              <w:rPr>
                <w:sz w:val="20"/>
                <w:szCs w:val="20"/>
                <w:color w:val="auto"/>
              </w:rPr>
            </w:pPr>
            <w:r>
              <w:rPr>
                <w:rFonts w:ascii="Arial" w:cs="Arial" w:eastAsia="Arial" w:hAnsi="Arial"/>
                <w:sz w:val="19"/>
                <w:szCs w:val="19"/>
                <w:color w:val="auto"/>
              </w:rPr>
              <w:t>Level 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w w:val="87"/>
              </w:rPr>
              <w:t>266,895</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40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9"/>
                <w:szCs w:val="19"/>
                <w:color w:val="auto"/>
              </w:rPr>
              <w:t>(140)</w:t>
            </w:r>
          </w:p>
        </w:tc>
        <w:tc>
          <w:tcPr>
            <w:tcW w:w="1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w w:val="87"/>
              </w:rPr>
              <w:t>266,755</w:t>
            </w:r>
          </w:p>
        </w:tc>
        <w:tc>
          <w:tcPr>
            <w:tcW w:w="0" w:type="dxa"/>
            <w:vAlign w:val="bottom"/>
          </w:tcPr>
          <w:p>
            <w:pPr>
              <w:spacing w:after="0"/>
              <w:rPr>
                <w:sz w:val="1"/>
                <w:szCs w:val="1"/>
                <w:color w:val="auto"/>
              </w:rPr>
            </w:pPr>
          </w:p>
        </w:tc>
      </w:tr>
      <w:tr>
        <w:trPr>
          <w:trHeight w:val="29"/>
        </w:trPr>
        <w:tc>
          <w:tcPr>
            <w:tcW w:w="4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9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cash equivalents and marketable securities</w:t>
            </w:r>
          </w:p>
        </w:tc>
        <w:tc>
          <w:tcPr>
            <w:tcW w:w="9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308,624</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w w:val="94"/>
              </w:rPr>
              <w:t>$</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9"/>
                <w:szCs w:val="19"/>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9"/>
                <w:szCs w:val="19"/>
                <w:color w:val="auto"/>
                <w:w w:val="94"/>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9"/>
                <w:szCs w:val="19"/>
                <w:color w:val="auto"/>
              </w:rPr>
              <w:t>(140)</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u w:val="single" w:color="auto"/>
                <w:color w:val="auto"/>
                <w:w w:val="75"/>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7"/>
              </w:rPr>
              <w:t>308,484</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right="1080"/>
        <w:spacing w:after="0" w:line="275" w:lineRule="auto"/>
        <w:rPr>
          <w:sz w:val="20"/>
          <w:szCs w:val="20"/>
          <w:color w:val="auto"/>
        </w:rPr>
      </w:pPr>
      <w:r>
        <w:rPr>
          <w:rFonts w:ascii="Arial" w:cs="Arial" w:eastAsia="Arial" w:hAnsi="Arial"/>
          <w:sz w:val="19"/>
          <w:szCs w:val="19"/>
          <w:color w:val="auto"/>
        </w:rPr>
        <w:t>There were no transfers between Levels 1, 2, or 3 for any of the periods presented. The remaining maturities of all investments as of September 30, 2018 were less than one year.</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F-32</w:t>
      </w:r>
    </w:p>
    <w:p>
      <w:pPr>
        <w:sectPr>
          <w:pgSz w:w="12240" w:h="15840" w:orient="portrait"/>
          <w:cols w:equalWidth="0" w:num="1">
            <w:col w:w="11780"/>
          </w:cols>
          <w:pgMar w:left="120" w:top="337" w:right="340" w:bottom="1440" w:gutter="0" w:footer="0" w:header="0"/>
        </w:sectPr>
      </w:pPr>
    </w:p>
    <w:bookmarkStart w:id="223" w:name="page224"/>
    <w:bookmarkEnd w:id="22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Unaudited Interim Condensed Consolidated Financial Statements</w:t>
      </w:r>
    </w:p>
    <w:p>
      <w:pPr>
        <w:spacing w:after="0" w:line="266" w:lineRule="exact"/>
        <w:rPr>
          <w:sz w:val="20"/>
          <w:szCs w:val="20"/>
          <w:color w:val="auto"/>
        </w:rPr>
      </w:pPr>
    </w:p>
    <w:tbl>
      <w:tblPr>
        <w:tblLayout w:type="fixed"/>
        <w:tblInd w:w="180" w:type="dxa"/>
        <w:tblCellMar>
          <w:top w:w="0" w:type="dxa"/>
          <w:left w:w="0" w:type="dxa"/>
          <w:bottom w:w="0" w:type="dxa"/>
          <w:right w:w="0" w:type="dxa"/>
        </w:tblCellMar>
      </w:tblPr>
      <w:tr>
        <w:trPr>
          <w:trHeight w:val="247"/>
        </w:trPr>
        <w:tc>
          <w:tcPr>
            <w:tcW w:w="300" w:type="dxa"/>
            <w:vAlign w:val="bottom"/>
          </w:tcPr>
          <w:p>
            <w:pPr>
              <w:jc w:val="right"/>
              <w:ind w:right="65"/>
              <w:spacing w:after="0"/>
              <w:rPr>
                <w:sz w:val="20"/>
                <w:szCs w:val="20"/>
                <w:color w:val="auto"/>
              </w:rPr>
            </w:pPr>
            <w:r>
              <w:rPr>
                <w:rFonts w:ascii="Arial" w:cs="Arial" w:eastAsia="Arial" w:hAnsi="Arial"/>
                <w:sz w:val="19"/>
                <w:szCs w:val="19"/>
                <w:b w:val="1"/>
                <w:bCs w:val="1"/>
                <w:color w:val="auto"/>
                <w:w w:val="75"/>
              </w:rPr>
              <w:t>4.</w:t>
            </w:r>
          </w:p>
        </w:tc>
        <w:tc>
          <w:tcPr>
            <w:tcW w:w="7060" w:type="dxa"/>
            <w:vAlign w:val="bottom"/>
            <w:gridSpan w:val="2"/>
          </w:tcPr>
          <w:p>
            <w:pPr>
              <w:ind w:left="160"/>
              <w:spacing w:after="0"/>
              <w:rPr>
                <w:sz w:val="20"/>
                <w:szCs w:val="20"/>
                <w:color w:val="auto"/>
              </w:rPr>
            </w:pPr>
            <w:r>
              <w:rPr>
                <w:rFonts w:ascii="Arial" w:cs="Arial" w:eastAsia="Arial" w:hAnsi="Arial"/>
                <w:sz w:val="19"/>
                <w:szCs w:val="19"/>
                <w:b w:val="1"/>
                <w:bCs w:val="1"/>
                <w:color w:val="auto"/>
              </w:rPr>
              <w:t>Balance Sheet Components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2"/>
        </w:trPr>
        <w:tc>
          <w:tcPr>
            <w:tcW w:w="300" w:type="dxa"/>
            <w:vAlign w:val="bottom"/>
          </w:tcPr>
          <w:p>
            <w:pPr>
              <w:spacing w:after="0"/>
              <w:rPr>
                <w:sz w:val="24"/>
                <w:szCs w:val="24"/>
                <w:color w:val="auto"/>
              </w:rPr>
            </w:pPr>
          </w:p>
        </w:tc>
        <w:tc>
          <w:tcPr>
            <w:tcW w:w="7060" w:type="dxa"/>
            <w:vAlign w:val="bottom"/>
            <w:gridSpan w:val="2"/>
          </w:tcPr>
          <w:p>
            <w:pPr>
              <w:ind w:left="160"/>
              <w:spacing w:after="0"/>
              <w:rPr>
                <w:sz w:val="20"/>
                <w:szCs w:val="20"/>
                <w:color w:val="auto"/>
              </w:rPr>
            </w:pPr>
            <w:r>
              <w:rPr>
                <w:rFonts w:ascii="Arial" w:cs="Arial" w:eastAsia="Arial" w:hAnsi="Arial"/>
                <w:sz w:val="19"/>
                <w:szCs w:val="19"/>
                <w:b w:val="1"/>
                <w:bCs w:val="1"/>
                <w:i w:val="1"/>
                <w:iCs w:val="1"/>
                <w:color w:val="auto"/>
              </w:rPr>
              <w:t>Property and Equipment, Net</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00" w:type="dxa"/>
            <w:vAlign w:val="bottom"/>
          </w:tcPr>
          <w:p>
            <w:pPr>
              <w:spacing w:after="0"/>
              <w:rPr>
                <w:sz w:val="24"/>
                <w:szCs w:val="24"/>
                <w:color w:val="auto"/>
              </w:rPr>
            </w:pPr>
          </w:p>
        </w:tc>
        <w:tc>
          <w:tcPr>
            <w:tcW w:w="7060" w:type="dxa"/>
            <w:vAlign w:val="bottom"/>
            <w:gridSpan w:val="2"/>
          </w:tcPr>
          <w:p>
            <w:pPr>
              <w:ind w:left="160"/>
              <w:spacing w:after="0"/>
              <w:rPr>
                <w:sz w:val="20"/>
                <w:szCs w:val="20"/>
                <w:color w:val="auto"/>
              </w:rPr>
            </w:pPr>
            <w:r>
              <w:rPr>
                <w:rFonts w:ascii="Arial" w:cs="Arial" w:eastAsia="Arial" w:hAnsi="Arial"/>
                <w:sz w:val="19"/>
                <w:szCs w:val="19"/>
                <w:color w:val="auto"/>
              </w:rPr>
              <w:t>Property and equipment, net consists of the following:</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5"/>
                <w:szCs w:val="15"/>
                <w:b w:val="1"/>
                <w:bCs w:val="1"/>
                <w:color w:val="auto"/>
              </w:rPr>
              <w:t>December 31,</w:t>
            </w:r>
          </w:p>
        </w:tc>
        <w:tc>
          <w:tcPr>
            <w:tcW w:w="44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5"/>
                <w:szCs w:val="15"/>
                <w:b w:val="1"/>
                <w:bCs w:val="1"/>
                <w:color w:val="auto"/>
                <w:w w:val="99"/>
              </w:rPr>
              <w:t>September 30,</w:t>
            </w: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rPr>
              <w:t>2017</w:t>
            </w:r>
          </w:p>
        </w:tc>
        <w:tc>
          <w:tcPr>
            <w:tcW w:w="5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gridSpan w:val="3"/>
          </w:tcPr>
          <w:p>
            <w:pPr>
              <w:ind w:left="40"/>
              <w:spacing w:after="0" w:line="151" w:lineRule="exact"/>
              <w:rPr>
                <w:sz w:val="20"/>
                <w:szCs w:val="20"/>
                <w:color w:val="auto"/>
              </w:rPr>
            </w:pPr>
            <w:r>
              <w:rPr>
                <w:rFonts w:ascii="Arial" w:cs="Arial" w:eastAsia="Arial" w:hAnsi="Arial"/>
                <w:sz w:val="15"/>
                <w:szCs w:val="15"/>
                <w:b w:val="1"/>
                <w:bCs w:val="1"/>
                <w:color w:val="auto"/>
              </w:rPr>
              <w:t>(In thousands)</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9"/>
                <w:szCs w:val="19"/>
                <w:color w:val="auto"/>
              </w:rPr>
              <w:t>Lab equipment</w:t>
            </w:r>
          </w:p>
        </w:tc>
        <w:tc>
          <w:tcPr>
            <w:tcW w:w="20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3,527</w:t>
            </w:r>
          </w:p>
        </w:tc>
        <w:tc>
          <w:tcPr>
            <w:tcW w:w="5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9"/>
                <w:szCs w:val="19"/>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4,211</w:t>
            </w: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9"/>
                <w:szCs w:val="19"/>
                <w:color w:val="auto"/>
              </w:rPr>
              <w:t>Computer equipment</w:t>
            </w:r>
          </w:p>
        </w:tc>
        <w:tc>
          <w:tcPr>
            <w:tcW w:w="200" w:type="dxa"/>
            <w:vAlign w:val="bottom"/>
          </w:tcPr>
          <w:p>
            <w:pPr>
              <w:spacing w:after="0"/>
              <w:rPr>
                <w:sz w:val="19"/>
                <w:szCs w:val="19"/>
                <w:color w:val="auto"/>
              </w:rPr>
            </w:pPr>
          </w:p>
        </w:tc>
        <w:tc>
          <w:tcPr>
            <w:tcW w:w="1200" w:type="dxa"/>
            <w:vAlign w:val="bottom"/>
            <w:gridSpan w:val="2"/>
          </w:tcPr>
          <w:p>
            <w:pPr>
              <w:jc w:val="right"/>
              <w:ind w:right="444"/>
              <w:spacing w:after="0"/>
              <w:rPr>
                <w:sz w:val="20"/>
                <w:szCs w:val="20"/>
                <w:color w:val="auto"/>
              </w:rPr>
            </w:pPr>
            <w:r>
              <w:rPr>
                <w:rFonts w:ascii="Arial" w:cs="Arial" w:eastAsia="Arial" w:hAnsi="Arial"/>
                <w:sz w:val="19"/>
                <w:szCs w:val="19"/>
                <w:color w:val="auto"/>
              </w:rPr>
              <w:t>157</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9"/>
                <w:szCs w:val="19"/>
                <w:color w:val="auto"/>
              </w:rPr>
              <w:t>299</w:t>
            </w: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9"/>
                <w:szCs w:val="19"/>
                <w:color w:val="auto"/>
              </w:rPr>
              <w:t>Leasehold improvements</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44"/>
              <w:spacing w:after="0"/>
              <w:rPr>
                <w:sz w:val="20"/>
                <w:szCs w:val="20"/>
                <w:color w:val="auto"/>
              </w:rPr>
            </w:pPr>
            <w:r>
              <w:rPr>
                <w:rFonts w:ascii="Arial" w:cs="Arial" w:eastAsia="Arial" w:hAnsi="Arial"/>
                <w:sz w:val="19"/>
                <w:szCs w:val="19"/>
                <w:color w:val="auto"/>
              </w:rPr>
              <w:t>113</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210</w:t>
            </w: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9"/>
                <w:szCs w:val="19"/>
                <w:color w:val="auto"/>
              </w:rPr>
              <w:t>Office equipment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17</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9"/>
                <w:szCs w:val="19"/>
                <w:color w:val="auto"/>
              </w:rPr>
              <w:t>131</w:t>
            </w: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9"/>
                <w:szCs w:val="19"/>
                <w:color w:val="auto"/>
              </w:rPr>
              <w:t>Construction in progress</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44"/>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401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960" w:type="dxa"/>
            <w:vAlign w:val="bottom"/>
            <w:vMerge w:val="restart"/>
          </w:tcPr>
          <w:p>
            <w:pPr>
              <w:ind w:left="380"/>
              <w:spacing w:after="0"/>
              <w:rPr>
                <w:sz w:val="20"/>
                <w:szCs w:val="20"/>
                <w:color w:val="auto"/>
              </w:rPr>
            </w:pPr>
            <w:r>
              <w:rPr>
                <w:rFonts w:ascii="Arial" w:cs="Arial" w:eastAsia="Arial" w:hAnsi="Arial"/>
                <w:sz w:val="19"/>
                <w:szCs w:val="19"/>
                <w:color w:val="auto"/>
              </w:rPr>
              <w:t>Property and equipment, gross</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9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3,814</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9"/>
                <w:szCs w:val="19"/>
                <w:color w:val="auto"/>
              </w:rPr>
              <w:t>5,252</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9"/>
                <w:szCs w:val="19"/>
                <w:color w:val="auto"/>
              </w:rPr>
              <w:t>Less accumulated depreciation and amortization</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84"/>
              <w:spacing w:after="0"/>
              <w:rPr>
                <w:sz w:val="20"/>
                <w:szCs w:val="20"/>
                <w:color w:val="auto"/>
              </w:rPr>
            </w:pPr>
            <w:r>
              <w:rPr>
                <w:rFonts w:ascii="Arial" w:cs="Arial" w:eastAsia="Arial" w:hAnsi="Arial"/>
                <w:sz w:val="19"/>
                <w:szCs w:val="19"/>
                <w:color w:val="auto"/>
              </w:rPr>
              <w:t>(980)</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(1,697)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960" w:type="dxa"/>
            <w:vAlign w:val="bottom"/>
            <w:vMerge w:val="restart"/>
          </w:tcPr>
          <w:p>
            <w:pPr>
              <w:ind w:left="380"/>
              <w:spacing w:after="0"/>
              <w:rPr>
                <w:sz w:val="20"/>
                <w:szCs w:val="20"/>
                <w:color w:val="auto"/>
              </w:rPr>
            </w:pPr>
            <w:r>
              <w:rPr>
                <w:rFonts w:ascii="Arial" w:cs="Arial" w:eastAsia="Arial" w:hAnsi="Arial"/>
                <w:sz w:val="19"/>
                <w:szCs w:val="19"/>
                <w:color w:val="auto"/>
              </w:rPr>
              <w:t>Total property and equipment, net</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9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2,834</w:t>
            </w:r>
          </w:p>
        </w:tc>
        <w:tc>
          <w:tcPr>
            <w:tcW w:w="520" w:type="dxa"/>
            <w:vAlign w:val="bottom"/>
          </w:tcPr>
          <w:p>
            <w:pPr>
              <w:spacing w:after="0"/>
              <w:rPr>
                <w:sz w:val="20"/>
                <w:szCs w:val="20"/>
                <w:color w:val="auto"/>
              </w:rPr>
            </w:pPr>
          </w:p>
        </w:tc>
        <w:tc>
          <w:tcPr>
            <w:tcW w:w="640" w:type="dxa"/>
            <w:vAlign w:val="bottom"/>
            <w:gridSpan w:val="2"/>
          </w:tcPr>
          <w:p>
            <w:pPr>
              <w:ind w:left="440"/>
              <w:spacing w:after="0"/>
              <w:rPr>
                <w:sz w:val="20"/>
                <w:szCs w:val="20"/>
                <w:color w:val="auto"/>
              </w:rPr>
            </w:pPr>
            <w:r>
              <w:rPr>
                <w:rFonts w:ascii="Arial" w:cs="Arial" w:eastAsia="Arial" w:hAnsi="Arial"/>
                <w:sz w:val="19"/>
                <w:szCs w:val="19"/>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9"/>
                <w:szCs w:val="19"/>
                <w:color w:val="auto"/>
              </w:rPr>
              <w:t>3,555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Accrued Liabilities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Accrued liabilities consist of the following:</w:t>
      </w:r>
    </w:p>
    <w:p>
      <w:pPr>
        <w:spacing w:after="0" w:line="242" w:lineRule="exact"/>
        <w:rPr>
          <w:sz w:val="20"/>
          <w:szCs w:val="20"/>
          <w:color w:val="auto"/>
        </w:rPr>
      </w:pPr>
    </w:p>
    <w:tbl>
      <w:tblPr>
        <w:tblLayout w:type="fixed"/>
        <w:tblInd w:w="1580" w:type="dxa"/>
        <w:tblCellMar>
          <w:top w:w="0" w:type="dxa"/>
          <w:left w:w="0" w:type="dxa"/>
          <w:bottom w:w="0" w:type="dxa"/>
          <w:right w:w="0" w:type="dxa"/>
        </w:tblCellMar>
      </w:tblPr>
      <w:tr>
        <w:trPr>
          <w:trHeight w:val="172"/>
        </w:trPr>
        <w:tc>
          <w:tcPr>
            <w:tcW w:w="598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5"/>
                <w:szCs w:val="15"/>
                <w:b w:val="1"/>
                <w:bCs w:val="1"/>
                <w:color w:val="auto"/>
                <w:w w:val="88"/>
              </w:rPr>
              <w:t>December 31,</w:t>
            </w:r>
          </w:p>
        </w:tc>
        <w:tc>
          <w:tcPr>
            <w:tcW w:w="100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5"/>
                <w:szCs w:val="15"/>
                <w:b w:val="1"/>
                <w:bCs w:val="1"/>
                <w:color w:val="auto"/>
                <w:w w:val="93"/>
              </w:rPr>
              <w:t>September 30,</w:t>
            </w:r>
          </w:p>
        </w:tc>
        <w:tc>
          <w:tcPr>
            <w:tcW w:w="0" w:type="dxa"/>
            <w:vAlign w:val="bottom"/>
          </w:tcPr>
          <w:p>
            <w:pPr>
              <w:spacing w:after="0"/>
              <w:rPr>
                <w:sz w:val="1"/>
                <w:szCs w:val="1"/>
                <w:color w:val="auto"/>
              </w:rPr>
            </w:pPr>
          </w:p>
        </w:tc>
      </w:tr>
      <w:tr>
        <w:trPr>
          <w:trHeight w:val="180"/>
        </w:trPr>
        <w:tc>
          <w:tcPr>
            <w:tcW w:w="5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5"/>
                <w:szCs w:val="15"/>
                <w:b w:val="1"/>
                <w:bCs w:val="1"/>
                <w:color w:val="auto"/>
              </w:rPr>
              <w:t>2017</w:t>
            </w:r>
          </w:p>
        </w:tc>
        <w:tc>
          <w:tcPr>
            <w:tcW w:w="10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5"/>
                <w:szCs w:val="15"/>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5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gridSpan w:val="2"/>
          </w:tcPr>
          <w:p>
            <w:pPr>
              <w:ind w:left="40"/>
              <w:spacing w:after="0" w:line="151" w:lineRule="exact"/>
              <w:rPr>
                <w:sz w:val="20"/>
                <w:szCs w:val="20"/>
                <w:color w:val="auto"/>
              </w:rPr>
            </w:pPr>
            <w:r>
              <w:rPr>
                <w:rFonts w:ascii="Arial" w:cs="Arial" w:eastAsia="Arial" w:hAnsi="Arial"/>
                <w:sz w:val="15"/>
                <w:szCs w:val="15"/>
                <w:b w:val="1"/>
                <w:bCs w:val="1"/>
                <w:color w:val="auto"/>
              </w:rPr>
              <w:t>(In thousands)</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5980" w:type="dxa"/>
            <w:vAlign w:val="bottom"/>
            <w:shd w:val="clear" w:color="auto" w:fill="CCEEFF"/>
          </w:tcPr>
          <w:p>
            <w:pPr>
              <w:spacing w:after="0"/>
              <w:rPr>
                <w:sz w:val="20"/>
                <w:szCs w:val="20"/>
                <w:color w:val="auto"/>
              </w:rPr>
            </w:pPr>
            <w:r>
              <w:rPr>
                <w:rFonts w:ascii="Arial" w:cs="Arial" w:eastAsia="Arial" w:hAnsi="Arial"/>
                <w:sz w:val="19"/>
                <w:szCs w:val="19"/>
                <w:color w:val="auto"/>
              </w:rPr>
              <w:t>Accrued research and development costs</w:t>
            </w:r>
          </w:p>
        </w:tc>
        <w:tc>
          <w:tcPr>
            <w:tcW w:w="18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1,471</w:t>
            </w:r>
          </w:p>
        </w:tc>
        <w:tc>
          <w:tcPr>
            <w:tcW w:w="1200" w:type="dxa"/>
            <w:vAlign w:val="bottom"/>
            <w:gridSpan w:val="2"/>
            <w:shd w:val="clear" w:color="auto" w:fill="CCEEFF"/>
          </w:tcPr>
          <w:p>
            <w:pPr>
              <w:ind w:left="1000"/>
              <w:spacing w:after="0"/>
              <w:rPr>
                <w:sz w:val="20"/>
                <w:szCs w:val="20"/>
                <w:color w:val="auto"/>
              </w:rPr>
            </w:pPr>
            <w:r>
              <w:rPr>
                <w:rFonts w:ascii="Arial" w:cs="Arial" w:eastAsia="Arial" w:hAnsi="Arial"/>
                <w:sz w:val="19"/>
                <w:szCs w:val="19"/>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2,141</w:t>
            </w:r>
          </w:p>
        </w:tc>
        <w:tc>
          <w:tcPr>
            <w:tcW w:w="0" w:type="dxa"/>
            <w:vAlign w:val="bottom"/>
          </w:tcPr>
          <w:p>
            <w:pPr>
              <w:spacing w:after="0"/>
              <w:rPr>
                <w:sz w:val="1"/>
                <w:szCs w:val="1"/>
                <w:color w:val="auto"/>
              </w:rPr>
            </w:pPr>
          </w:p>
        </w:tc>
      </w:tr>
      <w:tr>
        <w:trPr>
          <w:trHeight w:val="228"/>
        </w:trPr>
        <w:tc>
          <w:tcPr>
            <w:tcW w:w="5980" w:type="dxa"/>
            <w:vAlign w:val="bottom"/>
          </w:tcPr>
          <w:p>
            <w:pPr>
              <w:spacing w:after="0"/>
              <w:rPr>
                <w:sz w:val="20"/>
                <w:szCs w:val="20"/>
                <w:color w:val="auto"/>
              </w:rPr>
            </w:pPr>
            <w:r>
              <w:rPr>
                <w:rFonts w:ascii="Arial" w:cs="Arial" w:eastAsia="Arial" w:hAnsi="Arial"/>
                <w:sz w:val="19"/>
                <w:szCs w:val="19"/>
                <w:color w:val="auto"/>
              </w:rPr>
              <w:t>Accrued employee compensation</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1,294</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9"/>
                <w:szCs w:val="19"/>
                <w:color w:val="auto"/>
              </w:rPr>
              <w:t>1,508</w:t>
            </w:r>
          </w:p>
        </w:tc>
        <w:tc>
          <w:tcPr>
            <w:tcW w:w="0" w:type="dxa"/>
            <w:vAlign w:val="bottom"/>
          </w:tcPr>
          <w:p>
            <w:pPr>
              <w:spacing w:after="0"/>
              <w:rPr>
                <w:sz w:val="1"/>
                <w:szCs w:val="1"/>
                <w:color w:val="auto"/>
              </w:rPr>
            </w:pPr>
          </w:p>
        </w:tc>
      </w:tr>
      <w:tr>
        <w:trPr>
          <w:trHeight w:val="228"/>
        </w:trPr>
        <w:tc>
          <w:tcPr>
            <w:tcW w:w="5980" w:type="dxa"/>
            <w:vAlign w:val="bottom"/>
            <w:shd w:val="clear" w:color="auto" w:fill="CCEEFF"/>
          </w:tcPr>
          <w:p>
            <w:pPr>
              <w:spacing w:after="0"/>
              <w:rPr>
                <w:sz w:val="20"/>
                <w:szCs w:val="20"/>
                <w:color w:val="auto"/>
              </w:rPr>
            </w:pPr>
            <w:r>
              <w:rPr>
                <w:rFonts w:ascii="Arial" w:cs="Arial" w:eastAsia="Arial" w:hAnsi="Arial"/>
                <w:sz w:val="19"/>
                <w:szCs w:val="19"/>
                <w:color w:val="auto"/>
              </w:rPr>
              <w:t>Accrued professional services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387</w:t>
            </w: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1,109</w:t>
            </w:r>
          </w:p>
        </w:tc>
        <w:tc>
          <w:tcPr>
            <w:tcW w:w="0" w:type="dxa"/>
            <w:vAlign w:val="bottom"/>
          </w:tcPr>
          <w:p>
            <w:pPr>
              <w:spacing w:after="0"/>
              <w:rPr>
                <w:sz w:val="1"/>
                <w:szCs w:val="1"/>
                <w:color w:val="auto"/>
              </w:rPr>
            </w:pPr>
          </w:p>
        </w:tc>
      </w:tr>
      <w:tr>
        <w:trPr>
          <w:trHeight w:val="228"/>
        </w:trPr>
        <w:tc>
          <w:tcPr>
            <w:tcW w:w="5980" w:type="dxa"/>
            <w:vAlign w:val="bottom"/>
          </w:tcPr>
          <w:p>
            <w:pPr>
              <w:spacing w:after="0"/>
              <w:rPr>
                <w:sz w:val="20"/>
                <w:szCs w:val="20"/>
                <w:color w:val="auto"/>
              </w:rPr>
            </w:pPr>
            <w:r>
              <w:rPr>
                <w:rFonts w:ascii="Arial" w:cs="Arial" w:eastAsia="Arial" w:hAnsi="Arial"/>
                <w:sz w:val="19"/>
                <w:szCs w:val="19"/>
                <w:color w:val="auto"/>
              </w:rPr>
              <w:t>Accrued property and equipment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201</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9"/>
                <w:szCs w:val="19"/>
                <w:color w:val="auto"/>
              </w:rPr>
              <w:t>30</w:t>
            </w:r>
          </w:p>
        </w:tc>
        <w:tc>
          <w:tcPr>
            <w:tcW w:w="0" w:type="dxa"/>
            <w:vAlign w:val="bottom"/>
          </w:tcPr>
          <w:p>
            <w:pPr>
              <w:spacing w:after="0"/>
              <w:rPr>
                <w:sz w:val="1"/>
                <w:szCs w:val="1"/>
                <w:color w:val="auto"/>
              </w:rPr>
            </w:pPr>
          </w:p>
        </w:tc>
      </w:tr>
      <w:tr>
        <w:trPr>
          <w:trHeight w:val="228"/>
        </w:trPr>
        <w:tc>
          <w:tcPr>
            <w:tcW w:w="5980" w:type="dxa"/>
            <w:vAlign w:val="bottom"/>
            <w:shd w:val="clear" w:color="auto" w:fill="CCEEFF"/>
          </w:tcPr>
          <w:p>
            <w:pPr>
              <w:spacing w:after="0"/>
              <w:rPr>
                <w:sz w:val="20"/>
                <w:szCs w:val="20"/>
                <w:color w:val="auto"/>
              </w:rPr>
            </w:pPr>
            <w:r>
              <w:rPr>
                <w:rFonts w:ascii="Arial" w:cs="Arial" w:eastAsia="Arial" w:hAnsi="Arial"/>
                <w:sz w:val="19"/>
                <w:szCs w:val="19"/>
                <w:color w:val="auto"/>
              </w:rPr>
              <w:t>Other</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102</w:t>
            </w: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70</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380"/>
              <w:spacing w:after="0"/>
              <w:rPr>
                <w:sz w:val="20"/>
                <w:szCs w:val="20"/>
                <w:color w:val="auto"/>
              </w:rPr>
            </w:pPr>
            <w:r>
              <w:rPr>
                <w:rFonts w:ascii="Arial" w:cs="Arial" w:eastAsia="Arial" w:hAnsi="Arial"/>
                <w:sz w:val="19"/>
                <w:szCs w:val="19"/>
                <w:color w:val="auto"/>
              </w:rPr>
              <w:t>Total accrued liabilities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3,455</w:t>
            </w:r>
          </w:p>
        </w:tc>
        <w:tc>
          <w:tcPr>
            <w:tcW w:w="1200" w:type="dxa"/>
            <w:vAlign w:val="bottom"/>
            <w:gridSpan w:val="2"/>
          </w:tcPr>
          <w:p>
            <w:pPr>
              <w:ind w:left="1000"/>
              <w:spacing w:after="0"/>
              <w:rPr>
                <w:sz w:val="20"/>
                <w:szCs w:val="20"/>
                <w:color w:val="auto"/>
              </w:rPr>
            </w:pPr>
            <w:r>
              <w:rPr>
                <w:rFonts w:ascii="Arial" w:cs="Arial" w:eastAsia="Arial" w:hAnsi="Arial"/>
                <w:sz w:val="19"/>
                <w:szCs w:val="19"/>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9"/>
                <w:szCs w:val="19"/>
                <w:color w:val="auto"/>
              </w:rPr>
              <w:t>4,858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ind w:left="640" w:right="8480" w:hanging="461"/>
        <w:spacing w:after="0" w:line="423" w:lineRule="auto"/>
        <w:tabs>
          <w:tab w:leader="none" w:pos="631"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Operating Lease</w:t>
      </w:r>
    </w:p>
    <w:p>
      <w:pPr>
        <w:spacing w:after="0" w:line="1" w:lineRule="exact"/>
        <w:rPr>
          <w:rFonts w:ascii="Arial" w:cs="Arial" w:eastAsia="Arial" w:hAnsi="Arial"/>
          <w:sz w:val="17"/>
          <w:szCs w:val="17"/>
          <w:b w:val="1"/>
          <w:bCs w:val="1"/>
          <w:color w:val="auto"/>
        </w:rPr>
      </w:pPr>
    </w:p>
    <w:p>
      <w:pPr>
        <w:ind w:left="640"/>
        <w:spacing w:after="0" w:line="270" w:lineRule="auto"/>
        <w:rPr>
          <w:rFonts w:ascii="Arial" w:cs="Arial" w:eastAsia="Arial" w:hAnsi="Arial"/>
          <w:sz w:val="17"/>
          <w:szCs w:val="17"/>
          <w:b w:val="1"/>
          <w:bCs w:val="1"/>
          <w:color w:val="auto"/>
        </w:rPr>
      </w:pPr>
      <w:r>
        <w:rPr>
          <w:rFonts w:ascii="Arial" w:cs="Arial" w:eastAsia="Arial" w:hAnsi="Arial"/>
          <w:sz w:val="18"/>
          <w:szCs w:val="18"/>
          <w:color w:val="auto"/>
        </w:rPr>
        <w:t>The Company leases its headquarters with its main offices and laboratory facilities in South San Francisco under a sublease agreement that ends in April 2019. The Company also has laboratory facilities in Milpitas under an agreement that ends in January 2022. In June 2018, the Company signed a lease agreement to lease approximately 105,000 square feet in new office and laboratory space in South San Francisco that will be the new headquarters when the current lease ends in April 2019. In connection with the lease, the Company entered into a letter of credit arrangement in the amount of $1.5 million as collateral for the lease, which is classified as restricted cash on the condensed consolidated balance sheets. The lease is over a ten-year term with an option to renew for a period of ten years. Rent increases, including the impact of a rent holiday, will be recognized as deferred rent in the accompanying condensed consolidated balance sheets. Rent expense is recognized on a straight-line basis over the term of the original lease.</w:t>
      </w:r>
    </w:p>
    <w:p>
      <w:pPr>
        <w:spacing w:after="0" w:line="76" w:lineRule="exact"/>
        <w:rPr>
          <w:rFonts w:ascii="Arial" w:cs="Arial" w:eastAsia="Arial" w:hAnsi="Arial"/>
          <w:sz w:val="17"/>
          <w:szCs w:val="17"/>
          <w:b w:val="1"/>
          <w:bCs w:val="1"/>
          <w:color w:val="auto"/>
        </w:rPr>
      </w:pPr>
    </w:p>
    <w:p>
      <w:pPr>
        <w:ind w:left="640" w:right="60"/>
        <w:spacing w:after="0" w:line="259" w:lineRule="auto"/>
        <w:rPr>
          <w:rFonts w:ascii="Arial" w:cs="Arial" w:eastAsia="Arial" w:hAnsi="Arial"/>
          <w:sz w:val="17"/>
          <w:szCs w:val="17"/>
          <w:b w:val="1"/>
          <w:bCs w:val="1"/>
          <w:color w:val="auto"/>
        </w:rPr>
      </w:pPr>
      <w:r>
        <w:rPr>
          <w:rFonts w:ascii="Arial" w:cs="Arial" w:eastAsia="Arial" w:hAnsi="Arial"/>
          <w:sz w:val="19"/>
          <w:szCs w:val="19"/>
          <w:color w:val="auto"/>
        </w:rPr>
        <w:t>The new lease agreement also provides up to $15.7 million in tenant improvement allowance to assist with costs for leasehold improvements. The tenant improvement allowance will be recorded as leasehold improvements and deferred rent on the condensed consolidated balance sheets. The Company will amortize the deferred rent on a straight-line basis as a reduction of rent expense over the term of the lease and the leasehold improvements ratably over the period of expected use.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F-33</w:t>
      </w:r>
    </w:p>
    <w:p>
      <w:pPr>
        <w:sectPr>
          <w:pgSz w:w="12240" w:h="15840" w:orient="portrait"/>
          <w:cols w:equalWidth="0" w:num="1">
            <w:col w:w="11800"/>
          </w:cols>
          <w:pgMar w:left="120" w:top="336" w:right="320" w:bottom="1440" w:gutter="0" w:footer="0" w:header="0"/>
        </w:sectPr>
      </w:pPr>
    </w:p>
    <w:bookmarkStart w:id="224" w:name="page225"/>
    <w:bookmarkEnd w:id="22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45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ind w:left="2980"/>
        <w:spacing w:after="0"/>
        <w:rPr>
          <w:sz w:val="20"/>
          <w:szCs w:val="20"/>
          <w:color w:val="auto"/>
        </w:rPr>
      </w:pPr>
      <w:r>
        <w:rPr>
          <w:rFonts w:ascii="Arial" w:cs="Arial" w:eastAsia="Arial" w:hAnsi="Arial"/>
          <w:sz w:val="19"/>
          <w:szCs w:val="19"/>
          <w:b w:val="1"/>
          <w:bCs w:val="1"/>
          <w:color w:val="auto"/>
        </w:rPr>
        <w:t>Notes to Unaudited Interim Condensed Consolidated Financial Statements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are minimum future rental payments owed under the Company’s operating leases as of September 30, 2018:</w:t>
      </w:r>
    </w:p>
    <w:p>
      <w:pPr>
        <w:spacing w:after="0" w:line="258" w:lineRule="exact"/>
        <w:rPr>
          <w:sz w:val="20"/>
          <w:szCs w:val="20"/>
          <w:color w:val="auto"/>
        </w:rPr>
      </w:pPr>
    </w:p>
    <w:tbl>
      <w:tblPr>
        <w:tblLayout w:type="fixed"/>
        <w:tblInd w:w="2040" w:type="dxa"/>
        <w:tblCellMar>
          <w:top w:w="0" w:type="dxa"/>
          <w:left w:w="0" w:type="dxa"/>
          <w:bottom w:w="0" w:type="dxa"/>
          <w:right w:w="0" w:type="dxa"/>
        </w:tblCellMar>
      </w:tblPr>
      <w:tr>
        <w:trPr>
          <w:trHeight w:val="180"/>
        </w:trPr>
        <w:tc>
          <w:tcPr>
            <w:tcW w:w="690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Arial" w:cs="Arial" w:eastAsia="Arial" w:hAnsi="Arial"/>
                <w:sz w:val="15"/>
                <w:szCs w:val="15"/>
                <w:b w:val="1"/>
                <w:bCs w:val="1"/>
                <w:color w:val="auto"/>
                <w:w w:val="94"/>
              </w:rPr>
              <w:t>(In thousands)</w:t>
            </w:r>
          </w:p>
        </w:tc>
      </w:tr>
      <w:tr>
        <w:trPr>
          <w:trHeight w:val="222"/>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2018 (remaining three months)</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282</w:t>
            </w:r>
          </w:p>
        </w:tc>
        <w:tc>
          <w:tcPr>
            <w:tcW w:w="40" w:type="dxa"/>
            <w:vAlign w:val="bottom"/>
            <w:tcBorders>
              <w:top w:val="single" w:sz="8" w:color="CCEEFF"/>
            </w:tcBorders>
            <w:shd w:val="clear" w:color="auto" w:fill="CCEEFF"/>
          </w:tcPr>
          <w:p>
            <w:pPr>
              <w:spacing w:after="0"/>
              <w:rPr>
                <w:sz w:val="19"/>
                <w:szCs w:val="19"/>
                <w:color w:val="auto"/>
              </w:rPr>
            </w:pPr>
          </w:p>
        </w:tc>
      </w:tr>
      <w:tr>
        <w:trPr>
          <w:trHeight w:val="228"/>
        </w:trPr>
        <w:tc>
          <w:tcPr>
            <w:tcW w:w="6900" w:type="dxa"/>
            <w:vAlign w:val="bottom"/>
          </w:tcPr>
          <w:p>
            <w:pPr>
              <w:spacing w:after="0"/>
              <w:rPr>
                <w:sz w:val="20"/>
                <w:szCs w:val="20"/>
                <w:color w:val="auto"/>
              </w:rPr>
            </w:pPr>
            <w:r>
              <w:rPr>
                <w:rFonts w:ascii="Arial" w:cs="Arial" w:eastAsia="Arial" w:hAnsi="Arial"/>
                <w:sz w:val="19"/>
                <w:szCs w:val="19"/>
                <w:color w:val="auto"/>
              </w:rPr>
              <w:t>2019</w:t>
            </w:r>
          </w:p>
        </w:tc>
        <w:tc>
          <w:tcPr>
            <w:tcW w:w="2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9"/>
                <w:szCs w:val="19"/>
                <w:color w:val="auto"/>
              </w:rPr>
              <w:t>3,231</w:t>
            </w:r>
          </w:p>
        </w:tc>
      </w:tr>
      <w:tr>
        <w:trPr>
          <w:trHeight w:val="228"/>
        </w:trPr>
        <w:tc>
          <w:tcPr>
            <w:tcW w:w="6900" w:type="dxa"/>
            <w:vAlign w:val="bottom"/>
            <w:shd w:val="clear" w:color="auto" w:fill="CCEEFF"/>
          </w:tcPr>
          <w:p>
            <w:pPr>
              <w:spacing w:after="0"/>
              <w:rPr>
                <w:sz w:val="20"/>
                <w:szCs w:val="20"/>
                <w:color w:val="auto"/>
              </w:rPr>
            </w:pPr>
            <w:r>
              <w:rPr>
                <w:rFonts w:ascii="Arial" w:cs="Arial" w:eastAsia="Arial" w:hAnsi="Arial"/>
                <w:sz w:val="19"/>
                <w:szCs w:val="19"/>
                <w:color w:val="auto"/>
              </w:rPr>
              <w:t>2020</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6,882</w:t>
            </w:r>
          </w:p>
        </w:tc>
      </w:tr>
      <w:tr>
        <w:trPr>
          <w:trHeight w:val="228"/>
        </w:trPr>
        <w:tc>
          <w:tcPr>
            <w:tcW w:w="6900" w:type="dxa"/>
            <w:vAlign w:val="bottom"/>
          </w:tcPr>
          <w:p>
            <w:pPr>
              <w:spacing w:after="0"/>
              <w:rPr>
                <w:sz w:val="20"/>
                <w:szCs w:val="20"/>
                <w:color w:val="auto"/>
              </w:rPr>
            </w:pPr>
            <w:r>
              <w:rPr>
                <w:rFonts w:ascii="Arial" w:cs="Arial" w:eastAsia="Arial" w:hAnsi="Arial"/>
                <w:sz w:val="19"/>
                <w:szCs w:val="19"/>
                <w:color w:val="auto"/>
              </w:rPr>
              <w:t>2021</w:t>
            </w:r>
          </w:p>
        </w:tc>
        <w:tc>
          <w:tcPr>
            <w:tcW w:w="2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9"/>
                <w:szCs w:val="19"/>
                <w:color w:val="auto"/>
              </w:rPr>
              <w:t>7,122</w:t>
            </w:r>
          </w:p>
        </w:tc>
      </w:tr>
      <w:tr>
        <w:trPr>
          <w:trHeight w:val="228"/>
        </w:trPr>
        <w:tc>
          <w:tcPr>
            <w:tcW w:w="6900" w:type="dxa"/>
            <w:vAlign w:val="bottom"/>
            <w:shd w:val="clear" w:color="auto" w:fill="CCEEFF"/>
          </w:tcPr>
          <w:p>
            <w:pPr>
              <w:spacing w:after="0"/>
              <w:rPr>
                <w:sz w:val="20"/>
                <w:szCs w:val="20"/>
                <w:color w:val="auto"/>
              </w:rPr>
            </w:pPr>
            <w:r>
              <w:rPr>
                <w:rFonts w:ascii="Arial" w:cs="Arial" w:eastAsia="Arial" w:hAnsi="Arial"/>
                <w:sz w:val="19"/>
                <w:szCs w:val="19"/>
                <w:color w:val="auto"/>
              </w:rPr>
              <w:t>2022</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7,146</w:t>
            </w:r>
          </w:p>
        </w:tc>
      </w:tr>
      <w:tr>
        <w:trPr>
          <w:trHeight w:val="237"/>
        </w:trPr>
        <w:tc>
          <w:tcPr>
            <w:tcW w:w="6900" w:type="dxa"/>
            <w:vAlign w:val="bottom"/>
          </w:tcPr>
          <w:p>
            <w:pPr>
              <w:spacing w:after="0"/>
              <w:rPr>
                <w:sz w:val="20"/>
                <w:szCs w:val="20"/>
                <w:color w:val="auto"/>
              </w:rPr>
            </w:pPr>
            <w:r>
              <w:rPr>
                <w:rFonts w:ascii="Arial" w:cs="Arial" w:eastAsia="Arial" w:hAnsi="Arial"/>
                <w:sz w:val="19"/>
                <w:szCs w:val="19"/>
                <w:color w:val="auto"/>
              </w:rPr>
              <w:t>2023 and thereafter</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50,522</w:t>
            </w:r>
          </w:p>
        </w:tc>
        <w:tc>
          <w:tcPr>
            <w:tcW w:w="40" w:type="dxa"/>
            <w:vAlign w:val="bottom"/>
          </w:tcPr>
          <w:p>
            <w:pPr>
              <w:spacing w:after="0"/>
              <w:rPr>
                <w:sz w:val="20"/>
                <w:szCs w:val="20"/>
                <w:color w:val="auto"/>
              </w:rPr>
            </w:pPr>
          </w:p>
        </w:tc>
      </w:tr>
      <w:tr>
        <w:trPr>
          <w:trHeight w:val="228"/>
        </w:trPr>
        <w:tc>
          <w:tcPr>
            <w:tcW w:w="69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w:t>
            </w:r>
          </w:p>
        </w:tc>
        <w:tc>
          <w:tcPr>
            <w:tcW w:w="26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75,185</w:t>
            </w:r>
          </w:p>
        </w:tc>
      </w:tr>
      <w:tr>
        <w:trPr>
          <w:trHeight w:val="20"/>
        </w:trPr>
        <w:tc>
          <w:tcPr>
            <w:tcW w:w="6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Rent expense for the nine months ended September 30, 2017 and 2018, was $0.8 million and $0.8 million, respectively.</w:t>
      </w:r>
    </w:p>
    <w:p>
      <w:pPr>
        <w:spacing w:after="0" w:line="389" w:lineRule="exact"/>
        <w:rPr>
          <w:sz w:val="20"/>
          <w:szCs w:val="20"/>
          <w:color w:val="auto"/>
        </w:rPr>
      </w:pPr>
    </w:p>
    <w:p>
      <w:pPr>
        <w:ind w:left="640" w:hanging="461"/>
        <w:spacing w:after="0"/>
        <w:tabs>
          <w:tab w:leader="none" w:pos="640" w:val="left"/>
        </w:tabs>
        <w:numPr>
          <w:ilvl w:val="0"/>
          <w:numId w:val="136"/>
        </w:numPr>
        <w:rPr>
          <w:rFonts w:ascii="Arial" w:cs="Arial" w:eastAsia="Arial" w:hAnsi="Arial"/>
          <w:sz w:val="19"/>
          <w:szCs w:val="19"/>
          <w:b w:val="1"/>
          <w:bCs w:val="1"/>
          <w:color w:val="auto"/>
        </w:rPr>
      </w:pPr>
      <w:r>
        <w:rPr>
          <w:rFonts w:ascii="Arial" w:cs="Arial" w:eastAsia="Arial" w:hAnsi="Arial"/>
          <w:sz w:val="19"/>
          <w:szCs w:val="19"/>
          <w:b w:val="1"/>
          <w:bCs w:val="1"/>
          <w:color w:val="auto"/>
        </w:rPr>
        <w:t>Convertible Preferred Stock</w:t>
      </w:r>
    </w:p>
    <w:p>
      <w:pPr>
        <w:spacing w:after="0" w:line="129" w:lineRule="exact"/>
        <w:rPr>
          <w:rFonts w:ascii="Arial" w:cs="Arial" w:eastAsia="Arial" w:hAnsi="Arial"/>
          <w:sz w:val="19"/>
          <w:szCs w:val="19"/>
          <w:b w:val="1"/>
          <w:bCs w:val="1"/>
          <w:color w:val="auto"/>
        </w:rPr>
      </w:pPr>
    </w:p>
    <w:p>
      <w:pPr>
        <w:ind w:left="64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The Company issued 9,349,012 shares of Series E convertible preferred stock in April 2018 and July 2018 at an issuance price of $14.2154 per share.</w:t>
      </w:r>
    </w:p>
    <w:p>
      <w:pPr>
        <w:spacing w:after="0" w:line="69" w:lineRule="exact"/>
        <w:rPr>
          <w:rFonts w:ascii="Arial" w:cs="Arial" w:eastAsia="Arial" w:hAnsi="Arial"/>
          <w:sz w:val="19"/>
          <w:szCs w:val="19"/>
          <w:b w:val="1"/>
          <w:bCs w:val="1"/>
          <w:color w:val="auto"/>
        </w:rPr>
      </w:pPr>
    </w:p>
    <w:p>
      <w:pPr>
        <w:ind w:left="640"/>
        <w:spacing w:after="0"/>
        <w:rPr>
          <w:rFonts w:ascii="Arial" w:cs="Arial" w:eastAsia="Arial" w:hAnsi="Arial"/>
          <w:sz w:val="19"/>
          <w:szCs w:val="19"/>
          <w:b w:val="1"/>
          <w:bCs w:val="1"/>
          <w:color w:val="auto"/>
        </w:rPr>
      </w:pPr>
      <w:r>
        <w:rPr>
          <w:rFonts w:ascii="Arial" w:cs="Arial" w:eastAsia="Arial" w:hAnsi="Arial"/>
          <w:sz w:val="17"/>
          <w:szCs w:val="17"/>
          <w:color w:val="auto"/>
        </w:rPr>
        <w:t>The following tables summarizes the authorized, issued, and outstanding preferred units and convertible preferred stock of the Company:</w:t>
      </w:r>
    </w:p>
    <w:p>
      <w:pPr>
        <w:spacing w:after="0" w:line="281" w:lineRule="exact"/>
        <w:rPr>
          <w:sz w:val="20"/>
          <w:szCs w:val="20"/>
          <w:color w:val="auto"/>
        </w:rPr>
      </w:pPr>
    </w:p>
    <w:tbl>
      <w:tblPr>
        <w:tblLayout w:type="fixed"/>
        <w:tblInd w:w="6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center"/>
              <w:ind w:left="619"/>
              <w:spacing w:after="0"/>
              <w:rPr>
                <w:sz w:val="20"/>
                <w:szCs w:val="20"/>
                <w:color w:val="auto"/>
              </w:rPr>
            </w:pPr>
            <w:r>
              <w:rPr>
                <w:rFonts w:ascii="Arial" w:cs="Arial" w:eastAsia="Arial" w:hAnsi="Arial"/>
                <w:sz w:val="15"/>
                <w:szCs w:val="15"/>
                <w:b w:val="1"/>
                <w:bCs w:val="1"/>
                <w:color w:val="auto"/>
                <w:w w:val="90"/>
              </w:rPr>
              <w:t>December 31, 2017</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jc w:val="center"/>
              <w:ind w:right="180"/>
              <w:spacing w:after="0" w:line="128" w:lineRule="exact"/>
              <w:rPr>
                <w:sz w:val="20"/>
                <w:szCs w:val="20"/>
                <w:color w:val="auto"/>
              </w:rPr>
            </w:pPr>
            <w:r>
              <w:rPr>
                <w:rFonts w:ascii="Arial" w:cs="Arial" w:eastAsia="Arial" w:hAnsi="Arial"/>
                <w:sz w:val="14"/>
                <w:szCs w:val="14"/>
                <w:b w:val="1"/>
                <w:bCs w:val="1"/>
                <w:color w:val="auto"/>
                <w:w w:val="94"/>
              </w:rPr>
              <w:t>Shares</w:t>
            </w:r>
          </w:p>
        </w:tc>
        <w:tc>
          <w:tcPr>
            <w:tcW w:w="1060" w:type="dxa"/>
            <w:vAlign w:val="bottom"/>
            <w:gridSpan w:val="2"/>
          </w:tcPr>
          <w:p>
            <w:pPr>
              <w:ind w:left="220"/>
              <w:spacing w:after="0" w:line="128" w:lineRule="exact"/>
              <w:rPr>
                <w:sz w:val="20"/>
                <w:szCs w:val="20"/>
                <w:color w:val="auto"/>
              </w:rPr>
            </w:pPr>
            <w:r>
              <w:rPr>
                <w:rFonts w:ascii="Arial" w:cs="Arial" w:eastAsia="Arial" w:hAnsi="Arial"/>
                <w:sz w:val="14"/>
                <w:szCs w:val="14"/>
                <w:b w:val="1"/>
                <w:bCs w:val="1"/>
                <w:color w:val="auto"/>
              </w:rPr>
              <w:t>Issuance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2"/>
          </w:tcPr>
          <w:p>
            <w:pPr>
              <w:jc w:val="center"/>
              <w:spacing w:after="0" w:line="128" w:lineRule="exact"/>
              <w:rPr>
                <w:sz w:val="20"/>
                <w:szCs w:val="20"/>
                <w:color w:val="auto"/>
              </w:rPr>
            </w:pPr>
            <w:r>
              <w:rPr>
                <w:rFonts w:ascii="Arial" w:cs="Arial" w:eastAsia="Arial" w:hAnsi="Arial"/>
                <w:sz w:val="14"/>
                <w:szCs w:val="14"/>
                <w:b w:val="1"/>
                <w:bCs w:val="1"/>
                <w:color w:val="auto"/>
                <w:w w:val="95"/>
              </w:rPr>
              <w:t>Aggregate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40" w:type="dxa"/>
            <w:vAlign w:val="bottom"/>
            <w:gridSpan w:val="2"/>
          </w:tcPr>
          <w:p>
            <w:pPr>
              <w:jc w:val="center"/>
              <w:ind w:right="120"/>
              <w:spacing w:after="0" w:line="157" w:lineRule="exact"/>
              <w:rPr>
                <w:sz w:val="20"/>
                <w:szCs w:val="20"/>
                <w:color w:val="auto"/>
              </w:rPr>
            </w:pPr>
            <w:r>
              <w:rPr>
                <w:rFonts w:ascii="Arial" w:cs="Arial" w:eastAsia="Arial" w:hAnsi="Arial"/>
                <w:sz w:val="15"/>
                <w:szCs w:val="15"/>
                <w:b w:val="1"/>
                <w:bCs w:val="1"/>
                <w:color w:val="auto"/>
                <w:w w:val="87"/>
              </w:rPr>
              <w:t>Shares</w:t>
            </w:r>
          </w:p>
        </w:tc>
        <w:tc>
          <w:tcPr>
            <w:tcW w:w="240" w:type="dxa"/>
            <w:vAlign w:val="bottom"/>
          </w:tcPr>
          <w:p>
            <w:pPr>
              <w:spacing w:after="0"/>
              <w:rPr>
                <w:sz w:val="13"/>
                <w:szCs w:val="13"/>
                <w:color w:val="auto"/>
              </w:rPr>
            </w:pPr>
          </w:p>
        </w:tc>
        <w:tc>
          <w:tcPr>
            <w:tcW w:w="1100" w:type="dxa"/>
            <w:vAlign w:val="bottom"/>
            <w:gridSpan w:val="2"/>
          </w:tcPr>
          <w:p>
            <w:pPr>
              <w:jc w:val="center"/>
              <w:ind w:right="160"/>
              <w:spacing w:after="0" w:line="157" w:lineRule="exact"/>
              <w:rPr>
                <w:sz w:val="20"/>
                <w:szCs w:val="20"/>
                <w:color w:val="auto"/>
              </w:rPr>
            </w:pPr>
            <w:r>
              <w:rPr>
                <w:rFonts w:ascii="Arial" w:cs="Arial" w:eastAsia="Arial" w:hAnsi="Arial"/>
                <w:sz w:val="15"/>
                <w:szCs w:val="15"/>
                <w:b w:val="1"/>
                <w:bCs w:val="1"/>
                <w:color w:val="auto"/>
                <w:w w:val="89"/>
              </w:rPr>
              <w:t>Issued and</w:t>
            </w:r>
          </w:p>
        </w:tc>
        <w:tc>
          <w:tcPr>
            <w:tcW w:w="1060" w:type="dxa"/>
            <w:vAlign w:val="bottom"/>
            <w:gridSpan w:val="2"/>
          </w:tcPr>
          <w:p>
            <w:pPr>
              <w:ind w:left="200"/>
              <w:spacing w:after="0" w:line="157" w:lineRule="exact"/>
              <w:rPr>
                <w:sz w:val="20"/>
                <w:szCs w:val="20"/>
                <w:color w:val="auto"/>
              </w:rPr>
            </w:pPr>
            <w:r>
              <w:rPr>
                <w:rFonts w:ascii="Arial" w:cs="Arial" w:eastAsia="Arial" w:hAnsi="Arial"/>
                <w:sz w:val="15"/>
                <w:szCs w:val="15"/>
                <w:b w:val="1"/>
                <w:bCs w:val="1"/>
                <w:color w:val="auto"/>
              </w:rPr>
              <w:t>Price per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460"/>
              <w:spacing w:after="0" w:line="157" w:lineRule="exact"/>
              <w:rPr>
                <w:sz w:val="20"/>
                <w:szCs w:val="20"/>
                <w:color w:val="auto"/>
              </w:rPr>
            </w:pPr>
            <w:r>
              <w:rPr>
                <w:rFonts w:ascii="Arial" w:cs="Arial" w:eastAsia="Arial" w:hAnsi="Arial"/>
                <w:sz w:val="15"/>
                <w:szCs w:val="15"/>
                <w:b w:val="1"/>
                <w:bCs w:val="1"/>
                <w:color w:val="auto"/>
                <w:w w:val="90"/>
              </w:rPr>
              <w:t>Net</w:t>
            </w:r>
          </w:p>
        </w:tc>
        <w:tc>
          <w:tcPr>
            <w:tcW w:w="820" w:type="dxa"/>
            <w:vAlign w:val="bottom"/>
            <w:gridSpan w:val="3"/>
          </w:tcPr>
          <w:p>
            <w:pPr>
              <w:jc w:val="center"/>
              <w:ind w:right="60"/>
              <w:spacing w:after="0" w:line="157" w:lineRule="exact"/>
              <w:rPr>
                <w:sz w:val="20"/>
                <w:szCs w:val="20"/>
                <w:color w:val="auto"/>
              </w:rPr>
            </w:pPr>
            <w:r>
              <w:rPr>
                <w:rFonts w:ascii="Arial" w:cs="Arial" w:eastAsia="Arial" w:hAnsi="Arial"/>
                <w:sz w:val="15"/>
                <w:szCs w:val="15"/>
                <w:b w:val="1"/>
                <w:bCs w:val="1"/>
                <w:color w:val="auto"/>
                <w:w w:val="93"/>
              </w:rPr>
              <w:t>Liquidation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Authorized</w:t>
            </w:r>
          </w:p>
        </w:tc>
        <w:tc>
          <w:tcPr>
            <w:tcW w:w="24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0"/>
              </w:rPr>
              <w:t>Outstanding</w:t>
            </w:r>
          </w:p>
        </w:tc>
        <w:tc>
          <w:tcPr>
            <w:tcW w:w="300" w:type="dxa"/>
            <w:vAlign w:val="bottom"/>
          </w:tcPr>
          <w:p>
            <w:pPr>
              <w:spacing w:after="0"/>
              <w:rPr>
                <w:sz w:val="15"/>
                <w:szCs w:val="15"/>
                <w:color w:val="auto"/>
              </w:rPr>
            </w:pPr>
          </w:p>
        </w:tc>
        <w:tc>
          <w:tcPr>
            <w:tcW w:w="760" w:type="dxa"/>
            <w:vAlign w:val="bottom"/>
          </w:tcPr>
          <w:p>
            <w:pPr>
              <w:jc w:val="right"/>
              <w:ind w:right="288"/>
              <w:spacing w:after="0"/>
              <w:rPr>
                <w:sz w:val="20"/>
                <w:szCs w:val="20"/>
                <w:color w:val="auto"/>
              </w:rPr>
            </w:pPr>
            <w:r>
              <w:rPr>
                <w:rFonts w:ascii="Arial" w:cs="Arial" w:eastAsia="Arial" w:hAnsi="Arial"/>
                <w:sz w:val="15"/>
                <w:szCs w:val="15"/>
                <w:b w:val="1"/>
                <w:bCs w:val="1"/>
                <w:color w:val="auto"/>
                <w:w w:val="86"/>
              </w:rPr>
              <w:t>Share</w:t>
            </w:r>
          </w:p>
        </w:tc>
        <w:tc>
          <w:tcPr>
            <w:tcW w:w="100" w:type="dxa"/>
            <w:vAlign w:val="bottom"/>
          </w:tcPr>
          <w:p>
            <w:pPr>
              <w:spacing w:after="0"/>
              <w:rPr>
                <w:sz w:val="15"/>
                <w:szCs w:val="15"/>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5"/>
                <w:szCs w:val="15"/>
                <w:b w:val="1"/>
                <w:bCs w:val="1"/>
                <w:color w:val="auto"/>
                <w:w w:val="85"/>
              </w:rPr>
              <w:t>Proceeds</w:t>
            </w:r>
          </w:p>
        </w:tc>
        <w:tc>
          <w:tcPr>
            <w:tcW w:w="82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auto"/>
                <w:w w:val="90"/>
              </w:rPr>
              <w:t>Preference</w:t>
            </w:r>
          </w:p>
        </w:tc>
        <w:tc>
          <w:tcPr>
            <w:tcW w:w="0" w:type="dxa"/>
            <w:vAlign w:val="bottom"/>
          </w:tcPr>
          <w:p>
            <w:pPr>
              <w:spacing w:after="0"/>
              <w:rPr>
                <w:sz w:val="1"/>
                <w:szCs w:val="1"/>
                <w:color w:val="auto"/>
              </w:rPr>
            </w:pPr>
          </w:p>
        </w:tc>
      </w:tr>
      <w:tr>
        <w:trPr>
          <w:trHeight w:val="190"/>
        </w:trPr>
        <w:tc>
          <w:tcPr>
            <w:tcW w:w="400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Convertible Preferred Stock:</w:t>
            </w:r>
          </w:p>
        </w:tc>
        <w:tc>
          <w:tcPr>
            <w:tcW w:w="1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600" w:type="dxa"/>
            <w:vAlign w:val="bottom"/>
            <w:tcBorders>
              <w:top w:val="single" w:sz="8" w:color="auto"/>
            </w:tcBorders>
            <w:gridSpan w:val="9"/>
          </w:tcPr>
          <w:p>
            <w:pPr>
              <w:jc w:val="center"/>
              <w:ind w:right="280"/>
              <w:spacing w:after="0"/>
              <w:rPr>
                <w:sz w:val="20"/>
                <w:szCs w:val="20"/>
                <w:color w:val="auto"/>
              </w:rPr>
            </w:pPr>
            <w:r>
              <w:rPr>
                <w:rFonts w:ascii="Arial" w:cs="Arial" w:eastAsia="Arial" w:hAnsi="Arial"/>
                <w:sz w:val="15"/>
                <w:szCs w:val="15"/>
                <w:b w:val="1"/>
                <w:bCs w:val="1"/>
                <w:color w:val="auto"/>
                <w:w w:val="90"/>
              </w:rPr>
              <w:t>(In thousands, except share and per share data)</w:t>
            </w: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00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Series A-1</w:t>
            </w:r>
          </w:p>
        </w:tc>
        <w:tc>
          <w:tcPr>
            <w:tcW w:w="212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1,000,000</w:t>
            </w: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1,000,000</w:t>
            </w:r>
          </w:p>
        </w:tc>
        <w:tc>
          <w:tcPr>
            <w:tcW w:w="300" w:type="dxa"/>
            <w:vAlign w:val="bottom"/>
            <w:shd w:val="clear" w:color="auto" w:fill="CCEEFF"/>
          </w:tcPr>
          <w:p>
            <w:pPr>
              <w:ind w:left="200"/>
              <w:spacing w:after="0"/>
              <w:rPr>
                <w:sz w:val="20"/>
                <w:szCs w:val="20"/>
                <w:color w:val="auto"/>
              </w:rPr>
            </w:pPr>
            <w:r>
              <w:rPr>
                <w:rFonts w:ascii="Arial" w:cs="Arial" w:eastAsia="Arial" w:hAnsi="Arial"/>
                <w:sz w:val="19"/>
                <w:szCs w:val="19"/>
                <w:color w:val="auto"/>
                <w:w w:val="75"/>
              </w:rPr>
              <w:t>$</w:t>
            </w:r>
          </w:p>
        </w:tc>
        <w:tc>
          <w:tcPr>
            <w:tcW w:w="760" w:type="dxa"/>
            <w:vAlign w:val="bottom"/>
            <w:shd w:val="clear" w:color="auto" w:fill="CCEEFF"/>
          </w:tcPr>
          <w:p>
            <w:pPr>
              <w:jc w:val="right"/>
              <w:ind w:right="168"/>
              <w:spacing w:after="0"/>
              <w:rPr>
                <w:sz w:val="20"/>
                <w:szCs w:val="20"/>
                <w:color w:val="auto"/>
              </w:rPr>
            </w:pPr>
            <w:r>
              <w:rPr>
                <w:rFonts w:ascii="Arial" w:cs="Arial" w:eastAsia="Arial" w:hAnsi="Arial"/>
                <w:sz w:val="19"/>
                <w:szCs w:val="19"/>
                <w:color w:val="auto"/>
              </w:rPr>
              <w:t>0.40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354</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400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9"/>
                <w:szCs w:val="19"/>
                <w:color w:val="auto"/>
              </w:rPr>
              <w:t>Series A-2</w:t>
            </w:r>
          </w:p>
        </w:tc>
        <w:tc>
          <w:tcPr>
            <w:tcW w:w="2260" w:type="dxa"/>
            <w:vAlign w:val="bottom"/>
            <w:gridSpan w:val="3"/>
          </w:tcPr>
          <w:p>
            <w:pPr>
              <w:jc w:val="right"/>
              <w:ind w:right="120"/>
              <w:spacing w:after="0"/>
              <w:rPr>
                <w:sz w:val="20"/>
                <w:szCs w:val="20"/>
                <w:color w:val="auto"/>
              </w:rPr>
            </w:pPr>
            <w:r>
              <w:rPr>
                <w:rFonts w:ascii="Arial" w:cs="Arial" w:eastAsia="Arial" w:hAnsi="Arial"/>
                <w:sz w:val="19"/>
                <w:szCs w:val="19"/>
                <w:color w:val="auto"/>
              </w:rPr>
              <w:t>10,549,450</w:t>
            </w:r>
          </w:p>
        </w:tc>
        <w:tc>
          <w:tcPr>
            <w:tcW w:w="1340" w:type="dxa"/>
            <w:vAlign w:val="bottom"/>
            <w:gridSpan w:val="3"/>
          </w:tcPr>
          <w:p>
            <w:pPr>
              <w:jc w:val="right"/>
              <w:ind w:right="180"/>
              <w:spacing w:after="0"/>
              <w:rPr>
                <w:sz w:val="20"/>
                <w:szCs w:val="20"/>
                <w:color w:val="auto"/>
              </w:rPr>
            </w:pPr>
            <w:r>
              <w:rPr>
                <w:rFonts w:ascii="Arial" w:cs="Arial" w:eastAsia="Arial" w:hAnsi="Arial"/>
                <w:sz w:val="19"/>
                <w:szCs w:val="19"/>
                <w:color w:val="auto"/>
              </w:rPr>
              <w:t>10,549,450</w:t>
            </w:r>
          </w:p>
        </w:tc>
        <w:tc>
          <w:tcPr>
            <w:tcW w:w="300" w:type="dxa"/>
            <w:vAlign w:val="bottom"/>
          </w:tcPr>
          <w:p>
            <w:pPr>
              <w:spacing w:after="0"/>
              <w:rPr>
                <w:sz w:val="19"/>
                <w:szCs w:val="19"/>
                <w:color w:val="auto"/>
              </w:rPr>
            </w:pPr>
          </w:p>
        </w:tc>
        <w:tc>
          <w:tcPr>
            <w:tcW w:w="760" w:type="dxa"/>
            <w:vAlign w:val="bottom"/>
          </w:tcPr>
          <w:p>
            <w:pPr>
              <w:jc w:val="right"/>
              <w:ind w:right="168"/>
              <w:spacing w:after="0"/>
              <w:rPr>
                <w:sz w:val="20"/>
                <w:szCs w:val="20"/>
                <w:color w:val="auto"/>
              </w:rPr>
            </w:pPr>
            <w:r>
              <w:rPr>
                <w:rFonts w:ascii="Arial" w:cs="Arial" w:eastAsia="Arial" w:hAnsi="Arial"/>
                <w:sz w:val="19"/>
                <w:szCs w:val="19"/>
                <w:color w:val="auto"/>
              </w:rPr>
              <w:t>0.91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9"/>
                <w:szCs w:val="19"/>
                <w:color w:val="auto"/>
              </w:rPr>
              <w:t>9,554</w:t>
            </w:r>
          </w:p>
        </w:tc>
        <w:tc>
          <w:tcPr>
            <w:tcW w:w="1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9"/>
                <w:szCs w:val="19"/>
                <w:color w:val="auto"/>
              </w:rPr>
              <w:t>9,600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Series B</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5,000,000</w:t>
            </w: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5,000,000</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68"/>
              <w:spacing w:after="0"/>
              <w:rPr>
                <w:sz w:val="20"/>
                <w:szCs w:val="20"/>
                <w:color w:val="auto"/>
              </w:rPr>
            </w:pPr>
            <w:r>
              <w:rPr>
                <w:rFonts w:ascii="Arial" w:cs="Arial" w:eastAsia="Arial" w:hAnsi="Arial"/>
                <w:sz w:val="19"/>
                <w:szCs w:val="19"/>
                <w:color w:val="auto"/>
              </w:rPr>
              <w:t>1.20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5,968</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6,000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9"/>
                <w:szCs w:val="19"/>
                <w:color w:val="auto"/>
              </w:rPr>
              <w:t>Series C</w:t>
            </w:r>
          </w:p>
        </w:tc>
        <w:tc>
          <w:tcPr>
            <w:tcW w:w="2260" w:type="dxa"/>
            <w:vAlign w:val="bottom"/>
            <w:gridSpan w:val="3"/>
          </w:tcPr>
          <w:p>
            <w:pPr>
              <w:jc w:val="right"/>
              <w:ind w:right="120"/>
              <w:spacing w:after="0"/>
              <w:rPr>
                <w:sz w:val="20"/>
                <w:szCs w:val="20"/>
                <w:color w:val="auto"/>
              </w:rPr>
            </w:pPr>
            <w:r>
              <w:rPr>
                <w:rFonts w:ascii="Arial" w:cs="Arial" w:eastAsia="Arial" w:hAnsi="Arial"/>
                <w:sz w:val="19"/>
                <w:szCs w:val="19"/>
                <w:color w:val="auto"/>
              </w:rPr>
              <w:t>12,088,016</w:t>
            </w:r>
          </w:p>
        </w:tc>
        <w:tc>
          <w:tcPr>
            <w:tcW w:w="1340" w:type="dxa"/>
            <w:vAlign w:val="bottom"/>
            <w:gridSpan w:val="3"/>
          </w:tcPr>
          <w:p>
            <w:pPr>
              <w:jc w:val="right"/>
              <w:ind w:right="180"/>
              <w:spacing w:after="0"/>
              <w:rPr>
                <w:sz w:val="20"/>
                <w:szCs w:val="20"/>
                <w:color w:val="auto"/>
              </w:rPr>
            </w:pPr>
            <w:r>
              <w:rPr>
                <w:rFonts w:ascii="Arial" w:cs="Arial" w:eastAsia="Arial" w:hAnsi="Arial"/>
                <w:sz w:val="19"/>
                <w:szCs w:val="19"/>
                <w:color w:val="auto"/>
              </w:rPr>
              <w:t>12,088,016</w:t>
            </w:r>
          </w:p>
        </w:tc>
        <w:tc>
          <w:tcPr>
            <w:tcW w:w="300" w:type="dxa"/>
            <w:vAlign w:val="bottom"/>
          </w:tcPr>
          <w:p>
            <w:pPr>
              <w:spacing w:after="0"/>
              <w:rPr>
                <w:sz w:val="19"/>
                <w:szCs w:val="19"/>
                <w:color w:val="auto"/>
              </w:rPr>
            </w:pPr>
          </w:p>
        </w:tc>
        <w:tc>
          <w:tcPr>
            <w:tcW w:w="760" w:type="dxa"/>
            <w:vAlign w:val="bottom"/>
          </w:tcPr>
          <w:p>
            <w:pPr>
              <w:jc w:val="right"/>
              <w:ind w:right="168"/>
              <w:spacing w:after="0"/>
              <w:rPr>
                <w:sz w:val="20"/>
                <w:szCs w:val="20"/>
                <w:color w:val="auto"/>
              </w:rPr>
            </w:pPr>
            <w:r>
              <w:rPr>
                <w:rFonts w:ascii="Arial" w:cs="Arial" w:eastAsia="Arial" w:hAnsi="Arial"/>
                <w:sz w:val="19"/>
                <w:szCs w:val="19"/>
                <w:color w:val="auto"/>
              </w:rPr>
              <w:t>2.67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9"/>
                <w:szCs w:val="19"/>
                <w:color w:val="auto"/>
              </w:rPr>
              <w:t>32,158</w:t>
            </w:r>
          </w:p>
        </w:tc>
        <w:tc>
          <w:tcPr>
            <w:tcW w:w="1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9"/>
                <w:szCs w:val="19"/>
                <w:color w:val="auto"/>
              </w:rPr>
              <w:t>32,275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Series D</w:t>
            </w:r>
          </w:p>
        </w:tc>
        <w:tc>
          <w:tcPr>
            <w:tcW w:w="1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7,363,737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7,363,737</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68"/>
              <w:spacing w:after="0"/>
              <w:rPr>
                <w:sz w:val="20"/>
                <w:szCs w:val="20"/>
                <w:color w:val="auto"/>
              </w:rPr>
            </w:pPr>
            <w:r>
              <w:rPr>
                <w:rFonts w:ascii="Arial" w:cs="Arial" w:eastAsia="Arial" w:hAnsi="Arial"/>
                <w:sz w:val="19"/>
                <w:szCs w:val="19"/>
                <w:color w:val="auto"/>
              </w:rPr>
              <w:t>4.01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29,451</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29,529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2"/>
            <w:vMerge w:val="restart"/>
          </w:tcPr>
          <w:p>
            <w:pPr>
              <w:ind w:left="360"/>
              <w:spacing w:after="0"/>
              <w:rPr>
                <w:sz w:val="20"/>
                <w:szCs w:val="20"/>
                <w:color w:val="auto"/>
              </w:rPr>
            </w:pPr>
            <w:r>
              <w:rPr>
                <w:rFonts w:ascii="Arial" w:cs="Arial" w:eastAsia="Arial" w:hAnsi="Arial"/>
                <w:sz w:val="19"/>
                <w:szCs w:val="19"/>
                <w:color w:val="auto"/>
              </w:rPr>
              <w:t>Total convertible preferred stock</w:t>
            </w:r>
          </w:p>
        </w:tc>
        <w:tc>
          <w:tcPr>
            <w:tcW w:w="1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980" w:type="dxa"/>
            <w:vAlign w:val="bottom"/>
            <w:gridSpan w:val="2"/>
            <w:vMerge w:val="continue"/>
          </w:tcPr>
          <w:p>
            <w:pPr>
              <w:spacing w:after="0"/>
              <w:rPr>
                <w:sz w:val="20"/>
                <w:szCs w:val="20"/>
                <w:color w:val="auto"/>
              </w:rPr>
            </w:pPr>
          </w:p>
        </w:tc>
        <w:tc>
          <w:tcPr>
            <w:tcW w:w="1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w w:val="94"/>
              </w:rPr>
              <w:t>36,001,203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9"/>
                <w:szCs w:val="19"/>
                <w:color w:val="auto"/>
                <w:w w:val="94"/>
              </w:rPr>
              <w:t>36,001,203</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9"/>
                <w:szCs w:val="19"/>
                <w:color w:val="auto"/>
              </w:rPr>
              <w:t>77,485</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gridSpan w:val="2"/>
          </w:tcPr>
          <w:p>
            <w:pPr>
              <w:jc w:val="right"/>
              <w:ind w:right="60"/>
              <w:spacing w:after="0"/>
              <w:rPr>
                <w:sz w:val="20"/>
                <w:szCs w:val="20"/>
                <w:color w:val="auto"/>
              </w:rPr>
            </w:pPr>
            <w:r>
              <w:rPr>
                <w:rFonts w:ascii="Arial" w:cs="Arial" w:eastAsia="Arial" w:hAnsi="Arial"/>
                <w:sz w:val="19"/>
                <w:szCs w:val="19"/>
                <w:color w:val="auto"/>
              </w:rPr>
              <w:t>77,804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center"/>
              <w:ind w:left="619"/>
              <w:spacing w:after="0"/>
              <w:rPr>
                <w:sz w:val="20"/>
                <w:szCs w:val="20"/>
                <w:color w:val="auto"/>
              </w:rPr>
            </w:pPr>
            <w:r>
              <w:rPr>
                <w:rFonts w:ascii="Arial" w:cs="Arial" w:eastAsia="Arial" w:hAnsi="Arial"/>
                <w:sz w:val="15"/>
                <w:szCs w:val="15"/>
                <w:b w:val="1"/>
                <w:bCs w:val="1"/>
                <w:color w:val="auto"/>
                <w:w w:val="89"/>
              </w:rPr>
              <w:t>September 30, 2018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jc w:val="center"/>
              <w:ind w:right="180"/>
              <w:spacing w:after="0" w:line="128" w:lineRule="exact"/>
              <w:rPr>
                <w:sz w:val="20"/>
                <w:szCs w:val="20"/>
                <w:color w:val="auto"/>
              </w:rPr>
            </w:pPr>
            <w:r>
              <w:rPr>
                <w:rFonts w:ascii="Arial" w:cs="Arial" w:eastAsia="Arial" w:hAnsi="Arial"/>
                <w:sz w:val="14"/>
                <w:szCs w:val="14"/>
                <w:b w:val="1"/>
                <w:bCs w:val="1"/>
                <w:color w:val="auto"/>
                <w:w w:val="94"/>
              </w:rPr>
              <w:t>Shares</w:t>
            </w:r>
          </w:p>
        </w:tc>
        <w:tc>
          <w:tcPr>
            <w:tcW w:w="1060" w:type="dxa"/>
            <w:vAlign w:val="bottom"/>
            <w:gridSpan w:val="2"/>
          </w:tcPr>
          <w:p>
            <w:pPr>
              <w:ind w:left="220"/>
              <w:spacing w:after="0" w:line="128" w:lineRule="exact"/>
              <w:rPr>
                <w:sz w:val="20"/>
                <w:szCs w:val="20"/>
                <w:color w:val="auto"/>
              </w:rPr>
            </w:pPr>
            <w:r>
              <w:rPr>
                <w:rFonts w:ascii="Arial" w:cs="Arial" w:eastAsia="Arial" w:hAnsi="Arial"/>
                <w:sz w:val="14"/>
                <w:szCs w:val="14"/>
                <w:b w:val="1"/>
                <w:bCs w:val="1"/>
                <w:color w:val="auto"/>
              </w:rPr>
              <w:t>Issuance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2"/>
          </w:tcPr>
          <w:p>
            <w:pPr>
              <w:jc w:val="center"/>
              <w:spacing w:after="0" w:line="128" w:lineRule="exact"/>
              <w:rPr>
                <w:sz w:val="20"/>
                <w:szCs w:val="20"/>
                <w:color w:val="auto"/>
              </w:rPr>
            </w:pPr>
            <w:r>
              <w:rPr>
                <w:rFonts w:ascii="Arial" w:cs="Arial" w:eastAsia="Arial" w:hAnsi="Arial"/>
                <w:sz w:val="14"/>
                <w:szCs w:val="14"/>
                <w:b w:val="1"/>
                <w:bCs w:val="1"/>
                <w:color w:val="auto"/>
                <w:w w:val="95"/>
              </w:rPr>
              <w:t>Aggregate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40" w:type="dxa"/>
            <w:vAlign w:val="bottom"/>
            <w:gridSpan w:val="2"/>
          </w:tcPr>
          <w:p>
            <w:pPr>
              <w:jc w:val="center"/>
              <w:ind w:right="120"/>
              <w:spacing w:after="0" w:line="157" w:lineRule="exact"/>
              <w:rPr>
                <w:sz w:val="20"/>
                <w:szCs w:val="20"/>
                <w:color w:val="auto"/>
              </w:rPr>
            </w:pPr>
            <w:r>
              <w:rPr>
                <w:rFonts w:ascii="Arial" w:cs="Arial" w:eastAsia="Arial" w:hAnsi="Arial"/>
                <w:sz w:val="15"/>
                <w:szCs w:val="15"/>
                <w:b w:val="1"/>
                <w:bCs w:val="1"/>
                <w:color w:val="auto"/>
                <w:w w:val="87"/>
              </w:rPr>
              <w:t>Shares</w:t>
            </w:r>
          </w:p>
        </w:tc>
        <w:tc>
          <w:tcPr>
            <w:tcW w:w="240" w:type="dxa"/>
            <w:vAlign w:val="bottom"/>
          </w:tcPr>
          <w:p>
            <w:pPr>
              <w:spacing w:after="0"/>
              <w:rPr>
                <w:sz w:val="13"/>
                <w:szCs w:val="13"/>
                <w:color w:val="auto"/>
              </w:rPr>
            </w:pPr>
          </w:p>
        </w:tc>
        <w:tc>
          <w:tcPr>
            <w:tcW w:w="1100" w:type="dxa"/>
            <w:vAlign w:val="bottom"/>
            <w:gridSpan w:val="2"/>
          </w:tcPr>
          <w:p>
            <w:pPr>
              <w:jc w:val="center"/>
              <w:ind w:right="160"/>
              <w:spacing w:after="0" w:line="157" w:lineRule="exact"/>
              <w:rPr>
                <w:sz w:val="20"/>
                <w:szCs w:val="20"/>
                <w:color w:val="auto"/>
              </w:rPr>
            </w:pPr>
            <w:r>
              <w:rPr>
                <w:rFonts w:ascii="Arial" w:cs="Arial" w:eastAsia="Arial" w:hAnsi="Arial"/>
                <w:sz w:val="15"/>
                <w:szCs w:val="15"/>
                <w:b w:val="1"/>
                <w:bCs w:val="1"/>
                <w:color w:val="auto"/>
                <w:w w:val="89"/>
              </w:rPr>
              <w:t>Issued and</w:t>
            </w:r>
          </w:p>
        </w:tc>
        <w:tc>
          <w:tcPr>
            <w:tcW w:w="1060" w:type="dxa"/>
            <w:vAlign w:val="bottom"/>
            <w:gridSpan w:val="2"/>
          </w:tcPr>
          <w:p>
            <w:pPr>
              <w:ind w:left="200"/>
              <w:spacing w:after="0" w:line="157" w:lineRule="exact"/>
              <w:rPr>
                <w:sz w:val="20"/>
                <w:szCs w:val="20"/>
                <w:color w:val="auto"/>
              </w:rPr>
            </w:pPr>
            <w:r>
              <w:rPr>
                <w:rFonts w:ascii="Arial" w:cs="Arial" w:eastAsia="Arial" w:hAnsi="Arial"/>
                <w:sz w:val="15"/>
                <w:szCs w:val="15"/>
                <w:b w:val="1"/>
                <w:bCs w:val="1"/>
                <w:color w:val="auto"/>
              </w:rPr>
              <w:t>Price per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460"/>
              <w:spacing w:after="0" w:line="157" w:lineRule="exact"/>
              <w:rPr>
                <w:sz w:val="20"/>
                <w:szCs w:val="20"/>
                <w:color w:val="auto"/>
              </w:rPr>
            </w:pPr>
            <w:r>
              <w:rPr>
                <w:rFonts w:ascii="Arial" w:cs="Arial" w:eastAsia="Arial" w:hAnsi="Arial"/>
                <w:sz w:val="15"/>
                <w:szCs w:val="15"/>
                <w:b w:val="1"/>
                <w:bCs w:val="1"/>
                <w:color w:val="auto"/>
                <w:w w:val="90"/>
              </w:rPr>
              <w:t>Net</w:t>
            </w:r>
          </w:p>
        </w:tc>
        <w:tc>
          <w:tcPr>
            <w:tcW w:w="820" w:type="dxa"/>
            <w:vAlign w:val="bottom"/>
            <w:gridSpan w:val="3"/>
          </w:tcPr>
          <w:p>
            <w:pPr>
              <w:jc w:val="center"/>
              <w:ind w:right="60"/>
              <w:spacing w:after="0" w:line="157" w:lineRule="exact"/>
              <w:rPr>
                <w:sz w:val="20"/>
                <w:szCs w:val="20"/>
                <w:color w:val="auto"/>
              </w:rPr>
            </w:pPr>
            <w:r>
              <w:rPr>
                <w:rFonts w:ascii="Arial" w:cs="Arial" w:eastAsia="Arial" w:hAnsi="Arial"/>
                <w:sz w:val="15"/>
                <w:szCs w:val="15"/>
                <w:b w:val="1"/>
                <w:bCs w:val="1"/>
                <w:color w:val="auto"/>
                <w:w w:val="93"/>
              </w:rPr>
              <w:t>Liquidation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Authorized</w:t>
            </w:r>
          </w:p>
        </w:tc>
        <w:tc>
          <w:tcPr>
            <w:tcW w:w="24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0"/>
              </w:rPr>
              <w:t>Outstanding</w:t>
            </w:r>
          </w:p>
        </w:tc>
        <w:tc>
          <w:tcPr>
            <w:tcW w:w="300" w:type="dxa"/>
            <w:vAlign w:val="bottom"/>
          </w:tcPr>
          <w:p>
            <w:pPr>
              <w:spacing w:after="0"/>
              <w:rPr>
                <w:sz w:val="15"/>
                <w:szCs w:val="15"/>
                <w:color w:val="auto"/>
              </w:rPr>
            </w:pPr>
          </w:p>
        </w:tc>
        <w:tc>
          <w:tcPr>
            <w:tcW w:w="760" w:type="dxa"/>
            <w:vAlign w:val="bottom"/>
          </w:tcPr>
          <w:p>
            <w:pPr>
              <w:jc w:val="right"/>
              <w:ind w:right="288"/>
              <w:spacing w:after="0"/>
              <w:rPr>
                <w:sz w:val="20"/>
                <w:szCs w:val="20"/>
                <w:color w:val="auto"/>
              </w:rPr>
            </w:pPr>
            <w:r>
              <w:rPr>
                <w:rFonts w:ascii="Arial" w:cs="Arial" w:eastAsia="Arial" w:hAnsi="Arial"/>
                <w:sz w:val="15"/>
                <w:szCs w:val="15"/>
                <w:b w:val="1"/>
                <w:bCs w:val="1"/>
                <w:color w:val="auto"/>
                <w:w w:val="86"/>
              </w:rPr>
              <w:t>Share</w:t>
            </w:r>
          </w:p>
        </w:tc>
        <w:tc>
          <w:tcPr>
            <w:tcW w:w="100" w:type="dxa"/>
            <w:vAlign w:val="bottom"/>
          </w:tcPr>
          <w:p>
            <w:pPr>
              <w:spacing w:after="0"/>
              <w:rPr>
                <w:sz w:val="15"/>
                <w:szCs w:val="15"/>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5"/>
                <w:szCs w:val="15"/>
                <w:b w:val="1"/>
                <w:bCs w:val="1"/>
                <w:color w:val="auto"/>
                <w:w w:val="85"/>
              </w:rPr>
              <w:t>Proceeds</w:t>
            </w:r>
          </w:p>
        </w:tc>
        <w:tc>
          <w:tcPr>
            <w:tcW w:w="82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auto"/>
                <w:w w:val="90"/>
              </w:rPr>
              <w:t>Preference</w:t>
            </w:r>
          </w:p>
        </w:tc>
        <w:tc>
          <w:tcPr>
            <w:tcW w:w="0" w:type="dxa"/>
            <w:vAlign w:val="bottom"/>
          </w:tcPr>
          <w:p>
            <w:pPr>
              <w:spacing w:after="0"/>
              <w:rPr>
                <w:sz w:val="1"/>
                <w:szCs w:val="1"/>
                <w:color w:val="auto"/>
              </w:rPr>
            </w:pPr>
          </w:p>
        </w:tc>
      </w:tr>
      <w:tr>
        <w:trPr>
          <w:trHeight w:val="190"/>
        </w:trPr>
        <w:tc>
          <w:tcPr>
            <w:tcW w:w="400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Convertible Preferred Stock:</w:t>
            </w:r>
          </w:p>
        </w:tc>
        <w:tc>
          <w:tcPr>
            <w:tcW w:w="1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600" w:type="dxa"/>
            <w:vAlign w:val="bottom"/>
            <w:tcBorders>
              <w:top w:val="single" w:sz="8" w:color="auto"/>
            </w:tcBorders>
            <w:gridSpan w:val="9"/>
          </w:tcPr>
          <w:p>
            <w:pPr>
              <w:jc w:val="center"/>
              <w:ind w:right="280"/>
              <w:spacing w:after="0"/>
              <w:rPr>
                <w:sz w:val="20"/>
                <w:szCs w:val="20"/>
                <w:color w:val="auto"/>
              </w:rPr>
            </w:pPr>
            <w:r>
              <w:rPr>
                <w:rFonts w:ascii="Arial" w:cs="Arial" w:eastAsia="Arial" w:hAnsi="Arial"/>
                <w:sz w:val="15"/>
                <w:szCs w:val="15"/>
                <w:b w:val="1"/>
                <w:bCs w:val="1"/>
                <w:color w:val="auto"/>
                <w:w w:val="90"/>
              </w:rPr>
              <w:t>(In thousands, except share and per share data)</w:t>
            </w: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00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Series A-1</w:t>
            </w:r>
          </w:p>
        </w:tc>
        <w:tc>
          <w:tcPr>
            <w:tcW w:w="212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1,000,000</w:t>
            </w: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1,000,000</w:t>
            </w:r>
          </w:p>
        </w:tc>
        <w:tc>
          <w:tcPr>
            <w:tcW w:w="300" w:type="dxa"/>
            <w:vAlign w:val="bottom"/>
            <w:shd w:val="clear" w:color="auto" w:fill="CCEEFF"/>
          </w:tcPr>
          <w:p>
            <w:pPr>
              <w:ind w:left="200"/>
              <w:spacing w:after="0"/>
              <w:rPr>
                <w:sz w:val="20"/>
                <w:szCs w:val="20"/>
                <w:color w:val="auto"/>
              </w:rPr>
            </w:pPr>
            <w:r>
              <w:rPr>
                <w:rFonts w:ascii="Arial" w:cs="Arial" w:eastAsia="Arial" w:hAnsi="Arial"/>
                <w:sz w:val="19"/>
                <w:szCs w:val="19"/>
                <w:color w:val="auto"/>
                <w:w w:val="75"/>
              </w:rPr>
              <w:t>$</w:t>
            </w:r>
          </w:p>
        </w:tc>
        <w:tc>
          <w:tcPr>
            <w:tcW w:w="760" w:type="dxa"/>
            <w:vAlign w:val="bottom"/>
            <w:shd w:val="clear" w:color="auto" w:fill="CCEEFF"/>
          </w:tcPr>
          <w:p>
            <w:pPr>
              <w:jc w:val="right"/>
              <w:ind w:right="168"/>
              <w:spacing w:after="0"/>
              <w:rPr>
                <w:sz w:val="20"/>
                <w:szCs w:val="20"/>
                <w:color w:val="auto"/>
              </w:rPr>
            </w:pPr>
            <w:r>
              <w:rPr>
                <w:rFonts w:ascii="Arial" w:cs="Arial" w:eastAsia="Arial" w:hAnsi="Arial"/>
                <w:sz w:val="19"/>
                <w:szCs w:val="19"/>
                <w:color w:val="auto"/>
              </w:rPr>
              <w:t>0.40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354</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400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9"/>
                <w:szCs w:val="19"/>
                <w:color w:val="auto"/>
              </w:rPr>
              <w:t>Series A-2</w:t>
            </w:r>
          </w:p>
        </w:tc>
        <w:tc>
          <w:tcPr>
            <w:tcW w:w="2260" w:type="dxa"/>
            <w:vAlign w:val="bottom"/>
            <w:gridSpan w:val="3"/>
          </w:tcPr>
          <w:p>
            <w:pPr>
              <w:jc w:val="right"/>
              <w:ind w:right="120"/>
              <w:spacing w:after="0"/>
              <w:rPr>
                <w:sz w:val="20"/>
                <w:szCs w:val="20"/>
                <w:color w:val="auto"/>
              </w:rPr>
            </w:pPr>
            <w:r>
              <w:rPr>
                <w:rFonts w:ascii="Arial" w:cs="Arial" w:eastAsia="Arial" w:hAnsi="Arial"/>
                <w:sz w:val="19"/>
                <w:szCs w:val="19"/>
                <w:color w:val="auto"/>
              </w:rPr>
              <w:t>10,549,450</w:t>
            </w:r>
          </w:p>
        </w:tc>
        <w:tc>
          <w:tcPr>
            <w:tcW w:w="1340" w:type="dxa"/>
            <w:vAlign w:val="bottom"/>
            <w:gridSpan w:val="3"/>
          </w:tcPr>
          <w:p>
            <w:pPr>
              <w:jc w:val="right"/>
              <w:ind w:right="180"/>
              <w:spacing w:after="0"/>
              <w:rPr>
                <w:sz w:val="20"/>
                <w:szCs w:val="20"/>
                <w:color w:val="auto"/>
              </w:rPr>
            </w:pPr>
            <w:r>
              <w:rPr>
                <w:rFonts w:ascii="Arial" w:cs="Arial" w:eastAsia="Arial" w:hAnsi="Arial"/>
                <w:sz w:val="19"/>
                <w:szCs w:val="19"/>
                <w:color w:val="auto"/>
              </w:rPr>
              <w:t>10,549,450</w:t>
            </w:r>
          </w:p>
        </w:tc>
        <w:tc>
          <w:tcPr>
            <w:tcW w:w="300" w:type="dxa"/>
            <w:vAlign w:val="bottom"/>
          </w:tcPr>
          <w:p>
            <w:pPr>
              <w:spacing w:after="0"/>
              <w:rPr>
                <w:sz w:val="19"/>
                <w:szCs w:val="19"/>
                <w:color w:val="auto"/>
              </w:rPr>
            </w:pPr>
          </w:p>
        </w:tc>
        <w:tc>
          <w:tcPr>
            <w:tcW w:w="760" w:type="dxa"/>
            <w:vAlign w:val="bottom"/>
          </w:tcPr>
          <w:p>
            <w:pPr>
              <w:jc w:val="right"/>
              <w:ind w:right="168"/>
              <w:spacing w:after="0"/>
              <w:rPr>
                <w:sz w:val="20"/>
                <w:szCs w:val="20"/>
                <w:color w:val="auto"/>
              </w:rPr>
            </w:pPr>
            <w:r>
              <w:rPr>
                <w:rFonts w:ascii="Arial" w:cs="Arial" w:eastAsia="Arial" w:hAnsi="Arial"/>
                <w:sz w:val="19"/>
                <w:szCs w:val="19"/>
                <w:color w:val="auto"/>
              </w:rPr>
              <w:t>0.91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9"/>
                <w:szCs w:val="19"/>
                <w:color w:val="auto"/>
              </w:rPr>
              <w:t>9,554</w:t>
            </w:r>
          </w:p>
        </w:tc>
        <w:tc>
          <w:tcPr>
            <w:tcW w:w="1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9"/>
                <w:szCs w:val="19"/>
                <w:color w:val="auto"/>
              </w:rPr>
              <w:t>9,600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Series B</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5,000,000</w:t>
            </w: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5,000,000</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68"/>
              <w:spacing w:after="0"/>
              <w:rPr>
                <w:sz w:val="20"/>
                <w:szCs w:val="20"/>
                <w:color w:val="auto"/>
              </w:rPr>
            </w:pPr>
            <w:r>
              <w:rPr>
                <w:rFonts w:ascii="Arial" w:cs="Arial" w:eastAsia="Arial" w:hAnsi="Arial"/>
                <w:sz w:val="19"/>
                <w:szCs w:val="19"/>
                <w:color w:val="auto"/>
              </w:rPr>
              <w:t>1.20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5,968</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6,000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9"/>
                <w:szCs w:val="19"/>
                <w:color w:val="auto"/>
              </w:rPr>
              <w:t>Series C</w:t>
            </w:r>
          </w:p>
        </w:tc>
        <w:tc>
          <w:tcPr>
            <w:tcW w:w="2260" w:type="dxa"/>
            <w:vAlign w:val="bottom"/>
            <w:gridSpan w:val="3"/>
          </w:tcPr>
          <w:p>
            <w:pPr>
              <w:jc w:val="right"/>
              <w:ind w:right="120"/>
              <w:spacing w:after="0"/>
              <w:rPr>
                <w:sz w:val="20"/>
                <w:szCs w:val="20"/>
                <w:color w:val="auto"/>
              </w:rPr>
            </w:pPr>
            <w:r>
              <w:rPr>
                <w:rFonts w:ascii="Arial" w:cs="Arial" w:eastAsia="Arial" w:hAnsi="Arial"/>
                <w:sz w:val="19"/>
                <w:szCs w:val="19"/>
                <w:color w:val="auto"/>
              </w:rPr>
              <w:t>12,088,016</w:t>
            </w:r>
          </w:p>
        </w:tc>
        <w:tc>
          <w:tcPr>
            <w:tcW w:w="1340" w:type="dxa"/>
            <w:vAlign w:val="bottom"/>
            <w:gridSpan w:val="3"/>
          </w:tcPr>
          <w:p>
            <w:pPr>
              <w:jc w:val="right"/>
              <w:ind w:right="180"/>
              <w:spacing w:after="0"/>
              <w:rPr>
                <w:sz w:val="20"/>
                <w:szCs w:val="20"/>
                <w:color w:val="auto"/>
              </w:rPr>
            </w:pPr>
            <w:r>
              <w:rPr>
                <w:rFonts w:ascii="Arial" w:cs="Arial" w:eastAsia="Arial" w:hAnsi="Arial"/>
                <w:sz w:val="19"/>
                <w:szCs w:val="19"/>
                <w:color w:val="auto"/>
              </w:rPr>
              <w:t>12,088,016</w:t>
            </w:r>
          </w:p>
        </w:tc>
        <w:tc>
          <w:tcPr>
            <w:tcW w:w="300" w:type="dxa"/>
            <w:vAlign w:val="bottom"/>
          </w:tcPr>
          <w:p>
            <w:pPr>
              <w:spacing w:after="0"/>
              <w:rPr>
                <w:sz w:val="19"/>
                <w:szCs w:val="19"/>
                <w:color w:val="auto"/>
              </w:rPr>
            </w:pPr>
          </w:p>
        </w:tc>
        <w:tc>
          <w:tcPr>
            <w:tcW w:w="760" w:type="dxa"/>
            <w:vAlign w:val="bottom"/>
          </w:tcPr>
          <w:p>
            <w:pPr>
              <w:jc w:val="right"/>
              <w:ind w:right="168"/>
              <w:spacing w:after="0"/>
              <w:rPr>
                <w:sz w:val="20"/>
                <w:szCs w:val="20"/>
                <w:color w:val="auto"/>
              </w:rPr>
            </w:pPr>
            <w:r>
              <w:rPr>
                <w:rFonts w:ascii="Arial" w:cs="Arial" w:eastAsia="Arial" w:hAnsi="Arial"/>
                <w:sz w:val="19"/>
                <w:szCs w:val="19"/>
                <w:color w:val="auto"/>
              </w:rPr>
              <w:t>2.67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9"/>
                <w:szCs w:val="19"/>
                <w:color w:val="auto"/>
              </w:rPr>
              <w:t>32,158</w:t>
            </w:r>
          </w:p>
        </w:tc>
        <w:tc>
          <w:tcPr>
            <w:tcW w:w="1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9"/>
                <w:szCs w:val="19"/>
                <w:color w:val="auto"/>
              </w:rPr>
              <w:t>32,275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Series D</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7,363,737</w:t>
            </w: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7,363,737</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68"/>
              <w:spacing w:after="0"/>
              <w:rPr>
                <w:sz w:val="20"/>
                <w:szCs w:val="20"/>
                <w:color w:val="auto"/>
              </w:rPr>
            </w:pPr>
            <w:r>
              <w:rPr>
                <w:rFonts w:ascii="Arial" w:cs="Arial" w:eastAsia="Arial" w:hAnsi="Arial"/>
                <w:sz w:val="19"/>
                <w:szCs w:val="19"/>
                <w:color w:val="auto"/>
              </w:rPr>
              <w:t>4.01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29,451</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29,529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9"/>
                <w:szCs w:val="19"/>
                <w:color w:val="auto"/>
              </w:rPr>
              <w:t>Series E</w:t>
            </w:r>
          </w:p>
        </w:tc>
        <w:tc>
          <w:tcPr>
            <w:tcW w:w="1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9,848,474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9"/>
                <w:szCs w:val="19"/>
                <w:color w:val="auto"/>
              </w:rPr>
              <w:t>9,349,012</w:t>
            </w:r>
          </w:p>
        </w:tc>
        <w:tc>
          <w:tcPr>
            <w:tcW w:w="300" w:type="dxa"/>
            <w:vAlign w:val="bottom"/>
          </w:tcPr>
          <w:p>
            <w:pPr>
              <w:spacing w:after="0"/>
              <w:rPr>
                <w:sz w:val="19"/>
                <w:szCs w:val="19"/>
                <w:color w:val="auto"/>
              </w:rPr>
            </w:pPr>
          </w:p>
        </w:tc>
        <w:tc>
          <w:tcPr>
            <w:tcW w:w="760" w:type="dxa"/>
            <w:vAlign w:val="bottom"/>
          </w:tcPr>
          <w:p>
            <w:pPr>
              <w:jc w:val="right"/>
              <w:ind w:right="168"/>
              <w:spacing w:after="0"/>
              <w:rPr>
                <w:sz w:val="20"/>
                <w:szCs w:val="20"/>
                <w:color w:val="auto"/>
              </w:rPr>
            </w:pPr>
            <w:r>
              <w:rPr>
                <w:rFonts w:ascii="Arial" w:cs="Arial" w:eastAsia="Arial" w:hAnsi="Arial"/>
                <w:sz w:val="19"/>
                <w:szCs w:val="19"/>
                <w:color w:val="auto"/>
              </w:rPr>
              <w:t>14.22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9"/>
                <w:szCs w:val="19"/>
                <w:color w:val="auto"/>
                <w:w w:val="87"/>
              </w:rPr>
              <w:t>132,685</w:t>
            </w:r>
          </w:p>
        </w:tc>
        <w:tc>
          <w:tcPr>
            <w:tcW w:w="1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9"/>
                <w:szCs w:val="19"/>
                <w:color w:val="auto"/>
                <w:w w:val="90"/>
              </w:rPr>
              <w:t>132,900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Total convertible preferred stock</w:t>
            </w:r>
          </w:p>
        </w:tc>
        <w:tc>
          <w:tcPr>
            <w:tcW w:w="1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45,849,677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w w:val="94"/>
              </w:rPr>
              <w:t>45,350,215</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ind w:right="38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210,170</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color w:val="auto"/>
                <w:w w:val="87"/>
              </w:rPr>
              <w:t>$ 210,704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60" w:type="dxa"/>
            <w:vAlign w:val="bottom"/>
            <w:gridSpan w:val="3"/>
          </w:tcPr>
          <w:p>
            <w:pPr>
              <w:ind w:left="1160"/>
              <w:spacing w:after="0"/>
              <w:rPr>
                <w:sz w:val="20"/>
                <w:szCs w:val="20"/>
                <w:color w:val="auto"/>
              </w:rPr>
            </w:pPr>
            <w:r>
              <w:rPr>
                <w:rFonts w:ascii="Arial" w:cs="Arial" w:eastAsia="Arial" w:hAnsi="Arial"/>
                <w:sz w:val="19"/>
                <w:szCs w:val="19"/>
                <w:color w:val="auto"/>
              </w:rPr>
              <w:t>F-34</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520"/>
          </w:cols>
          <w:pgMar w:left="120" w:top="336" w:right="600" w:bottom="1440" w:gutter="0" w:footer="0" w:header="0"/>
        </w:sectPr>
      </w:pPr>
    </w:p>
    <w:bookmarkStart w:id="225" w:name="page226"/>
    <w:bookmarkEnd w:id="22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Unaudited Interim Condensed Consolidated Financial Statements</w:t>
      </w:r>
    </w:p>
    <w:p>
      <w:pPr>
        <w:spacing w:after="0" w:line="272" w:lineRule="exact"/>
        <w:rPr>
          <w:sz w:val="20"/>
          <w:szCs w:val="20"/>
          <w:color w:val="auto"/>
        </w:rPr>
      </w:pPr>
    </w:p>
    <w:p>
      <w:pPr>
        <w:ind w:left="640" w:right="100"/>
        <w:spacing w:after="0" w:line="272" w:lineRule="auto"/>
        <w:rPr>
          <w:sz w:val="20"/>
          <w:szCs w:val="20"/>
          <w:color w:val="auto"/>
        </w:rPr>
      </w:pPr>
      <w:r>
        <w:rPr>
          <w:rFonts w:ascii="Arial" w:cs="Arial" w:eastAsia="Arial" w:hAnsi="Arial"/>
          <w:sz w:val="18"/>
          <w:szCs w:val="18"/>
          <w:color w:val="auto"/>
        </w:rPr>
        <w:t>The Company recorded its convertible preferred stock at the issuance price on the dates of issuance, net of issuance costs. As of December 31, 2017 and September 30, 2018, the Company classifies the convertible preferred stock as temporary equity because the shares are contingently redeemable outside the control of the Company. During the year ended December 31, 2017 and nine months ended September 30, 2018, the Company did not adjust the carrying values of the convertible preferred stock to the deemed redemption values of such shares since a redemption event is not probable of occurring. Subsequent adjustments to increase the carrying values to the ultimate redemption values will be made only when it becomes probable that such a redemption event will occur.</w:t>
      </w:r>
    </w:p>
    <w:p>
      <w:pPr>
        <w:spacing w:after="0" w:line="7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As of September 30, 2018, the holders of the convertible preferred stock had the following rights and preferences:</w:t>
      </w:r>
    </w:p>
    <w:p>
      <w:pPr>
        <w:spacing w:after="0" w:line="352" w:lineRule="exact"/>
        <w:rPr>
          <w:sz w:val="20"/>
          <w:szCs w:val="20"/>
          <w:color w:val="auto"/>
        </w:rPr>
      </w:pPr>
    </w:p>
    <w:p>
      <w:pPr>
        <w:ind w:left="1120"/>
        <w:spacing w:after="0"/>
        <w:rPr>
          <w:sz w:val="20"/>
          <w:szCs w:val="20"/>
          <w:color w:val="auto"/>
        </w:rPr>
      </w:pPr>
      <w:r>
        <w:rPr>
          <w:rFonts w:ascii="Arial" w:cs="Arial" w:eastAsia="Arial" w:hAnsi="Arial"/>
          <w:sz w:val="19"/>
          <w:szCs w:val="19"/>
          <w:b w:val="1"/>
          <w:bCs w:val="1"/>
          <w:i w:val="1"/>
          <w:iCs w:val="1"/>
          <w:color w:val="auto"/>
        </w:rPr>
        <w:t>Optional Conversion Rights</w:t>
      </w:r>
    </w:p>
    <w:p>
      <w:pPr>
        <w:spacing w:after="0" w:line="124" w:lineRule="exact"/>
        <w:rPr>
          <w:sz w:val="20"/>
          <w:szCs w:val="20"/>
          <w:color w:val="auto"/>
        </w:rPr>
      </w:pPr>
    </w:p>
    <w:p>
      <w:pPr>
        <w:ind w:left="1120" w:right="40"/>
        <w:spacing w:after="0" w:line="254" w:lineRule="auto"/>
        <w:rPr>
          <w:sz w:val="20"/>
          <w:szCs w:val="20"/>
          <w:color w:val="auto"/>
        </w:rPr>
      </w:pPr>
      <w:r>
        <w:rPr>
          <w:rFonts w:ascii="Arial" w:cs="Arial" w:eastAsia="Arial" w:hAnsi="Arial"/>
          <w:sz w:val="19"/>
          <w:szCs w:val="19"/>
          <w:color w:val="auto"/>
        </w:rPr>
        <w:t>Each share of convertible preferred stock is, at the option of the holder, convertible into the number of fully paid and non-assessable shares of common stock as determined by dividing the original issue price applicable to such convertible preferred stock by the conversion price in effect at that time. The conversion price for each series of convertible preferred stock shall initially be the original issue price of such series of preferred stock and is subject to adjustment from time to time for events such as future stock splits, combinations, and dividends in accordance with conversion provisions contained in the Company’s Second Amended and Restated Certificate of Incorporation. Additionally, the conversion price is subject to adjustment from time to time in the event of dilutive issuances based on a broad-based weighted average anti-dilution formula. All series of convertible preferred stock are currently convertible into common stock on a 1-for-1 basis.</w:t>
      </w:r>
    </w:p>
    <w:p>
      <w:pPr>
        <w:spacing w:after="0" w:line="318" w:lineRule="exact"/>
        <w:rPr>
          <w:sz w:val="20"/>
          <w:szCs w:val="20"/>
          <w:color w:val="auto"/>
        </w:rPr>
      </w:pPr>
    </w:p>
    <w:p>
      <w:pPr>
        <w:ind w:left="1120"/>
        <w:spacing w:after="0"/>
        <w:rPr>
          <w:sz w:val="20"/>
          <w:szCs w:val="20"/>
          <w:color w:val="auto"/>
        </w:rPr>
      </w:pPr>
      <w:r>
        <w:rPr>
          <w:rFonts w:ascii="Arial" w:cs="Arial" w:eastAsia="Arial" w:hAnsi="Arial"/>
          <w:sz w:val="19"/>
          <w:szCs w:val="19"/>
          <w:b w:val="1"/>
          <w:bCs w:val="1"/>
          <w:i w:val="1"/>
          <w:iCs w:val="1"/>
          <w:color w:val="auto"/>
        </w:rPr>
        <w:t>Automatic Conversion Rights</w:t>
      </w:r>
    </w:p>
    <w:p>
      <w:pPr>
        <w:spacing w:after="0" w:line="124" w:lineRule="exact"/>
        <w:rPr>
          <w:sz w:val="20"/>
          <w:szCs w:val="20"/>
          <w:color w:val="auto"/>
        </w:rPr>
      </w:pPr>
    </w:p>
    <w:p>
      <w:pPr>
        <w:ind w:left="1120" w:right="80"/>
        <w:spacing w:after="0" w:line="291" w:lineRule="auto"/>
        <w:rPr>
          <w:sz w:val="20"/>
          <w:szCs w:val="20"/>
          <w:color w:val="auto"/>
        </w:rPr>
      </w:pPr>
      <w:r>
        <w:rPr>
          <w:rFonts w:ascii="Arial" w:cs="Arial" w:eastAsia="Arial" w:hAnsi="Arial"/>
          <w:sz w:val="17"/>
          <w:szCs w:val="17"/>
          <w:color w:val="auto"/>
        </w:rPr>
        <w:t>Each share of convertible preferred stock is automatically convertible into shares of common stock based on the then effective conversion price (i) upon the affirmative election of the holders of at least 50% of the then outstanding convertible preferred stock, voting together as a single and separate class on an as-converted basis (the “Requisite Vote”) or (ii) immediately upon the closing of a firm-commitment underwritten public offering filed under the Securities Act of 1933, as amended, covering the offer and sale of common stock for the account of the Company at a price of at least the original issue price per share of Series E convertible preferred stock (subject to adjustment in the event of any recapitalizations) and in which the gross proceeds to the Company are at least $10.0 million.</w:t>
      </w:r>
    </w:p>
    <w:p>
      <w:pPr>
        <w:spacing w:after="0" w:line="289" w:lineRule="exact"/>
        <w:rPr>
          <w:sz w:val="20"/>
          <w:szCs w:val="20"/>
          <w:color w:val="auto"/>
        </w:rPr>
      </w:pPr>
    </w:p>
    <w:p>
      <w:pPr>
        <w:ind w:left="1120"/>
        <w:spacing w:after="0"/>
        <w:rPr>
          <w:sz w:val="20"/>
          <w:szCs w:val="20"/>
          <w:color w:val="auto"/>
        </w:rPr>
      </w:pPr>
      <w:r>
        <w:rPr>
          <w:rFonts w:ascii="Arial" w:cs="Arial" w:eastAsia="Arial" w:hAnsi="Arial"/>
          <w:sz w:val="19"/>
          <w:szCs w:val="19"/>
          <w:b w:val="1"/>
          <w:bCs w:val="1"/>
          <w:i w:val="1"/>
          <w:iCs w:val="1"/>
          <w:color w:val="auto"/>
        </w:rPr>
        <w:t>Voting Rights</w:t>
      </w:r>
    </w:p>
    <w:p>
      <w:pPr>
        <w:spacing w:after="0" w:line="124" w:lineRule="exact"/>
        <w:rPr>
          <w:sz w:val="20"/>
          <w:szCs w:val="20"/>
          <w:color w:val="auto"/>
        </w:rPr>
      </w:pPr>
    </w:p>
    <w:p>
      <w:pPr>
        <w:ind w:left="1120"/>
        <w:spacing w:after="0" w:line="288" w:lineRule="auto"/>
        <w:rPr>
          <w:sz w:val="20"/>
          <w:szCs w:val="20"/>
          <w:color w:val="auto"/>
        </w:rPr>
      </w:pPr>
      <w:r>
        <w:rPr>
          <w:rFonts w:ascii="Arial" w:cs="Arial" w:eastAsia="Arial" w:hAnsi="Arial"/>
          <w:sz w:val="17"/>
          <w:szCs w:val="17"/>
          <w:color w:val="auto"/>
        </w:rPr>
        <w:t>Each share of convertible preferred stock has a number of votes equal to the number of shares of common stock into which it is convertible. The holders of the Series A-1, Series A-2, Series B, Series C, Series D, and Series E convertible preferred shares shall vote together with the holders of shares of common stock as a single class. Additionally, as long as at least 8,188,606 shares of convertible preferred stock are outstanding (subject to adjustment in the event of any recapitalizations), the Company must obtain approval from the Requisite Vote in order to effect certain corporate actions. The holders of convertible preferred stock, voting together as a single class, shall be entitled to elect three members of the Company’s board of directors. The holders of common stock shall be entitled to elect three members of the Company’s board of directors. Any additional members of the board of directors shall be elected by the holders of a majority of the outstanding common stock and convertible preferred stock of the Company, voting together as a single class on an as-converted basis.</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F-35</w:t>
      </w:r>
    </w:p>
    <w:p>
      <w:pPr>
        <w:sectPr>
          <w:pgSz w:w="12240" w:h="15840" w:orient="portrait"/>
          <w:cols w:equalWidth="0" w:num="1">
            <w:col w:w="11800"/>
          </w:cols>
          <w:pgMar w:left="120" w:top="336" w:right="320" w:bottom="1440" w:gutter="0" w:footer="0" w:header="0"/>
        </w:sectPr>
      </w:pPr>
    </w:p>
    <w:bookmarkStart w:id="226" w:name="page227"/>
    <w:bookmarkEnd w:id="22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Unaudited Interim Condensed Consolidated Financial Statements</w:t>
      </w:r>
    </w:p>
    <w:p>
      <w:pPr>
        <w:spacing w:after="0" w:line="272" w:lineRule="exact"/>
        <w:rPr>
          <w:sz w:val="20"/>
          <w:szCs w:val="20"/>
          <w:color w:val="auto"/>
        </w:rPr>
      </w:pPr>
    </w:p>
    <w:p>
      <w:pPr>
        <w:ind w:left="1120"/>
        <w:spacing w:after="0"/>
        <w:rPr>
          <w:sz w:val="20"/>
          <w:szCs w:val="20"/>
          <w:color w:val="auto"/>
        </w:rPr>
      </w:pPr>
      <w:r>
        <w:rPr>
          <w:rFonts w:ascii="Arial" w:cs="Arial" w:eastAsia="Arial" w:hAnsi="Arial"/>
          <w:sz w:val="19"/>
          <w:szCs w:val="19"/>
          <w:b w:val="1"/>
          <w:bCs w:val="1"/>
          <w:i w:val="1"/>
          <w:iCs w:val="1"/>
          <w:color w:val="auto"/>
        </w:rPr>
        <w:t>Liquidation Rights</w:t>
      </w:r>
    </w:p>
    <w:p>
      <w:pPr>
        <w:spacing w:after="0" w:line="1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 the event of any voluntary or involuntary liquidation, dissolution or winding up of the Company, or Deemed Liquidation Event, the</w:t>
      </w:r>
    </w:p>
    <w:p>
      <w:pPr>
        <w:spacing w:after="0" w:line="34"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holders of convertible preferred stock shall be entitled to receive, before any payments of the Company to the holders of shares of common</w:t>
      </w:r>
    </w:p>
    <w:p>
      <w:pPr>
        <w:spacing w:after="0" w:line="3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stock, the greater of (i) an amount equal to the per share issue price of such series of convertible preferred stock ($0.40 per share for</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Series A-1 convertible preferred stock, $0.91 per share for Series A-2 convertible preferred stock, $1.20 per share for Series B convertible</w:t>
      </w:r>
    </w:p>
    <w:p>
      <w:pPr>
        <w:spacing w:after="0" w:line="3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preferred stock, $2.67 per share for Series C convertible preferred stock, $4.01 per share for Series D convertible preferred stock, and</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$14.2154 per share for Series E convertible preferred stock), plus all declared and unpaid dividends on such shares or (ii) such amount per</w:t>
      </w:r>
    </w:p>
    <w:p>
      <w:pPr>
        <w:spacing w:after="0" w:line="33"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share as would have been payable had all shares of such applicable series of convertible preferred stock been converted to common stock</w:t>
      </w:r>
    </w:p>
    <w:p>
      <w:pPr>
        <w:spacing w:after="0" w:line="33"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immediately prior to such liquidation event. If available assets are insufficient to pay the full liquidation preference, available assets will be</w:t>
      </w:r>
    </w:p>
    <w:p>
      <w:pPr>
        <w:spacing w:after="0" w:line="33"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distributed ratably among the holders of the convertible preferred stock based on amounts that would be received if such shares were paid in</w:t>
      </w:r>
    </w:p>
    <w:p>
      <w:pPr>
        <w:spacing w:after="0" w:line="3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full. After the payment of the liquidation preference, all remaining assets available for distribution will be distributed ratably among the</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holders of the common stock.</w:t>
      </w:r>
    </w:p>
    <w:p>
      <w:pPr>
        <w:spacing w:after="0" w:line="111" w:lineRule="exact"/>
        <w:rPr>
          <w:sz w:val="20"/>
          <w:szCs w:val="20"/>
          <w:color w:val="auto"/>
        </w:rPr>
      </w:pPr>
    </w:p>
    <w:p>
      <w:pPr>
        <w:ind w:left="1120"/>
        <w:spacing w:after="0" w:line="253" w:lineRule="auto"/>
        <w:rPr>
          <w:sz w:val="20"/>
          <w:szCs w:val="20"/>
          <w:color w:val="auto"/>
        </w:rPr>
      </w:pPr>
      <w:r>
        <w:rPr>
          <w:rFonts w:ascii="Arial" w:cs="Arial" w:eastAsia="Arial" w:hAnsi="Arial"/>
          <w:sz w:val="19"/>
          <w:szCs w:val="19"/>
          <w:color w:val="auto"/>
        </w:rPr>
        <w:t>A Deemed Liquidation Event is defined as (i) a merger or consolidation in which the Company or a subsidiary of the Company is a constituent party and the Company issues shares of its common stock pursuant to such merger or consolidation, except any such merger or consolidation involving the Company or a subsidiary in which the shares of common stock of the Company outstanding immediately prior to such merger or consolidation continue to represent, or are converted into or exchanged for shares of common stock that represent, immediately following such merger or consolidation, at least a majority, by voting power, of the common stock of (1) the surviving or resulting corporation; or (2) if the surviving or resulting corporation is a wholly owned subsidiary of another corporation immediately following such merger or consolidation, the parent corporation of such surviving or resulting corporation; (ii) a sale, lease, transfer exclusive license, or other disposition in a single transaction or series of related transactions of all or substantially all of the assets of the Company unless the holders of the Requisite Vote elect otherwise by written notice sent to the Company at least ten days prior to the effective date of any such event.</w:t>
      </w:r>
    </w:p>
    <w:p>
      <w:pPr>
        <w:spacing w:after="0" w:line="321" w:lineRule="exact"/>
        <w:rPr>
          <w:sz w:val="20"/>
          <w:szCs w:val="20"/>
          <w:color w:val="auto"/>
        </w:rPr>
      </w:pPr>
    </w:p>
    <w:p>
      <w:pPr>
        <w:ind w:left="1120"/>
        <w:spacing w:after="0"/>
        <w:rPr>
          <w:sz w:val="20"/>
          <w:szCs w:val="20"/>
          <w:color w:val="auto"/>
        </w:rPr>
      </w:pPr>
      <w:r>
        <w:rPr>
          <w:rFonts w:ascii="Arial" w:cs="Arial" w:eastAsia="Arial" w:hAnsi="Arial"/>
          <w:sz w:val="19"/>
          <w:szCs w:val="19"/>
          <w:b w:val="1"/>
          <w:bCs w:val="1"/>
          <w:i w:val="1"/>
          <w:iCs w:val="1"/>
          <w:color w:val="auto"/>
        </w:rPr>
        <w:t>Dividend Rights</w:t>
      </w:r>
    </w:p>
    <w:p>
      <w:pPr>
        <w:spacing w:after="0" w:line="124" w:lineRule="exact"/>
        <w:rPr>
          <w:sz w:val="20"/>
          <w:szCs w:val="20"/>
          <w:color w:val="auto"/>
        </w:rPr>
      </w:pPr>
    </w:p>
    <w:p>
      <w:pPr>
        <w:ind w:left="1120" w:right="120"/>
        <w:spacing w:after="0" w:line="263" w:lineRule="auto"/>
        <w:rPr>
          <w:sz w:val="20"/>
          <w:szCs w:val="20"/>
          <w:color w:val="auto"/>
        </w:rPr>
      </w:pPr>
      <w:r>
        <w:rPr>
          <w:rFonts w:ascii="Arial" w:cs="Arial" w:eastAsia="Arial" w:hAnsi="Arial"/>
          <w:sz w:val="19"/>
          <w:szCs w:val="19"/>
          <w:color w:val="auto"/>
        </w:rPr>
        <w:t>The Company’s convertible preferred stock does not have a stated dividend rate. However, the convertible preferred stockholders do have preference regarding any distributions made by the Company that will be equal to the amount that would be received if the preferred shares were converted into common shares.</w:t>
      </w:r>
    </w:p>
    <w:p>
      <w:pPr>
        <w:spacing w:after="0" w:line="345" w:lineRule="exact"/>
        <w:rPr>
          <w:sz w:val="20"/>
          <w:szCs w:val="20"/>
          <w:color w:val="auto"/>
        </w:rPr>
      </w:pPr>
    </w:p>
    <w:p>
      <w:pPr>
        <w:ind w:left="640" w:hanging="461"/>
        <w:spacing w:after="0"/>
        <w:tabs>
          <w:tab w:leader="none" w:pos="640" w:val="left"/>
        </w:tabs>
        <w:numPr>
          <w:ilvl w:val="0"/>
          <w:numId w:val="137"/>
        </w:numPr>
        <w:rPr>
          <w:rFonts w:ascii="Arial" w:cs="Arial" w:eastAsia="Arial" w:hAnsi="Arial"/>
          <w:sz w:val="19"/>
          <w:szCs w:val="19"/>
          <w:b w:val="1"/>
          <w:bCs w:val="1"/>
          <w:color w:val="auto"/>
        </w:rPr>
      </w:pPr>
      <w:r>
        <w:rPr>
          <w:rFonts w:ascii="Arial" w:cs="Arial" w:eastAsia="Arial" w:hAnsi="Arial"/>
          <w:sz w:val="19"/>
          <w:szCs w:val="19"/>
          <w:b w:val="1"/>
          <w:bCs w:val="1"/>
          <w:color w:val="auto"/>
        </w:rPr>
        <w:t>Stock-based Compensation</w:t>
      </w:r>
    </w:p>
    <w:p>
      <w:pPr>
        <w:spacing w:after="0" w:line="129" w:lineRule="exact"/>
        <w:rPr>
          <w:rFonts w:ascii="Arial" w:cs="Arial" w:eastAsia="Arial" w:hAnsi="Arial"/>
          <w:sz w:val="19"/>
          <w:szCs w:val="19"/>
          <w:b w:val="1"/>
          <w:bCs w:val="1"/>
          <w:color w:val="auto"/>
        </w:rPr>
      </w:pPr>
    </w:p>
    <w:p>
      <w:pPr>
        <w:ind w:left="640"/>
        <w:spacing w:after="0"/>
        <w:rPr>
          <w:rFonts w:ascii="Arial" w:cs="Arial" w:eastAsia="Arial" w:hAnsi="Arial"/>
          <w:sz w:val="19"/>
          <w:szCs w:val="19"/>
          <w:b w:val="1"/>
          <w:bCs w:val="1"/>
          <w:color w:val="auto"/>
        </w:rPr>
      </w:pPr>
      <w:r>
        <w:rPr>
          <w:rFonts w:ascii="Arial" w:cs="Arial" w:eastAsia="Arial" w:hAnsi="Arial"/>
          <w:sz w:val="19"/>
          <w:szCs w:val="19"/>
          <w:color w:val="auto"/>
        </w:rPr>
        <w:t>The Company recognized stock-based compensation as follows:</w:t>
      </w:r>
    </w:p>
    <w:p>
      <w:pPr>
        <w:spacing w:after="0" w:line="258" w:lineRule="exact"/>
        <w:rPr>
          <w:sz w:val="20"/>
          <w:szCs w:val="20"/>
          <w:color w:val="auto"/>
        </w:rPr>
      </w:pPr>
    </w:p>
    <w:p>
      <w:pPr>
        <w:jc w:val="center"/>
        <w:ind w:left="6860"/>
        <w:spacing w:after="0"/>
        <w:rPr>
          <w:sz w:val="20"/>
          <w:szCs w:val="20"/>
          <w:color w:val="auto"/>
        </w:rPr>
      </w:pPr>
      <w:r>
        <w:rPr>
          <w:rFonts w:ascii="Arial" w:cs="Arial" w:eastAsia="Arial" w:hAnsi="Arial"/>
          <w:sz w:val="15"/>
          <w:szCs w:val="15"/>
          <w:b w:val="1"/>
          <w:bCs w:val="1"/>
          <w:color w:val="auto"/>
        </w:rPr>
        <w:t>Nine Months Ended</w:t>
      </w:r>
    </w:p>
    <w:p>
      <w:pPr>
        <w:jc w:val="center"/>
        <w:ind w:left="6860"/>
        <w:spacing w:after="0" w:line="228" w:lineRule="auto"/>
        <w:rPr>
          <w:sz w:val="20"/>
          <w:szCs w:val="20"/>
          <w:color w:val="auto"/>
        </w:rPr>
      </w:pPr>
      <w:r>
        <w:rPr>
          <w:rFonts w:ascii="Arial" w:cs="Arial" w:eastAsia="Arial" w:hAnsi="Arial"/>
          <w:sz w:val="15"/>
          <w:szCs w:val="15"/>
          <w:b w:val="1"/>
          <w:bCs w:val="1"/>
          <w:color w:val="auto"/>
        </w:rPr>
        <w:t>September 30,</w:t>
      </w:r>
    </w:p>
    <w:p>
      <w:pPr>
        <w:spacing w:after="0" w:line="1" w:lineRule="exact"/>
        <w:rPr>
          <w:sz w:val="20"/>
          <w:szCs w:val="20"/>
          <w:color w:val="auto"/>
        </w:rPr>
      </w:pPr>
    </w:p>
    <w:tbl>
      <w:tblPr>
        <w:tblLayout w:type="fixed"/>
        <w:tblInd w:w="1580" w:type="dxa"/>
        <w:tblCellMar>
          <w:top w:w="0" w:type="dxa"/>
          <w:left w:w="0" w:type="dxa"/>
          <w:bottom w:w="0" w:type="dxa"/>
          <w:right w:w="0" w:type="dxa"/>
        </w:tblCellMar>
      </w:tblPr>
      <w:tr>
        <w:trPr>
          <w:trHeight w:val="151"/>
        </w:trPr>
        <w:tc>
          <w:tcPr>
            <w:tcW w:w="35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3"/>
              <w:spacing w:after="0" w:line="151" w:lineRule="exact"/>
              <w:rPr>
                <w:sz w:val="20"/>
                <w:szCs w:val="20"/>
                <w:color w:val="auto"/>
              </w:rPr>
            </w:pPr>
            <w:r>
              <w:rPr>
                <w:rFonts w:ascii="Arial" w:cs="Arial" w:eastAsia="Arial" w:hAnsi="Arial"/>
                <w:sz w:val="15"/>
                <w:szCs w:val="15"/>
                <w:b w:val="1"/>
                <w:bCs w:val="1"/>
                <w:color w:val="auto"/>
                <w:w w:val="95"/>
              </w:rPr>
              <w:t>2017</w:t>
            </w:r>
          </w:p>
        </w:tc>
        <w:tc>
          <w:tcPr>
            <w:tcW w:w="3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70"/>
              <w:spacing w:after="0" w:line="151" w:lineRule="exact"/>
              <w:rPr>
                <w:sz w:val="20"/>
                <w:szCs w:val="20"/>
                <w:color w:val="auto"/>
              </w:rPr>
            </w:pPr>
            <w:r>
              <w:rPr>
                <w:rFonts w:ascii="Arial" w:cs="Arial" w:eastAsia="Arial" w:hAnsi="Arial"/>
                <w:sz w:val="15"/>
                <w:szCs w:val="15"/>
                <w:b w:val="1"/>
                <w:bCs w:val="1"/>
                <w:color w:val="auto"/>
                <w:w w:val="83"/>
              </w:rPr>
              <w:t>2018</w:t>
            </w:r>
          </w:p>
        </w:tc>
        <w:tc>
          <w:tcPr>
            <w:tcW w:w="60" w:type="dxa"/>
            <w:vAlign w:val="bottom"/>
          </w:tcPr>
          <w:p>
            <w:pPr>
              <w:spacing w:after="0"/>
              <w:rPr>
                <w:sz w:val="13"/>
                <w:szCs w:val="13"/>
                <w:color w:val="auto"/>
              </w:rPr>
            </w:pPr>
          </w:p>
        </w:tc>
      </w:tr>
      <w:tr>
        <w:trPr>
          <w:trHeight w:val="151"/>
        </w:trPr>
        <w:tc>
          <w:tcPr>
            <w:tcW w:w="35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4"/>
          </w:tcPr>
          <w:p>
            <w:pPr>
              <w:jc w:val="right"/>
              <w:spacing w:after="0" w:line="151" w:lineRule="exact"/>
              <w:rPr>
                <w:sz w:val="20"/>
                <w:szCs w:val="20"/>
                <w:color w:val="auto"/>
              </w:rPr>
            </w:pPr>
            <w:r>
              <w:rPr>
                <w:rFonts w:ascii="Arial" w:cs="Arial" w:eastAsia="Arial" w:hAnsi="Arial"/>
                <w:sz w:val="15"/>
                <w:szCs w:val="15"/>
                <w:b w:val="1"/>
                <w:bCs w:val="1"/>
                <w:color w:val="auto"/>
              </w:rPr>
              <w:t>(In thousands)</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8"/>
        </w:trPr>
        <w:tc>
          <w:tcPr>
            <w:tcW w:w="3520" w:type="dxa"/>
            <w:vAlign w:val="bottom"/>
            <w:shd w:val="clear" w:color="auto" w:fill="CCEEFF"/>
          </w:tcPr>
          <w:p>
            <w:pPr>
              <w:spacing w:after="0"/>
              <w:rPr>
                <w:sz w:val="20"/>
                <w:szCs w:val="20"/>
                <w:color w:val="auto"/>
              </w:rPr>
            </w:pPr>
            <w:r>
              <w:rPr>
                <w:rFonts w:ascii="Arial" w:cs="Arial" w:eastAsia="Arial" w:hAnsi="Arial"/>
                <w:sz w:val="19"/>
                <w:szCs w:val="19"/>
                <w:color w:val="auto"/>
              </w:rPr>
              <w:t>Research and development</w:t>
            </w:r>
          </w:p>
        </w:tc>
        <w:tc>
          <w:tcPr>
            <w:tcW w:w="350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3,745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2"/>
              </w:rPr>
              <w:t>2,520</w:t>
            </w:r>
          </w:p>
        </w:tc>
      </w:tr>
      <w:tr>
        <w:trPr>
          <w:trHeight w:val="228"/>
        </w:trPr>
        <w:tc>
          <w:tcPr>
            <w:tcW w:w="3520" w:type="dxa"/>
            <w:vAlign w:val="bottom"/>
          </w:tcPr>
          <w:p>
            <w:pPr>
              <w:spacing w:after="0"/>
              <w:rPr>
                <w:sz w:val="20"/>
                <w:szCs w:val="20"/>
                <w:color w:val="auto"/>
              </w:rPr>
            </w:pPr>
            <w:r>
              <w:rPr>
                <w:rFonts w:ascii="Arial" w:cs="Arial" w:eastAsia="Arial" w:hAnsi="Arial"/>
                <w:sz w:val="19"/>
                <w:szCs w:val="19"/>
                <w:color w:val="auto"/>
              </w:rPr>
              <w:t>General and administrative</w:t>
            </w:r>
          </w:p>
        </w:tc>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513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9"/>
                <w:szCs w:val="19"/>
                <w:color w:val="auto"/>
                <w:w w:val="92"/>
              </w:rPr>
              <w:t>1,745</w:t>
            </w:r>
          </w:p>
        </w:tc>
      </w:tr>
      <w:tr>
        <w:trPr>
          <w:trHeight w:val="29"/>
        </w:trPr>
        <w:tc>
          <w:tcPr>
            <w:tcW w:w="35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35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stock-based compensation</w:t>
            </w:r>
          </w:p>
        </w:tc>
        <w:tc>
          <w:tcPr>
            <w:tcW w:w="350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4,258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2"/>
              </w:rPr>
              <w:t>4,265</w:t>
            </w:r>
          </w:p>
        </w:tc>
      </w:tr>
      <w:tr>
        <w:trPr>
          <w:trHeight w:val="20"/>
        </w:trPr>
        <w:tc>
          <w:tcPr>
            <w:tcW w:w="35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1"/>
        </w:trPr>
        <w:tc>
          <w:tcPr>
            <w:tcW w:w="3520" w:type="dxa"/>
            <w:vAlign w:val="bottom"/>
          </w:tcPr>
          <w:p>
            <w:pPr>
              <w:spacing w:after="0"/>
              <w:rPr>
                <w:sz w:val="24"/>
                <w:szCs w:val="24"/>
                <w:color w:val="auto"/>
              </w:rPr>
            </w:pPr>
          </w:p>
        </w:tc>
        <w:tc>
          <w:tcPr>
            <w:tcW w:w="3500" w:type="dxa"/>
            <w:vAlign w:val="bottom"/>
            <w:gridSpan w:val="2"/>
          </w:tcPr>
          <w:p>
            <w:pPr>
              <w:jc w:val="right"/>
              <w:ind w:right="2420"/>
              <w:spacing w:after="0"/>
              <w:rPr>
                <w:sz w:val="20"/>
                <w:szCs w:val="20"/>
                <w:color w:val="auto"/>
              </w:rPr>
            </w:pPr>
            <w:r>
              <w:rPr>
                <w:rFonts w:ascii="Arial" w:cs="Arial" w:eastAsia="Arial" w:hAnsi="Arial"/>
                <w:sz w:val="19"/>
                <w:szCs w:val="19"/>
                <w:color w:val="auto"/>
              </w:rPr>
              <w:t>F-36</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2240" w:h="15840" w:orient="portrait"/>
          <w:cols w:equalWidth="0" w:num="1">
            <w:col w:w="11820"/>
          </w:cols>
          <w:pgMar w:left="120" w:top="336" w:right="300" w:bottom="1440" w:gutter="0" w:footer="0" w:header="0"/>
        </w:sectPr>
      </w:pPr>
    </w:p>
    <w:bookmarkStart w:id="227" w:name="page228"/>
    <w:bookmarkEnd w:id="22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Notes to Unaudited Interim Condensed Consolidated Financial Statements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Restricted Common Stock</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Activity for the restricted common stock is shown below:</w:t>
      </w:r>
    </w:p>
    <w:p>
      <w:pPr>
        <w:spacing w:after="0" w:line="242" w:lineRule="exact"/>
        <w:rPr>
          <w:sz w:val="20"/>
          <w:szCs w:val="20"/>
          <w:color w:val="auto"/>
        </w:rPr>
      </w:pPr>
    </w:p>
    <w:tbl>
      <w:tblPr>
        <w:tblLayout w:type="fixed"/>
        <w:tblInd w:w="1580" w:type="dxa"/>
        <w:tblCellMar>
          <w:top w:w="0" w:type="dxa"/>
          <w:left w:w="0" w:type="dxa"/>
          <w:bottom w:w="0" w:type="dxa"/>
          <w:right w:w="0" w:type="dxa"/>
        </w:tblCellMar>
      </w:tblPr>
      <w:tr>
        <w:trPr>
          <w:trHeight w:val="172"/>
        </w:trPr>
        <w:tc>
          <w:tcPr>
            <w:tcW w:w="5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w w:val="88"/>
              </w:rPr>
              <w:t>Weighted Average</w:t>
            </w:r>
          </w:p>
        </w:tc>
      </w:tr>
      <w:tr>
        <w:trPr>
          <w:trHeight w:val="157"/>
        </w:trPr>
        <w:tc>
          <w:tcPr>
            <w:tcW w:w="5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20"/>
              <w:spacing w:after="0" w:line="157" w:lineRule="exact"/>
              <w:rPr>
                <w:sz w:val="20"/>
                <w:szCs w:val="20"/>
                <w:color w:val="auto"/>
              </w:rPr>
            </w:pPr>
            <w:r>
              <w:rPr>
                <w:rFonts w:ascii="Arial" w:cs="Arial" w:eastAsia="Arial" w:hAnsi="Arial"/>
                <w:sz w:val="15"/>
                <w:szCs w:val="15"/>
                <w:b w:val="1"/>
                <w:bCs w:val="1"/>
                <w:color w:val="auto"/>
                <w:w w:val="96"/>
              </w:rPr>
              <w:t>Grant Date</w:t>
            </w:r>
          </w:p>
        </w:tc>
      </w:tr>
      <w:tr>
        <w:trPr>
          <w:trHeight w:val="157"/>
        </w:trPr>
        <w:tc>
          <w:tcPr>
            <w:tcW w:w="5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20"/>
              <w:spacing w:after="0" w:line="157" w:lineRule="exact"/>
              <w:rPr>
                <w:sz w:val="20"/>
                <w:szCs w:val="20"/>
                <w:color w:val="auto"/>
              </w:rPr>
            </w:pPr>
            <w:r>
              <w:rPr>
                <w:rFonts w:ascii="Arial" w:cs="Arial" w:eastAsia="Arial" w:hAnsi="Arial"/>
                <w:sz w:val="15"/>
                <w:szCs w:val="15"/>
                <w:b w:val="1"/>
                <w:bCs w:val="1"/>
                <w:color w:val="auto"/>
                <w:w w:val="91"/>
              </w:rPr>
              <w:t>Fair Value</w:t>
            </w:r>
          </w:p>
        </w:tc>
      </w:tr>
      <w:tr>
        <w:trPr>
          <w:trHeight w:val="180"/>
        </w:trPr>
        <w:tc>
          <w:tcPr>
            <w:tcW w:w="5320" w:type="dxa"/>
            <w:vAlign w:val="bottom"/>
          </w:tcPr>
          <w:p>
            <w:pPr>
              <w:spacing w:after="0"/>
              <w:rPr>
                <w:sz w:val="15"/>
                <w:szCs w:val="15"/>
                <w:color w:val="auto"/>
              </w:rPr>
            </w:pPr>
          </w:p>
        </w:tc>
        <w:tc>
          <w:tcPr>
            <w:tcW w:w="176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w w:val="89"/>
              </w:rPr>
              <w:t>Number of Shares</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per Share</w:t>
            </w:r>
          </w:p>
        </w:tc>
      </w:tr>
      <w:tr>
        <w:trPr>
          <w:trHeight w:val="194"/>
        </w:trPr>
        <w:tc>
          <w:tcPr>
            <w:tcW w:w="53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9"/>
                <w:szCs w:val="19"/>
                <w:color w:val="auto"/>
              </w:rPr>
              <w:t>Unvested restricted common stock as of December 31,</w:t>
            </w:r>
          </w:p>
        </w:tc>
        <w:tc>
          <w:tcPr>
            <w:tcW w:w="1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42"/>
        </w:trPr>
        <w:tc>
          <w:tcPr>
            <w:tcW w:w="5320" w:type="dxa"/>
            <w:vAlign w:val="bottom"/>
            <w:shd w:val="clear" w:color="auto" w:fill="CCEEFF"/>
          </w:tcPr>
          <w:p>
            <w:pPr>
              <w:jc w:val="right"/>
              <w:ind w:right="4665"/>
              <w:spacing w:after="0"/>
              <w:rPr>
                <w:sz w:val="20"/>
                <w:szCs w:val="20"/>
                <w:color w:val="auto"/>
              </w:rPr>
            </w:pPr>
            <w:r>
              <w:rPr>
                <w:rFonts w:ascii="Arial" w:cs="Arial" w:eastAsia="Arial" w:hAnsi="Arial"/>
                <w:sz w:val="19"/>
                <w:szCs w:val="19"/>
                <w:color w:val="auto"/>
              </w:rPr>
              <w:t>2017</w:t>
            </w:r>
          </w:p>
        </w:tc>
        <w:tc>
          <w:tcPr>
            <w:tcW w:w="1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3,148,813</w:t>
            </w:r>
          </w:p>
        </w:tc>
        <w:tc>
          <w:tcPr>
            <w:tcW w:w="5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6.95</w:t>
            </w:r>
          </w:p>
        </w:tc>
      </w:tr>
      <w:tr>
        <w:trPr>
          <w:trHeight w:val="228"/>
        </w:trPr>
        <w:tc>
          <w:tcPr>
            <w:tcW w:w="5320" w:type="dxa"/>
            <w:vAlign w:val="bottom"/>
          </w:tcPr>
          <w:p>
            <w:pPr>
              <w:ind w:left="380"/>
              <w:spacing w:after="0"/>
              <w:rPr>
                <w:sz w:val="20"/>
                <w:szCs w:val="20"/>
                <w:color w:val="auto"/>
              </w:rPr>
            </w:pPr>
            <w:r>
              <w:rPr>
                <w:rFonts w:ascii="Arial" w:cs="Arial" w:eastAsia="Arial" w:hAnsi="Arial"/>
                <w:sz w:val="19"/>
                <w:szCs w:val="19"/>
                <w:color w:val="auto"/>
              </w:rPr>
              <w:t>Vested</w:t>
            </w:r>
          </w:p>
        </w:tc>
        <w:tc>
          <w:tcPr>
            <w:tcW w:w="1760" w:type="dxa"/>
            <w:vAlign w:val="bottom"/>
            <w:gridSpan w:val="2"/>
          </w:tcPr>
          <w:p>
            <w:pPr>
              <w:jc w:val="right"/>
              <w:ind w:right="520"/>
              <w:spacing w:after="0"/>
              <w:rPr>
                <w:sz w:val="20"/>
                <w:szCs w:val="20"/>
                <w:color w:val="auto"/>
              </w:rPr>
            </w:pPr>
            <w:r>
              <w:rPr>
                <w:rFonts w:ascii="Arial" w:cs="Arial" w:eastAsia="Arial" w:hAnsi="Arial"/>
                <w:sz w:val="19"/>
                <w:szCs w:val="19"/>
                <w:color w:val="auto"/>
              </w:rPr>
              <w:t>(976,442)</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6.95</w:t>
            </w:r>
          </w:p>
        </w:tc>
      </w:tr>
      <w:tr>
        <w:trPr>
          <w:trHeight w:val="228"/>
        </w:trPr>
        <w:tc>
          <w:tcPr>
            <w:tcW w:w="53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Cancelled/forfeited</w:t>
            </w:r>
          </w:p>
        </w:tc>
        <w:tc>
          <w:tcPr>
            <w:tcW w:w="1760" w:type="dxa"/>
            <w:vAlign w:val="bottom"/>
            <w:gridSpan w:val="2"/>
            <w:shd w:val="clear" w:color="auto" w:fill="CCEEFF"/>
          </w:tcPr>
          <w:p>
            <w:pPr>
              <w:jc w:val="right"/>
              <w:ind w:right="520"/>
              <w:spacing w:after="0"/>
              <w:rPr>
                <w:sz w:val="20"/>
                <w:szCs w:val="20"/>
                <w:color w:val="auto"/>
              </w:rPr>
            </w:pPr>
            <w:r>
              <w:rPr>
                <w:rFonts w:ascii="Arial" w:cs="Arial" w:eastAsia="Arial" w:hAnsi="Arial"/>
                <w:sz w:val="19"/>
                <w:szCs w:val="19"/>
                <w:color w:val="auto"/>
              </w:rPr>
              <w:t>(11,324)</w:t>
            </w: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6.95</w:t>
            </w:r>
          </w:p>
        </w:tc>
      </w:tr>
      <w:tr>
        <w:trPr>
          <w:trHeight w:val="222"/>
        </w:trPr>
        <w:tc>
          <w:tcPr>
            <w:tcW w:w="5320" w:type="dxa"/>
            <w:vAlign w:val="bottom"/>
          </w:tcPr>
          <w:p>
            <w:pPr>
              <w:spacing w:after="0"/>
              <w:rPr>
                <w:sz w:val="20"/>
                <w:szCs w:val="20"/>
                <w:color w:val="auto"/>
              </w:rPr>
            </w:pPr>
            <w:r>
              <w:rPr>
                <w:rFonts w:ascii="Arial" w:cs="Arial" w:eastAsia="Arial" w:hAnsi="Arial"/>
                <w:sz w:val="19"/>
                <w:szCs w:val="19"/>
                <w:color w:val="auto"/>
              </w:rPr>
              <w:t>Unvested restricted common stock as of September 30,</w:t>
            </w:r>
          </w:p>
        </w:tc>
        <w:tc>
          <w:tcPr>
            <w:tcW w:w="11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5320" w:type="dxa"/>
            <w:vAlign w:val="bottom"/>
          </w:tcPr>
          <w:p>
            <w:pPr>
              <w:jc w:val="right"/>
              <w:ind w:right="4665"/>
              <w:spacing w:after="0"/>
              <w:rPr>
                <w:sz w:val="20"/>
                <w:szCs w:val="20"/>
                <w:color w:val="auto"/>
              </w:rPr>
            </w:pPr>
            <w:r>
              <w:rPr>
                <w:rFonts w:ascii="Arial" w:cs="Arial" w:eastAsia="Arial" w:hAnsi="Arial"/>
                <w:sz w:val="19"/>
                <w:szCs w:val="19"/>
                <w:color w:val="auto"/>
              </w:rPr>
              <w:t>2018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2,161,047</w:t>
            </w: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6.95</w:t>
            </w:r>
          </w:p>
        </w:tc>
      </w:tr>
      <w:tr>
        <w:trPr>
          <w:trHeight w:val="20"/>
        </w:trPr>
        <w:tc>
          <w:tcPr>
            <w:tcW w:w="5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right="360"/>
        <w:spacing w:after="0" w:line="263" w:lineRule="auto"/>
        <w:rPr>
          <w:sz w:val="20"/>
          <w:szCs w:val="20"/>
          <w:color w:val="auto"/>
        </w:rPr>
      </w:pPr>
      <w:r>
        <w:rPr>
          <w:rFonts w:ascii="Arial" w:cs="Arial" w:eastAsia="Arial" w:hAnsi="Arial"/>
          <w:sz w:val="19"/>
          <w:szCs w:val="19"/>
          <w:color w:val="auto"/>
        </w:rPr>
        <w:t>The Company’s outstanding common stock, as presented, includes shares which are subject to repurchase. As of September 30, 2018, total unrecognized stock-based compensation related to unvested restricted common stock issued was $9.4 million, which the Company expects to recognize over a remaining weighted-average period of 2.6 years.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2017 Stock Option and Grant Plan</w:t>
      </w:r>
    </w:p>
    <w:p>
      <w:pPr>
        <w:spacing w:after="0" w:line="124" w:lineRule="exact"/>
        <w:rPr>
          <w:sz w:val="20"/>
          <w:szCs w:val="20"/>
          <w:color w:val="auto"/>
        </w:rPr>
      </w:pPr>
    </w:p>
    <w:p>
      <w:pPr>
        <w:ind w:left="640" w:right="240"/>
        <w:spacing w:after="0" w:line="308" w:lineRule="auto"/>
        <w:rPr>
          <w:sz w:val="20"/>
          <w:szCs w:val="20"/>
          <w:color w:val="auto"/>
        </w:rPr>
      </w:pPr>
      <w:r>
        <w:rPr>
          <w:rFonts w:ascii="Arial" w:cs="Arial" w:eastAsia="Arial" w:hAnsi="Arial"/>
          <w:sz w:val="17"/>
          <w:szCs w:val="17"/>
          <w:color w:val="auto"/>
        </w:rPr>
        <w:t>On October 13, 2017, the Company adopted the 2017 Plan under which the board of directors may issue stock options, restricted stock awards, unrestricted stock awards, and restricted stock units to employees, directors, and consultants. As of September 30, 2018, the Company had reserved 8,899,858 shares of common stock for issuance under the Plan, of which 2,136,250 shares were available for issuance.</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Activity for the options to purchase common stock shown below:</w:t>
      </w:r>
    </w:p>
    <w:p>
      <w:pPr>
        <w:spacing w:after="0" w:line="242" w:lineRule="exact"/>
        <w:rPr>
          <w:sz w:val="20"/>
          <w:szCs w:val="20"/>
          <w:color w:val="auto"/>
        </w:rPr>
      </w:pPr>
    </w:p>
    <w:tbl>
      <w:tblPr>
        <w:tblLayout w:type="fixed"/>
        <w:tblInd w:w="660" w:type="dxa"/>
        <w:tblCellMar>
          <w:top w:w="0" w:type="dxa"/>
          <w:left w:w="0" w:type="dxa"/>
          <w:bottom w:w="0" w:type="dxa"/>
          <w:right w:w="0" w:type="dxa"/>
        </w:tblCellMar>
      </w:tblPr>
      <w:tr>
        <w:trPr>
          <w:trHeight w:val="172"/>
        </w:trPr>
        <w:tc>
          <w:tcPr>
            <w:tcW w:w="4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20" w:type="dxa"/>
            <w:vAlign w:val="bottom"/>
            <w:gridSpan w:val="3"/>
          </w:tcPr>
          <w:p>
            <w:pPr>
              <w:jc w:val="right"/>
              <w:ind w:right="640"/>
              <w:spacing w:after="0"/>
              <w:rPr>
                <w:sz w:val="20"/>
                <w:szCs w:val="20"/>
                <w:color w:val="auto"/>
              </w:rPr>
            </w:pPr>
            <w:r>
              <w:rPr>
                <w:rFonts w:ascii="Arial" w:cs="Arial" w:eastAsia="Arial" w:hAnsi="Arial"/>
                <w:sz w:val="15"/>
                <w:szCs w:val="15"/>
                <w:b w:val="1"/>
                <w:bCs w:val="1"/>
                <w:color w:val="auto"/>
                <w:w w:val="88"/>
              </w:rPr>
              <w:t>Weighted Average</w:t>
            </w:r>
          </w:p>
        </w:tc>
        <w:tc>
          <w:tcPr>
            <w:tcW w:w="1840" w:type="dxa"/>
            <w:vAlign w:val="bottom"/>
            <w:gridSpan w:val="2"/>
          </w:tcPr>
          <w:p>
            <w:pPr>
              <w:jc w:val="right"/>
              <w:ind w:right="660"/>
              <w:spacing w:after="0"/>
              <w:rPr>
                <w:sz w:val="20"/>
                <w:szCs w:val="20"/>
                <w:color w:val="auto"/>
              </w:rPr>
            </w:pPr>
            <w:r>
              <w:rPr>
                <w:rFonts w:ascii="Arial" w:cs="Arial" w:eastAsia="Arial" w:hAnsi="Arial"/>
                <w:sz w:val="15"/>
                <w:szCs w:val="15"/>
                <w:b w:val="1"/>
                <w:bCs w:val="1"/>
                <w:color w:val="auto"/>
                <w:w w:val="88"/>
              </w:rPr>
              <w:t>Weighted Average</w:t>
            </w:r>
          </w:p>
        </w:tc>
        <w:tc>
          <w:tcPr>
            <w:tcW w:w="12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8"/>
              </w:rPr>
              <w:t>Aggregate</w:t>
            </w:r>
          </w:p>
        </w:tc>
        <w:tc>
          <w:tcPr>
            <w:tcW w:w="0" w:type="dxa"/>
            <w:vAlign w:val="bottom"/>
          </w:tcPr>
          <w:p>
            <w:pPr>
              <w:spacing w:after="0"/>
              <w:rPr>
                <w:sz w:val="1"/>
                <w:szCs w:val="1"/>
                <w:color w:val="auto"/>
              </w:rPr>
            </w:pPr>
          </w:p>
        </w:tc>
      </w:tr>
      <w:tr>
        <w:trPr>
          <w:trHeight w:val="157"/>
        </w:trPr>
        <w:tc>
          <w:tcPr>
            <w:tcW w:w="4500" w:type="dxa"/>
            <w:vAlign w:val="bottom"/>
          </w:tcPr>
          <w:p>
            <w:pPr>
              <w:spacing w:after="0"/>
              <w:rPr>
                <w:sz w:val="13"/>
                <w:szCs w:val="13"/>
                <w:color w:val="auto"/>
              </w:rPr>
            </w:pPr>
          </w:p>
        </w:tc>
        <w:tc>
          <w:tcPr>
            <w:tcW w:w="1520" w:type="dxa"/>
            <w:vAlign w:val="bottom"/>
            <w:gridSpan w:val="2"/>
          </w:tcPr>
          <w:p>
            <w:pPr>
              <w:jc w:val="right"/>
              <w:ind w:right="760"/>
              <w:spacing w:after="0" w:line="157" w:lineRule="exact"/>
              <w:rPr>
                <w:sz w:val="20"/>
                <w:szCs w:val="20"/>
                <w:color w:val="auto"/>
              </w:rPr>
            </w:pPr>
            <w:r>
              <w:rPr>
                <w:rFonts w:ascii="Arial" w:cs="Arial" w:eastAsia="Arial" w:hAnsi="Arial"/>
                <w:sz w:val="15"/>
                <w:szCs w:val="15"/>
                <w:b w:val="1"/>
                <w:bCs w:val="1"/>
                <w:color w:val="auto"/>
                <w:w w:val="98"/>
              </w:rPr>
              <w:t>Number of</w:t>
            </w:r>
          </w:p>
        </w:tc>
        <w:tc>
          <w:tcPr>
            <w:tcW w:w="120" w:type="dxa"/>
            <w:vAlign w:val="bottom"/>
          </w:tcPr>
          <w:p>
            <w:pPr>
              <w:spacing w:after="0"/>
              <w:rPr>
                <w:sz w:val="13"/>
                <w:szCs w:val="13"/>
                <w:color w:val="auto"/>
              </w:rPr>
            </w:pPr>
          </w:p>
        </w:tc>
        <w:tc>
          <w:tcPr>
            <w:tcW w:w="1700" w:type="dxa"/>
            <w:vAlign w:val="bottom"/>
            <w:gridSpan w:val="2"/>
          </w:tcPr>
          <w:p>
            <w:pPr>
              <w:jc w:val="right"/>
              <w:ind w:right="760"/>
              <w:spacing w:after="0" w:line="157" w:lineRule="exact"/>
              <w:rPr>
                <w:sz w:val="20"/>
                <w:szCs w:val="20"/>
                <w:color w:val="auto"/>
              </w:rPr>
            </w:pPr>
            <w:r>
              <w:rPr>
                <w:rFonts w:ascii="Arial" w:cs="Arial" w:eastAsia="Arial" w:hAnsi="Arial"/>
                <w:sz w:val="15"/>
                <w:szCs w:val="15"/>
                <w:b w:val="1"/>
                <w:bCs w:val="1"/>
                <w:color w:val="auto"/>
                <w:w w:val="89"/>
              </w:rPr>
              <w:t>Exercise Price</w:t>
            </w:r>
          </w:p>
        </w:tc>
        <w:tc>
          <w:tcPr>
            <w:tcW w:w="1840" w:type="dxa"/>
            <w:vAlign w:val="bottom"/>
            <w:gridSpan w:val="2"/>
          </w:tcPr>
          <w:p>
            <w:pPr>
              <w:ind w:left="240"/>
              <w:spacing w:after="0" w:line="157" w:lineRule="exact"/>
              <w:rPr>
                <w:sz w:val="20"/>
                <w:szCs w:val="20"/>
                <w:color w:val="auto"/>
              </w:rPr>
            </w:pPr>
            <w:r>
              <w:rPr>
                <w:rFonts w:ascii="Arial" w:cs="Arial" w:eastAsia="Arial" w:hAnsi="Arial"/>
                <w:sz w:val="15"/>
                <w:szCs w:val="15"/>
                <w:b w:val="1"/>
                <w:bCs w:val="1"/>
                <w:color w:val="auto"/>
              </w:rPr>
              <w:t>Remaining</w:t>
            </w:r>
          </w:p>
        </w:tc>
        <w:tc>
          <w:tcPr>
            <w:tcW w:w="120" w:type="dxa"/>
            <w:vAlign w:val="bottom"/>
          </w:tcPr>
          <w:p>
            <w:pPr>
              <w:spacing w:after="0"/>
              <w:rPr>
                <w:sz w:val="13"/>
                <w:szCs w:val="13"/>
                <w:color w:val="auto"/>
              </w:rPr>
            </w:pPr>
          </w:p>
        </w:tc>
        <w:tc>
          <w:tcPr>
            <w:tcW w:w="880" w:type="dxa"/>
            <w:vAlign w:val="bottom"/>
            <w:gridSpan w:val="2"/>
          </w:tcPr>
          <w:p>
            <w:pPr>
              <w:jc w:val="center"/>
              <w:ind w:right="180"/>
              <w:spacing w:after="0" w:line="157" w:lineRule="exact"/>
              <w:rPr>
                <w:sz w:val="20"/>
                <w:szCs w:val="20"/>
                <w:color w:val="auto"/>
              </w:rPr>
            </w:pPr>
            <w:r>
              <w:rPr>
                <w:rFonts w:ascii="Arial" w:cs="Arial" w:eastAsia="Arial" w:hAnsi="Arial"/>
                <w:sz w:val="15"/>
                <w:szCs w:val="15"/>
                <w:b w:val="1"/>
                <w:bCs w:val="1"/>
                <w:color w:val="auto"/>
                <w:w w:val="92"/>
              </w:rPr>
              <w:t>Intrinsic</w:t>
            </w:r>
          </w:p>
        </w:tc>
        <w:tc>
          <w:tcPr>
            <w:tcW w:w="0" w:type="dxa"/>
            <w:vAlign w:val="bottom"/>
          </w:tcPr>
          <w:p>
            <w:pPr>
              <w:spacing w:after="0"/>
              <w:rPr>
                <w:sz w:val="1"/>
                <w:szCs w:val="1"/>
                <w:color w:val="auto"/>
              </w:rPr>
            </w:pPr>
          </w:p>
        </w:tc>
      </w:tr>
      <w:tr>
        <w:trPr>
          <w:trHeight w:val="180"/>
        </w:trPr>
        <w:tc>
          <w:tcPr>
            <w:tcW w:w="4500" w:type="dxa"/>
            <w:vAlign w:val="bottom"/>
          </w:tcPr>
          <w:p>
            <w:pPr>
              <w:spacing w:after="0"/>
              <w:rPr>
                <w:sz w:val="15"/>
                <w:szCs w:val="15"/>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5"/>
                <w:szCs w:val="15"/>
                <w:b w:val="1"/>
                <w:bCs w:val="1"/>
                <w:color w:val="auto"/>
              </w:rPr>
              <w:t>Options</w:t>
            </w:r>
          </w:p>
        </w:tc>
        <w:tc>
          <w:tcPr>
            <w:tcW w:w="120" w:type="dxa"/>
            <w:vAlign w:val="bottom"/>
          </w:tcPr>
          <w:p>
            <w:pPr>
              <w:spacing w:after="0"/>
              <w:rPr>
                <w:sz w:val="15"/>
                <w:szCs w:val="15"/>
                <w:color w:val="auto"/>
              </w:rPr>
            </w:pPr>
          </w:p>
        </w:tc>
        <w:tc>
          <w:tcPr>
            <w:tcW w:w="1700" w:type="dxa"/>
            <w:vAlign w:val="bottom"/>
            <w:gridSpan w:val="2"/>
          </w:tcPr>
          <w:p>
            <w:pPr>
              <w:jc w:val="right"/>
              <w:ind w:right="900"/>
              <w:spacing w:after="0"/>
              <w:rPr>
                <w:sz w:val="20"/>
                <w:szCs w:val="20"/>
                <w:color w:val="auto"/>
              </w:rPr>
            </w:pPr>
            <w:r>
              <w:rPr>
                <w:rFonts w:ascii="Arial" w:cs="Arial" w:eastAsia="Arial" w:hAnsi="Arial"/>
                <w:sz w:val="15"/>
                <w:szCs w:val="15"/>
                <w:b w:val="1"/>
                <w:bCs w:val="1"/>
                <w:color w:val="auto"/>
              </w:rPr>
              <w:t>Per Share</w:t>
            </w:r>
          </w:p>
        </w:tc>
        <w:tc>
          <w:tcPr>
            <w:tcW w:w="1840" w:type="dxa"/>
            <w:vAlign w:val="bottom"/>
            <w:gridSpan w:val="2"/>
          </w:tcPr>
          <w:p>
            <w:pPr>
              <w:jc w:val="right"/>
              <w:ind w:right="660"/>
              <w:spacing w:after="0"/>
              <w:rPr>
                <w:sz w:val="20"/>
                <w:szCs w:val="20"/>
                <w:color w:val="auto"/>
              </w:rPr>
            </w:pPr>
            <w:r>
              <w:rPr>
                <w:rFonts w:ascii="Arial" w:cs="Arial" w:eastAsia="Arial" w:hAnsi="Arial"/>
                <w:sz w:val="15"/>
                <w:szCs w:val="15"/>
                <w:b w:val="1"/>
                <w:bCs w:val="1"/>
                <w:color w:val="auto"/>
                <w:w w:val="93"/>
              </w:rPr>
              <w:t>Contractual Term</w:t>
            </w:r>
          </w:p>
        </w:tc>
        <w:tc>
          <w:tcPr>
            <w:tcW w:w="12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4"/>
              </w:rPr>
              <w:t>Value</w:t>
            </w:r>
          </w:p>
        </w:tc>
        <w:tc>
          <w:tcPr>
            <w:tcW w:w="0" w:type="dxa"/>
            <w:vAlign w:val="bottom"/>
          </w:tcPr>
          <w:p>
            <w:pPr>
              <w:spacing w:after="0"/>
              <w:rPr>
                <w:sz w:val="1"/>
                <w:szCs w:val="1"/>
                <w:color w:val="auto"/>
              </w:rPr>
            </w:pPr>
          </w:p>
        </w:tc>
      </w:tr>
      <w:tr>
        <w:trPr>
          <w:trHeight w:val="151"/>
        </w:trPr>
        <w:tc>
          <w:tcPr>
            <w:tcW w:w="45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Borders>
              <w:top w:val="single" w:sz="8" w:color="auto"/>
            </w:tcBorders>
          </w:tcPr>
          <w:p>
            <w:pPr>
              <w:jc w:val="right"/>
              <w:ind w:right="194"/>
              <w:spacing w:after="0" w:line="151" w:lineRule="exact"/>
              <w:rPr>
                <w:sz w:val="20"/>
                <w:szCs w:val="20"/>
                <w:color w:val="auto"/>
              </w:rPr>
            </w:pPr>
            <w:r>
              <w:rPr>
                <w:rFonts w:ascii="Arial" w:cs="Arial" w:eastAsia="Arial" w:hAnsi="Arial"/>
                <w:sz w:val="15"/>
                <w:szCs w:val="15"/>
                <w:b w:val="1"/>
                <w:bCs w:val="1"/>
                <w:color w:val="auto"/>
              </w:rPr>
              <w:t>(In years)</w:t>
            </w:r>
          </w:p>
        </w:tc>
        <w:tc>
          <w:tcPr>
            <w:tcW w:w="640" w:type="dxa"/>
            <w:vAlign w:val="bottom"/>
          </w:tcPr>
          <w:p>
            <w:pPr>
              <w:spacing w:after="0"/>
              <w:rPr>
                <w:sz w:val="13"/>
                <w:szCs w:val="13"/>
                <w:color w:val="auto"/>
              </w:rPr>
            </w:pPr>
          </w:p>
        </w:tc>
        <w:tc>
          <w:tcPr>
            <w:tcW w:w="940" w:type="dxa"/>
            <w:vAlign w:val="bottom"/>
            <w:tcBorders>
              <w:top w:val="single" w:sz="8" w:color="auto"/>
            </w:tcBorders>
            <w:gridSpan w:val="2"/>
          </w:tcPr>
          <w:p>
            <w:pPr>
              <w:spacing w:after="0" w:line="151" w:lineRule="exact"/>
              <w:rPr>
                <w:sz w:val="20"/>
                <w:szCs w:val="20"/>
                <w:color w:val="auto"/>
              </w:rPr>
            </w:pPr>
            <w:r>
              <w:rPr>
                <w:rFonts w:ascii="Arial" w:cs="Arial" w:eastAsia="Arial" w:hAnsi="Arial"/>
                <w:sz w:val="15"/>
                <w:szCs w:val="15"/>
                <w:b w:val="1"/>
                <w:bCs w:val="1"/>
                <w:color w:val="auto"/>
                <w:w w:val="88"/>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spacing w:after="0"/>
              <w:rPr>
                <w:sz w:val="20"/>
                <w:szCs w:val="20"/>
                <w:color w:val="auto"/>
              </w:rPr>
            </w:pPr>
            <w:r>
              <w:rPr>
                <w:rFonts w:ascii="Arial" w:cs="Arial" w:eastAsia="Arial" w:hAnsi="Arial"/>
                <w:sz w:val="19"/>
                <w:szCs w:val="19"/>
                <w:color w:val="auto"/>
              </w:rPr>
              <w:t>Outstanding as of December 31, 2017</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9"/>
                <w:szCs w:val="19"/>
                <w:color w:val="auto"/>
              </w:rPr>
              <w:t>22,500</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700" w:type="dxa"/>
            <w:vAlign w:val="bottom"/>
            <w:gridSpan w:val="2"/>
            <w:shd w:val="clear" w:color="auto" w:fill="CCEEFF"/>
          </w:tcPr>
          <w:p>
            <w:pPr>
              <w:jc w:val="right"/>
              <w:ind w:right="640"/>
              <w:spacing w:after="0"/>
              <w:rPr>
                <w:sz w:val="20"/>
                <w:szCs w:val="20"/>
                <w:color w:val="auto"/>
              </w:rPr>
            </w:pPr>
            <w:r>
              <w:rPr>
                <w:rFonts w:ascii="Arial" w:cs="Arial" w:eastAsia="Arial" w:hAnsi="Arial"/>
                <w:sz w:val="19"/>
                <w:szCs w:val="19"/>
                <w:color w:val="auto"/>
              </w:rPr>
              <w:t>6.95</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9.7</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9"/>
                <w:szCs w:val="19"/>
                <w:color w:val="auto"/>
                <w:w w:val="94"/>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4500" w:type="dxa"/>
            <w:vAlign w:val="bottom"/>
          </w:tcPr>
          <w:p>
            <w:pPr>
              <w:ind w:left="380"/>
              <w:spacing w:after="0"/>
              <w:rPr>
                <w:sz w:val="20"/>
                <w:szCs w:val="20"/>
                <w:color w:val="auto"/>
              </w:rPr>
            </w:pPr>
            <w:r>
              <w:rPr>
                <w:rFonts w:ascii="Arial" w:cs="Arial" w:eastAsia="Arial" w:hAnsi="Arial"/>
                <w:sz w:val="19"/>
                <w:szCs w:val="19"/>
                <w:color w:val="auto"/>
              </w:rPr>
              <w:t>Granted</w:t>
            </w:r>
          </w:p>
        </w:tc>
        <w:tc>
          <w:tcPr>
            <w:tcW w:w="820" w:type="dxa"/>
            <w:vAlign w:val="bottom"/>
          </w:tcPr>
          <w:p>
            <w:pPr>
              <w:jc w:val="right"/>
              <w:spacing w:after="0"/>
              <w:rPr>
                <w:sz w:val="20"/>
                <w:szCs w:val="20"/>
                <w:color w:val="auto"/>
              </w:rPr>
            </w:pPr>
            <w:r>
              <w:rPr>
                <w:rFonts w:ascii="Arial" w:cs="Arial" w:eastAsia="Arial" w:hAnsi="Arial"/>
                <w:sz w:val="19"/>
                <w:szCs w:val="19"/>
                <w:color w:val="auto"/>
                <w:w w:val="94"/>
              </w:rPr>
              <w:t>3,042,000</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9"/>
                <w:szCs w:val="19"/>
                <w:color w:val="auto"/>
              </w:rPr>
              <w:t>8.15</w:t>
            </w: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Cancelled/forfeited</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9"/>
                <w:szCs w:val="19"/>
                <w:color w:val="auto"/>
              </w:rPr>
              <w:t>(16,000)</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640"/>
              <w:spacing w:after="0"/>
              <w:rPr>
                <w:sz w:val="20"/>
                <w:szCs w:val="20"/>
                <w:color w:val="auto"/>
              </w:rPr>
            </w:pPr>
            <w:r>
              <w:rPr>
                <w:rFonts w:ascii="Arial" w:cs="Arial" w:eastAsia="Arial" w:hAnsi="Arial"/>
                <w:sz w:val="19"/>
                <w:szCs w:val="19"/>
                <w:color w:val="auto"/>
              </w:rPr>
              <w:t>8.16</w:t>
            </w: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500" w:type="dxa"/>
            <w:vAlign w:val="bottom"/>
          </w:tcPr>
          <w:p>
            <w:pPr>
              <w:spacing w:after="0"/>
              <w:rPr>
                <w:sz w:val="20"/>
                <w:szCs w:val="20"/>
                <w:color w:val="auto"/>
              </w:rPr>
            </w:pPr>
            <w:r>
              <w:rPr>
                <w:rFonts w:ascii="Arial" w:cs="Arial" w:eastAsia="Arial" w:hAnsi="Arial"/>
                <w:sz w:val="19"/>
                <w:szCs w:val="19"/>
                <w:color w:val="auto"/>
              </w:rPr>
              <w:t>Outstanding as of September 30, 2018</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94"/>
              </w:rPr>
              <w:t>3,048,500</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9"/>
                <w:szCs w:val="19"/>
                <w:color w:val="auto"/>
              </w:rPr>
              <w:t>8.14</w:t>
            </w:r>
          </w:p>
        </w:tc>
        <w:tc>
          <w:tcPr>
            <w:tcW w:w="1200" w:type="dxa"/>
            <w:vAlign w:val="bottom"/>
          </w:tcPr>
          <w:p>
            <w:pPr>
              <w:jc w:val="right"/>
              <w:spacing w:after="0"/>
              <w:rPr>
                <w:sz w:val="20"/>
                <w:szCs w:val="20"/>
                <w:color w:val="auto"/>
              </w:rPr>
            </w:pPr>
            <w:r>
              <w:rPr>
                <w:rFonts w:ascii="Arial" w:cs="Arial" w:eastAsia="Arial" w:hAnsi="Arial"/>
                <w:sz w:val="19"/>
                <w:szCs w:val="19"/>
                <w:color w:val="auto"/>
              </w:rPr>
              <w:t>9.8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9"/>
                <w:szCs w:val="19"/>
                <w:color w:val="auto"/>
                <w:w w:val="94"/>
              </w:rPr>
              <w:t>$</w:t>
            </w:r>
          </w:p>
        </w:tc>
        <w:tc>
          <w:tcPr>
            <w:tcW w:w="880" w:type="dxa"/>
            <w:vAlign w:val="bottom"/>
            <w:gridSpan w:val="2"/>
          </w:tcPr>
          <w:p>
            <w:pPr>
              <w:jc w:val="right"/>
              <w:ind w:right="60"/>
              <w:spacing w:after="0"/>
              <w:rPr>
                <w:sz w:val="20"/>
                <w:szCs w:val="20"/>
                <w:color w:val="auto"/>
              </w:rPr>
            </w:pPr>
            <w:r>
              <w:rPr>
                <w:rFonts w:ascii="Arial" w:cs="Arial" w:eastAsia="Arial" w:hAnsi="Arial"/>
                <w:sz w:val="19"/>
                <w:szCs w:val="19"/>
                <w:color w:val="auto"/>
              </w:rPr>
              <w:t>6,083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500" w:type="dxa"/>
            <w:vAlign w:val="bottom"/>
            <w:shd w:val="clear" w:color="auto" w:fill="CCEEFF"/>
          </w:tcPr>
          <w:p>
            <w:pPr>
              <w:spacing w:after="0"/>
              <w:rPr>
                <w:sz w:val="20"/>
                <w:szCs w:val="20"/>
                <w:color w:val="auto"/>
              </w:rPr>
            </w:pPr>
            <w:r>
              <w:rPr>
                <w:rFonts w:ascii="Arial" w:cs="Arial" w:eastAsia="Arial" w:hAnsi="Arial"/>
                <w:sz w:val="19"/>
                <w:szCs w:val="19"/>
                <w:color w:val="auto"/>
              </w:rPr>
              <w:t>Exercisable as of September 30, 2018</w:t>
            </w:r>
          </w:p>
        </w:tc>
        <w:tc>
          <w:tcPr>
            <w:tcW w:w="8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121,354</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640"/>
              <w:spacing w:after="0"/>
              <w:rPr>
                <w:sz w:val="20"/>
                <w:szCs w:val="20"/>
                <w:color w:val="auto"/>
              </w:rPr>
            </w:pPr>
            <w:r>
              <w:rPr>
                <w:rFonts w:ascii="Arial" w:cs="Arial" w:eastAsia="Arial" w:hAnsi="Arial"/>
                <w:sz w:val="19"/>
                <w:szCs w:val="19"/>
                <w:color w:val="auto"/>
              </w:rPr>
              <w:t>7.99</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9.7</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9"/>
                <w:szCs w:val="19"/>
                <w:color w:val="auto"/>
                <w:w w:val="94"/>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260</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9"/>
                <w:szCs w:val="19"/>
                <w:color w:val="auto"/>
              </w:rPr>
              <w:t>Vested and expected to vest as of September 30,</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0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500" w:type="dxa"/>
            <w:vAlign w:val="bottom"/>
          </w:tcPr>
          <w:p>
            <w:pPr>
              <w:ind w:left="180"/>
              <w:spacing w:after="0"/>
              <w:rPr>
                <w:sz w:val="20"/>
                <w:szCs w:val="20"/>
                <w:color w:val="auto"/>
              </w:rPr>
            </w:pPr>
            <w:r>
              <w:rPr>
                <w:rFonts w:ascii="Arial" w:cs="Arial" w:eastAsia="Arial" w:hAnsi="Arial"/>
                <w:sz w:val="19"/>
                <w:szCs w:val="19"/>
                <w:color w:val="auto"/>
              </w:rPr>
              <w:t>2018</w:t>
            </w:r>
          </w:p>
        </w:tc>
        <w:tc>
          <w:tcPr>
            <w:tcW w:w="820" w:type="dxa"/>
            <w:vAlign w:val="bottom"/>
          </w:tcPr>
          <w:p>
            <w:pPr>
              <w:jc w:val="right"/>
              <w:spacing w:after="0"/>
              <w:rPr>
                <w:sz w:val="20"/>
                <w:szCs w:val="20"/>
                <w:color w:val="auto"/>
              </w:rPr>
            </w:pPr>
            <w:r>
              <w:rPr>
                <w:rFonts w:ascii="Arial" w:cs="Arial" w:eastAsia="Arial" w:hAnsi="Arial"/>
                <w:sz w:val="19"/>
                <w:szCs w:val="19"/>
                <w:color w:val="auto"/>
                <w:w w:val="94"/>
              </w:rPr>
              <w:t>3,048,500</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9"/>
                <w:szCs w:val="19"/>
                <w:color w:val="auto"/>
              </w:rPr>
              <w:t>8.14</w:t>
            </w:r>
          </w:p>
        </w:tc>
        <w:tc>
          <w:tcPr>
            <w:tcW w:w="1200" w:type="dxa"/>
            <w:vAlign w:val="bottom"/>
          </w:tcPr>
          <w:p>
            <w:pPr>
              <w:jc w:val="right"/>
              <w:spacing w:after="0"/>
              <w:rPr>
                <w:sz w:val="20"/>
                <w:szCs w:val="20"/>
                <w:color w:val="auto"/>
              </w:rPr>
            </w:pPr>
            <w:r>
              <w:rPr>
                <w:rFonts w:ascii="Arial" w:cs="Arial" w:eastAsia="Arial" w:hAnsi="Arial"/>
                <w:sz w:val="19"/>
                <w:szCs w:val="19"/>
                <w:color w:val="auto"/>
              </w:rPr>
              <w:t>9.8</w:t>
            </w:r>
          </w:p>
        </w:tc>
        <w:tc>
          <w:tcPr>
            <w:tcW w:w="6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9"/>
                <w:szCs w:val="19"/>
                <w:color w:val="auto"/>
                <w:w w:val="94"/>
              </w:rPr>
              <w:t>$</w:t>
            </w:r>
          </w:p>
        </w:tc>
        <w:tc>
          <w:tcPr>
            <w:tcW w:w="880" w:type="dxa"/>
            <w:vAlign w:val="bottom"/>
            <w:gridSpan w:val="2"/>
          </w:tcPr>
          <w:p>
            <w:pPr>
              <w:jc w:val="right"/>
              <w:ind w:right="60"/>
              <w:spacing w:after="0"/>
              <w:rPr>
                <w:sz w:val="20"/>
                <w:szCs w:val="20"/>
                <w:color w:val="auto"/>
              </w:rPr>
            </w:pPr>
            <w:r>
              <w:rPr>
                <w:rFonts w:ascii="Arial" w:cs="Arial" w:eastAsia="Arial" w:hAnsi="Arial"/>
                <w:sz w:val="19"/>
                <w:szCs w:val="19"/>
                <w:color w:val="auto"/>
              </w:rPr>
              <w:t>6,083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spacing w:after="0" w:line="275" w:lineRule="auto"/>
        <w:rPr>
          <w:sz w:val="20"/>
          <w:szCs w:val="20"/>
          <w:color w:val="auto"/>
        </w:rPr>
      </w:pPr>
      <w:r>
        <w:rPr>
          <w:rFonts w:ascii="Arial" w:cs="Arial" w:eastAsia="Arial" w:hAnsi="Arial"/>
          <w:sz w:val="19"/>
          <w:szCs w:val="19"/>
          <w:color w:val="auto"/>
        </w:rPr>
        <w:t>As of September 30, 2018, total unrecognized stock-based compensation related to unvested stock options was $16.1 million, which the Company expects to recognize over a remaining weighted-average period of 3.7 years.</w:t>
      </w:r>
    </w:p>
    <w:p>
      <w:pPr>
        <w:spacing w:after="0" w:line="335" w:lineRule="exact"/>
        <w:rPr>
          <w:sz w:val="20"/>
          <w:szCs w:val="20"/>
          <w:color w:val="auto"/>
        </w:rPr>
      </w:pPr>
    </w:p>
    <w:p>
      <w:pPr>
        <w:ind w:left="640" w:hanging="461"/>
        <w:spacing w:after="0"/>
        <w:tabs>
          <w:tab w:leader="none" w:pos="640" w:val="left"/>
        </w:tabs>
        <w:numPr>
          <w:ilvl w:val="0"/>
          <w:numId w:val="138"/>
        </w:numPr>
        <w:rPr>
          <w:rFonts w:ascii="Arial" w:cs="Arial" w:eastAsia="Arial" w:hAnsi="Arial"/>
          <w:sz w:val="19"/>
          <w:szCs w:val="19"/>
          <w:b w:val="1"/>
          <w:bCs w:val="1"/>
          <w:color w:val="auto"/>
        </w:rPr>
      </w:pPr>
      <w:r>
        <w:rPr>
          <w:rFonts w:ascii="Arial" w:cs="Arial" w:eastAsia="Arial" w:hAnsi="Arial"/>
          <w:sz w:val="19"/>
          <w:szCs w:val="19"/>
          <w:b w:val="1"/>
          <w:bCs w:val="1"/>
          <w:color w:val="auto"/>
        </w:rPr>
        <w:t>Related Party Transactions</w:t>
      </w:r>
    </w:p>
    <w:p>
      <w:pPr>
        <w:spacing w:after="0" w:line="129" w:lineRule="exact"/>
        <w:rPr>
          <w:rFonts w:ascii="Arial" w:cs="Arial" w:eastAsia="Arial" w:hAnsi="Arial"/>
          <w:sz w:val="19"/>
          <w:szCs w:val="19"/>
          <w:b w:val="1"/>
          <w:bCs w:val="1"/>
          <w:color w:val="auto"/>
        </w:rPr>
      </w:pPr>
    </w:p>
    <w:p>
      <w:pPr>
        <w:ind w:left="640" w:right="320"/>
        <w:spacing w:after="0" w:line="336" w:lineRule="auto"/>
        <w:rPr>
          <w:rFonts w:ascii="Arial" w:cs="Arial" w:eastAsia="Arial" w:hAnsi="Arial"/>
          <w:sz w:val="19"/>
          <w:szCs w:val="19"/>
          <w:b w:val="1"/>
          <w:bCs w:val="1"/>
          <w:color w:val="auto"/>
        </w:rPr>
      </w:pPr>
      <w:r>
        <w:rPr>
          <w:rFonts w:ascii="Arial" w:cs="Arial" w:eastAsia="Arial" w:hAnsi="Arial"/>
          <w:sz w:val="17"/>
          <w:szCs w:val="17"/>
          <w:color w:val="auto"/>
        </w:rPr>
        <w:t>For the nine months ended September 30, 2017 and 2018, Alector incurred expenses of $0.4 million and $1.8 million for services provided by Adimab, respectively. The nine months ended September 30, 2018, included expenses of $1.8 million related to milestones.</w:t>
      </w:r>
    </w:p>
    <w:p>
      <w:pPr>
        <w:spacing w:after="0" w:line="66"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F-37</w:t>
      </w:r>
    </w:p>
    <w:p>
      <w:pPr>
        <w:sectPr>
          <w:pgSz w:w="12240" w:h="15840" w:orient="portrait"/>
          <w:cols w:equalWidth="0" w:num="1">
            <w:col w:w="11760"/>
          </w:cols>
          <w:pgMar w:left="120" w:top="336" w:right="360" w:bottom="1440" w:gutter="0" w:footer="0" w:header="0"/>
        </w:sectPr>
      </w:pPr>
    </w:p>
    <w:bookmarkStart w:id="228" w:name="page229"/>
    <w:bookmarkEnd w:id="22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31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ind w:left="2980"/>
        <w:spacing w:after="0"/>
        <w:rPr>
          <w:sz w:val="20"/>
          <w:szCs w:val="20"/>
          <w:color w:val="auto"/>
        </w:rPr>
      </w:pPr>
      <w:r>
        <w:rPr>
          <w:rFonts w:ascii="Arial" w:cs="Arial" w:eastAsia="Arial" w:hAnsi="Arial"/>
          <w:sz w:val="19"/>
          <w:szCs w:val="19"/>
          <w:b w:val="1"/>
          <w:bCs w:val="1"/>
          <w:color w:val="auto"/>
        </w:rPr>
        <w:t>Notes to Unaudited Interim Condensed Consolidated Financial Statements</w:t>
      </w:r>
    </w:p>
    <w:p>
      <w:pPr>
        <w:spacing w:after="0" w:line="266" w:lineRule="exact"/>
        <w:rPr>
          <w:sz w:val="20"/>
          <w:szCs w:val="20"/>
          <w:color w:val="auto"/>
        </w:rPr>
      </w:pPr>
    </w:p>
    <w:p>
      <w:pPr>
        <w:ind w:left="640" w:hanging="461"/>
        <w:spacing w:after="0"/>
        <w:tabs>
          <w:tab w:leader="none" w:pos="640" w:val="left"/>
        </w:tabs>
        <w:numPr>
          <w:ilvl w:val="0"/>
          <w:numId w:val="139"/>
        </w:numPr>
        <w:rPr>
          <w:rFonts w:ascii="Arial" w:cs="Arial" w:eastAsia="Arial" w:hAnsi="Arial"/>
          <w:sz w:val="19"/>
          <w:szCs w:val="19"/>
          <w:b w:val="1"/>
          <w:bCs w:val="1"/>
          <w:color w:val="auto"/>
        </w:rPr>
      </w:pPr>
      <w:r>
        <w:rPr>
          <w:rFonts w:ascii="Arial" w:cs="Arial" w:eastAsia="Arial" w:hAnsi="Arial"/>
          <w:sz w:val="19"/>
          <w:szCs w:val="19"/>
          <w:b w:val="1"/>
          <w:bCs w:val="1"/>
          <w:color w:val="auto"/>
        </w:rPr>
        <w:t>Net Loss Per Share and Unaudited Pro Forma Net Loss Per Share</w:t>
      </w:r>
    </w:p>
    <w:p>
      <w:pPr>
        <w:spacing w:after="0" w:line="129" w:lineRule="exact"/>
        <w:rPr>
          <w:rFonts w:ascii="Arial" w:cs="Arial" w:eastAsia="Arial" w:hAnsi="Arial"/>
          <w:sz w:val="19"/>
          <w:szCs w:val="19"/>
          <w:b w:val="1"/>
          <w:bCs w:val="1"/>
          <w:color w:val="auto"/>
        </w:rPr>
      </w:pPr>
    </w:p>
    <w:p>
      <w:pPr>
        <w:ind w:left="640" w:right="58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The following outstanding potentially dilutive shares have been excluded from the calculation of diluted net loss per share for the periods presented due to their anti-dilutive effect:</w:t>
      </w:r>
    </w:p>
    <w:p>
      <w:pPr>
        <w:spacing w:after="0" w:line="203" w:lineRule="exact"/>
        <w:rPr>
          <w:sz w:val="20"/>
          <w:szCs w:val="20"/>
          <w:color w:val="auto"/>
        </w:rPr>
      </w:pPr>
    </w:p>
    <w:p>
      <w:pPr>
        <w:jc w:val="center"/>
        <w:ind w:left="6100"/>
        <w:spacing w:after="0"/>
        <w:rPr>
          <w:sz w:val="20"/>
          <w:szCs w:val="20"/>
          <w:color w:val="auto"/>
        </w:rPr>
      </w:pPr>
      <w:r>
        <w:rPr>
          <w:rFonts w:ascii="Arial" w:cs="Arial" w:eastAsia="Arial" w:hAnsi="Arial"/>
          <w:sz w:val="15"/>
          <w:szCs w:val="15"/>
          <w:b w:val="1"/>
          <w:bCs w:val="1"/>
          <w:color w:val="auto"/>
        </w:rPr>
        <w:t>Nine Months Ended</w:t>
      </w:r>
    </w:p>
    <w:p>
      <w:pPr>
        <w:jc w:val="center"/>
        <w:ind w:left="6100"/>
        <w:spacing w:after="0" w:line="228" w:lineRule="auto"/>
        <w:rPr>
          <w:sz w:val="20"/>
          <w:szCs w:val="20"/>
          <w:color w:val="auto"/>
        </w:rPr>
      </w:pPr>
      <w:r>
        <w:rPr>
          <w:rFonts w:ascii="Arial" w:cs="Arial" w:eastAsia="Arial" w:hAnsi="Arial"/>
          <w:sz w:val="15"/>
          <w:szCs w:val="15"/>
          <w:b w:val="1"/>
          <w:bCs w:val="1"/>
          <w:color w:val="auto"/>
        </w:rPr>
        <w:t>September 30,</w:t>
      </w:r>
    </w:p>
    <w:p>
      <w:pPr>
        <w:spacing w:after="0" w:line="1" w:lineRule="exact"/>
        <w:rPr>
          <w:sz w:val="20"/>
          <w:szCs w:val="20"/>
          <w:color w:val="auto"/>
        </w:rPr>
      </w:pPr>
    </w:p>
    <w:tbl>
      <w:tblPr>
        <w:tblLayout w:type="fixed"/>
        <w:tblInd w:w="1580" w:type="dxa"/>
        <w:tblCellMar>
          <w:top w:w="0" w:type="dxa"/>
          <w:left w:w="0" w:type="dxa"/>
          <w:bottom w:w="0" w:type="dxa"/>
          <w:right w:w="0" w:type="dxa"/>
        </w:tblCellMar>
      </w:tblPr>
      <w:tr>
        <w:trPr>
          <w:trHeight w:val="151"/>
        </w:trPr>
        <w:tc>
          <w:tcPr>
            <w:tcW w:w="618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08"/>
              <w:spacing w:after="0" w:line="151" w:lineRule="exact"/>
              <w:rPr>
                <w:sz w:val="20"/>
                <w:szCs w:val="20"/>
                <w:color w:val="auto"/>
              </w:rPr>
            </w:pPr>
            <w:r>
              <w:rPr>
                <w:rFonts w:ascii="Arial" w:cs="Arial" w:eastAsia="Arial" w:hAnsi="Arial"/>
                <w:sz w:val="15"/>
                <w:szCs w:val="15"/>
                <w:b w:val="1"/>
                <w:bCs w:val="1"/>
                <w:color w:val="auto"/>
              </w:rPr>
              <w:t>2017</w:t>
            </w:r>
          </w:p>
        </w:tc>
        <w:tc>
          <w:tcPr>
            <w:tcW w:w="400" w:type="dxa"/>
            <w:vAlign w:val="bottom"/>
            <w:tcBorders>
              <w:top w:val="single" w:sz="8" w:color="auto"/>
              <w:bottom w:val="single" w:sz="8" w:color="CCEEFF"/>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08"/>
              <w:spacing w:after="0" w:line="151" w:lineRule="exact"/>
              <w:rPr>
                <w:sz w:val="20"/>
                <w:szCs w:val="20"/>
                <w:color w:val="auto"/>
              </w:rPr>
            </w:pPr>
            <w:r>
              <w:rPr>
                <w:rFonts w:ascii="Arial" w:cs="Arial" w:eastAsia="Arial" w:hAnsi="Arial"/>
                <w:sz w:val="15"/>
                <w:szCs w:val="15"/>
                <w:b w:val="1"/>
                <w:bCs w:val="1"/>
                <w:color w:val="auto"/>
              </w:rPr>
              <w:t>2018</w:t>
            </w:r>
          </w:p>
        </w:tc>
        <w:tc>
          <w:tcPr>
            <w:tcW w:w="80" w:type="dxa"/>
            <w:vAlign w:val="bottom"/>
            <w:tcBorders>
              <w:bottom w:val="single" w:sz="8" w:color="CCEEFF"/>
            </w:tcBorders>
          </w:tcPr>
          <w:p>
            <w:pPr>
              <w:spacing w:after="0"/>
              <w:rPr>
                <w:sz w:val="13"/>
                <w:szCs w:val="13"/>
                <w:color w:val="auto"/>
              </w:rPr>
            </w:pPr>
          </w:p>
        </w:tc>
      </w:tr>
      <w:tr>
        <w:trPr>
          <w:trHeight w:val="222"/>
        </w:trPr>
        <w:tc>
          <w:tcPr>
            <w:tcW w:w="6180" w:type="dxa"/>
            <w:vAlign w:val="bottom"/>
            <w:shd w:val="clear" w:color="auto" w:fill="CCEEFF"/>
          </w:tcPr>
          <w:p>
            <w:pPr>
              <w:spacing w:after="0"/>
              <w:rPr>
                <w:sz w:val="20"/>
                <w:szCs w:val="20"/>
                <w:color w:val="auto"/>
              </w:rPr>
            </w:pPr>
            <w:r>
              <w:rPr>
                <w:rFonts w:ascii="Arial" w:cs="Arial" w:eastAsia="Arial" w:hAnsi="Arial"/>
                <w:sz w:val="19"/>
                <w:szCs w:val="19"/>
                <w:color w:val="auto"/>
              </w:rPr>
              <w:t>Convertible preferred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36,001,203</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45,350,215</w:t>
            </w:r>
          </w:p>
        </w:tc>
        <w:tc>
          <w:tcPr>
            <w:tcW w:w="80" w:type="dxa"/>
            <w:vAlign w:val="bottom"/>
            <w:shd w:val="clear" w:color="auto" w:fill="CCEEFF"/>
          </w:tcPr>
          <w:p>
            <w:pPr>
              <w:spacing w:after="0"/>
              <w:rPr>
                <w:sz w:val="19"/>
                <w:szCs w:val="19"/>
                <w:color w:val="auto"/>
              </w:rPr>
            </w:pPr>
          </w:p>
        </w:tc>
      </w:tr>
      <w:tr>
        <w:trPr>
          <w:trHeight w:val="228"/>
        </w:trPr>
        <w:tc>
          <w:tcPr>
            <w:tcW w:w="6180" w:type="dxa"/>
            <w:vAlign w:val="bottom"/>
          </w:tcPr>
          <w:p>
            <w:pPr>
              <w:spacing w:after="0"/>
              <w:rPr>
                <w:sz w:val="20"/>
                <w:szCs w:val="20"/>
                <w:color w:val="auto"/>
              </w:rPr>
            </w:pPr>
            <w:r>
              <w:rPr>
                <w:rFonts w:ascii="Arial" w:cs="Arial" w:eastAsia="Arial" w:hAnsi="Arial"/>
                <w:sz w:val="19"/>
                <w:szCs w:val="19"/>
                <w:color w:val="auto"/>
              </w:rPr>
              <w:t>Restricted stock subject to future vesting</w:t>
            </w:r>
          </w:p>
        </w:tc>
        <w:tc>
          <w:tcPr>
            <w:tcW w:w="1480" w:type="dxa"/>
            <w:vAlign w:val="bottom"/>
            <w:gridSpan w:val="2"/>
          </w:tcPr>
          <w:p>
            <w:pPr>
              <w:jc w:val="right"/>
              <w:ind w:right="400"/>
              <w:spacing w:after="0"/>
              <w:rPr>
                <w:sz w:val="20"/>
                <w:szCs w:val="20"/>
                <w:color w:val="auto"/>
              </w:rPr>
            </w:pPr>
            <w:r>
              <w:rPr>
                <w:rFonts w:ascii="Arial" w:cs="Arial" w:eastAsia="Arial" w:hAnsi="Arial"/>
                <w:sz w:val="19"/>
                <w:szCs w:val="19"/>
                <w:color w:val="auto"/>
              </w:rPr>
              <w:t>202,933</w:t>
            </w:r>
          </w:p>
        </w:tc>
        <w:tc>
          <w:tcPr>
            <w:tcW w:w="1100" w:type="dxa"/>
            <w:vAlign w:val="bottom"/>
          </w:tcPr>
          <w:p>
            <w:pPr>
              <w:jc w:val="right"/>
              <w:spacing w:after="0"/>
              <w:rPr>
                <w:sz w:val="20"/>
                <w:szCs w:val="20"/>
                <w:color w:val="auto"/>
              </w:rPr>
            </w:pPr>
            <w:r>
              <w:rPr>
                <w:rFonts w:ascii="Arial" w:cs="Arial" w:eastAsia="Arial" w:hAnsi="Arial"/>
                <w:sz w:val="19"/>
                <w:szCs w:val="19"/>
                <w:color w:val="auto"/>
              </w:rPr>
              <w:t>2,161,047</w:t>
            </w:r>
          </w:p>
        </w:tc>
        <w:tc>
          <w:tcPr>
            <w:tcW w:w="80" w:type="dxa"/>
            <w:vAlign w:val="bottom"/>
          </w:tcPr>
          <w:p>
            <w:pPr>
              <w:spacing w:after="0"/>
              <w:rPr>
                <w:sz w:val="19"/>
                <w:szCs w:val="19"/>
                <w:color w:val="auto"/>
              </w:rPr>
            </w:pPr>
          </w:p>
        </w:tc>
      </w:tr>
      <w:tr>
        <w:trPr>
          <w:trHeight w:val="228"/>
        </w:trPr>
        <w:tc>
          <w:tcPr>
            <w:tcW w:w="6180" w:type="dxa"/>
            <w:vAlign w:val="bottom"/>
            <w:shd w:val="clear" w:color="auto" w:fill="CCEEFF"/>
          </w:tcPr>
          <w:p>
            <w:pPr>
              <w:spacing w:after="0"/>
              <w:rPr>
                <w:sz w:val="20"/>
                <w:szCs w:val="20"/>
                <w:color w:val="auto"/>
              </w:rPr>
            </w:pPr>
            <w:r>
              <w:rPr>
                <w:rFonts w:ascii="Arial" w:cs="Arial" w:eastAsia="Arial" w:hAnsi="Arial"/>
                <w:sz w:val="19"/>
                <w:szCs w:val="19"/>
                <w:color w:val="auto"/>
              </w:rPr>
              <w:t>Options to purchase common stock</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3,048,500</w:t>
            </w:r>
          </w:p>
        </w:tc>
        <w:tc>
          <w:tcPr>
            <w:tcW w:w="80" w:type="dxa"/>
            <w:vAlign w:val="bottom"/>
            <w:shd w:val="clear" w:color="auto" w:fill="CCEEFF"/>
          </w:tcPr>
          <w:p>
            <w:pPr>
              <w:spacing w:after="0"/>
              <w:rPr>
                <w:sz w:val="19"/>
                <w:szCs w:val="19"/>
                <w:color w:val="auto"/>
              </w:rPr>
            </w:pPr>
          </w:p>
        </w:tc>
      </w:tr>
      <w:tr>
        <w:trPr>
          <w:trHeight w:val="228"/>
        </w:trPr>
        <w:tc>
          <w:tcPr>
            <w:tcW w:w="6180" w:type="dxa"/>
            <w:vAlign w:val="bottom"/>
          </w:tcPr>
          <w:p>
            <w:pPr>
              <w:spacing w:after="0"/>
              <w:rPr>
                <w:sz w:val="20"/>
                <w:szCs w:val="20"/>
                <w:color w:val="auto"/>
              </w:rPr>
            </w:pPr>
            <w:r>
              <w:rPr>
                <w:rFonts w:ascii="Arial" w:cs="Arial" w:eastAsia="Arial" w:hAnsi="Arial"/>
                <w:sz w:val="19"/>
                <w:szCs w:val="19"/>
                <w:color w:val="auto"/>
              </w:rPr>
              <w:t>Profit interest units</w:t>
            </w:r>
          </w:p>
        </w:tc>
        <w:tc>
          <w:tcPr>
            <w:tcW w:w="1080" w:type="dxa"/>
            <w:vAlign w:val="bottom"/>
          </w:tcPr>
          <w:p>
            <w:pPr>
              <w:jc w:val="right"/>
              <w:spacing w:after="0"/>
              <w:rPr>
                <w:sz w:val="20"/>
                <w:szCs w:val="20"/>
                <w:color w:val="auto"/>
              </w:rPr>
            </w:pPr>
            <w:r>
              <w:rPr>
                <w:rFonts w:ascii="Arial" w:cs="Arial" w:eastAsia="Arial" w:hAnsi="Arial"/>
                <w:sz w:val="19"/>
                <w:szCs w:val="19"/>
                <w:color w:val="auto"/>
              </w:rPr>
              <w:t>3,618,368</w:t>
            </w:r>
          </w:p>
        </w:tc>
        <w:tc>
          <w:tcPr>
            <w:tcW w:w="4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r>
      <w:tr>
        <w:trPr>
          <w:trHeight w:val="29"/>
        </w:trPr>
        <w:tc>
          <w:tcPr>
            <w:tcW w:w="6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8"/>
        </w:trPr>
        <w:tc>
          <w:tcPr>
            <w:tcW w:w="618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39,822,504</w:t>
            </w:r>
          </w:p>
        </w:tc>
        <w:tc>
          <w:tcPr>
            <w:tcW w:w="4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50,559,762</w:t>
            </w:r>
          </w:p>
        </w:tc>
      </w:tr>
      <w:tr>
        <w:trPr>
          <w:trHeight w:val="20"/>
        </w:trPr>
        <w:tc>
          <w:tcPr>
            <w:tcW w:w="6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spacing w:after="0" w:line="275" w:lineRule="auto"/>
        <w:rPr>
          <w:sz w:val="20"/>
          <w:szCs w:val="20"/>
          <w:color w:val="auto"/>
        </w:rPr>
      </w:pPr>
      <w:r>
        <w:rPr>
          <w:rFonts w:ascii="Arial" w:cs="Arial" w:eastAsia="Arial" w:hAnsi="Arial"/>
          <w:sz w:val="19"/>
          <w:szCs w:val="19"/>
          <w:color w:val="auto"/>
        </w:rPr>
        <w:t>The following table sets forth the computation of the Company’s unaudited pro forma basic and diluted net loss per share during the nine months ended September 30, 2018 (in thousands, except share and per share amounts):</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72"/>
        </w:trPr>
        <w:tc>
          <w:tcPr>
            <w:tcW w:w="9620" w:type="dxa"/>
            <w:vAlign w:val="bottom"/>
          </w:tcPr>
          <w:p>
            <w:pPr>
              <w:spacing w:after="0"/>
              <w:rPr>
                <w:sz w:val="14"/>
                <w:szCs w:val="14"/>
                <w:color w:val="auto"/>
              </w:rPr>
            </w:pPr>
          </w:p>
        </w:tc>
        <w:tc>
          <w:tcPr>
            <w:tcW w:w="1060" w:type="dxa"/>
            <w:vAlign w:val="bottom"/>
            <w:gridSpan w:val="3"/>
          </w:tcPr>
          <w:p>
            <w:pPr>
              <w:jc w:val="center"/>
              <w:ind w:right="21"/>
              <w:spacing w:after="0"/>
              <w:rPr>
                <w:sz w:val="20"/>
                <w:szCs w:val="20"/>
                <w:color w:val="auto"/>
              </w:rPr>
            </w:pPr>
            <w:r>
              <w:rPr>
                <w:rFonts w:ascii="Arial" w:cs="Arial" w:eastAsia="Arial" w:hAnsi="Arial"/>
                <w:sz w:val="15"/>
                <w:szCs w:val="15"/>
                <w:b w:val="1"/>
                <w:bCs w:val="1"/>
                <w:color w:val="auto"/>
                <w:w w:val="93"/>
              </w:rPr>
              <w:t>Nine Months</w:t>
            </w:r>
          </w:p>
        </w:tc>
        <w:tc>
          <w:tcPr>
            <w:tcW w:w="0" w:type="dxa"/>
            <w:vAlign w:val="bottom"/>
          </w:tcPr>
          <w:p>
            <w:pPr>
              <w:spacing w:after="0"/>
              <w:rPr>
                <w:sz w:val="1"/>
                <w:szCs w:val="1"/>
                <w:color w:val="auto"/>
              </w:rPr>
            </w:pPr>
          </w:p>
        </w:tc>
      </w:tr>
      <w:tr>
        <w:trPr>
          <w:trHeight w:val="157"/>
        </w:trPr>
        <w:tc>
          <w:tcPr>
            <w:tcW w:w="9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41"/>
              <w:spacing w:after="0" w:line="157" w:lineRule="exact"/>
              <w:rPr>
                <w:sz w:val="20"/>
                <w:szCs w:val="20"/>
                <w:color w:val="auto"/>
              </w:rPr>
            </w:pPr>
            <w:r>
              <w:rPr>
                <w:rFonts w:ascii="Arial" w:cs="Arial" w:eastAsia="Arial" w:hAnsi="Arial"/>
                <w:sz w:val="15"/>
                <w:szCs w:val="15"/>
                <w:b w:val="1"/>
                <w:bCs w:val="1"/>
                <w:color w:val="auto"/>
                <w:w w:val="91"/>
              </w:rPr>
              <w:t>Ended</w:t>
            </w:r>
          </w:p>
        </w:tc>
        <w:tc>
          <w:tcPr>
            <w:tcW w:w="0" w:type="dxa"/>
            <w:vAlign w:val="bottom"/>
          </w:tcPr>
          <w:p>
            <w:pPr>
              <w:spacing w:after="0"/>
              <w:rPr>
                <w:sz w:val="1"/>
                <w:szCs w:val="1"/>
                <w:color w:val="auto"/>
              </w:rPr>
            </w:pPr>
          </w:p>
        </w:tc>
      </w:tr>
      <w:tr>
        <w:trPr>
          <w:trHeight w:val="157"/>
        </w:trPr>
        <w:tc>
          <w:tcPr>
            <w:tcW w:w="9620" w:type="dxa"/>
            <w:vAlign w:val="bottom"/>
          </w:tcPr>
          <w:p>
            <w:pPr>
              <w:spacing w:after="0"/>
              <w:rPr>
                <w:sz w:val="13"/>
                <w:szCs w:val="13"/>
                <w:color w:val="auto"/>
              </w:rPr>
            </w:pPr>
          </w:p>
        </w:tc>
        <w:tc>
          <w:tcPr>
            <w:tcW w:w="1060" w:type="dxa"/>
            <w:vAlign w:val="bottom"/>
            <w:gridSpan w:val="3"/>
          </w:tcPr>
          <w:p>
            <w:pPr>
              <w:jc w:val="center"/>
              <w:ind w:right="21"/>
              <w:spacing w:after="0" w:line="157" w:lineRule="exact"/>
              <w:rPr>
                <w:sz w:val="20"/>
                <w:szCs w:val="20"/>
                <w:color w:val="auto"/>
              </w:rPr>
            </w:pPr>
            <w:r>
              <w:rPr>
                <w:rFonts w:ascii="Arial" w:cs="Arial" w:eastAsia="Arial" w:hAnsi="Arial"/>
                <w:sz w:val="15"/>
                <w:szCs w:val="15"/>
                <w:b w:val="1"/>
                <w:bCs w:val="1"/>
                <w:color w:val="auto"/>
                <w:w w:val="89"/>
              </w:rPr>
              <w:t>September 30,</w:t>
            </w:r>
          </w:p>
        </w:tc>
        <w:tc>
          <w:tcPr>
            <w:tcW w:w="0" w:type="dxa"/>
            <w:vAlign w:val="bottom"/>
          </w:tcPr>
          <w:p>
            <w:pPr>
              <w:spacing w:after="0"/>
              <w:rPr>
                <w:sz w:val="1"/>
                <w:szCs w:val="1"/>
                <w:color w:val="auto"/>
              </w:rPr>
            </w:pPr>
          </w:p>
        </w:tc>
      </w:tr>
      <w:tr>
        <w:trPr>
          <w:trHeight w:val="180"/>
        </w:trPr>
        <w:tc>
          <w:tcPr>
            <w:tcW w:w="96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0"/>
              <w:spacing w:after="0"/>
              <w:rPr>
                <w:sz w:val="20"/>
                <w:szCs w:val="20"/>
                <w:color w:val="auto"/>
              </w:rPr>
            </w:pPr>
            <w:r>
              <w:rPr>
                <w:rFonts w:ascii="Arial" w:cs="Arial" w:eastAsia="Arial" w:hAnsi="Arial"/>
                <w:sz w:val="15"/>
                <w:szCs w:val="15"/>
                <w:b w:val="1"/>
                <w:bCs w:val="1"/>
                <w:color w:val="auto"/>
                <w:w w:val="89"/>
              </w:rPr>
              <w:t>2018</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9620" w:type="dxa"/>
            <w:vAlign w:val="bottom"/>
            <w:shd w:val="clear" w:color="auto" w:fill="CCEEFF"/>
          </w:tcPr>
          <w:p>
            <w:pPr>
              <w:spacing w:after="0"/>
              <w:rPr>
                <w:sz w:val="20"/>
                <w:szCs w:val="20"/>
                <w:color w:val="auto"/>
              </w:rPr>
            </w:pPr>
            <w:r>
              <w:rPr>
                <w:rFonts w:ascii="Arial" w:cs="Arial" w:eastAsia="Arial" w:hAnsi="Arial"/>
                <w:sz w:val="19"/>
                <w:szCs w:val="19"/>
                <w:color w:val="auto"/>
              </w:rPr>
              <w:t>Net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(34,875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Arial" w:cs="Arial" w:eastAsia="Arial" w:hAnsi="Arial"/>
                <w:sz w:val="19"/>
                <w:szCs w:val="19"/>
                <w:color w:val="auto"/>
              </w:rPr>
              <w:t>Shares used in computing net loss per share, basic and diluted</w:t>
            </w: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9"/>
                <w:szCs w:val="19"/>
                <w:color w:val="auto"/>
                <w:w w:val="88"/>
              </w:rPr>
              <w:t>11,154,391</w:t>
            </w:r>
          </w:p>
        </w:tc>
        <w:tc>
          <w:tcPr>
            <w:tcW w:w="0" w:type="dxa"/>
            <w:vAlign w:val="bottom"/>
          </w:tcPr>
          <w:p>
            <w:pPr>
              <w:spacing w:after="0"/>
              <w:rPr>
                <w:sz w:val="1"/>
                <w:szCs w:val="1"/>
                <w:color w:val="auto"/>
              </w:rPr>
            </w:pPr>
          </w:p>
        </w:tc>
      </w:tr>
      <w:tr>
        <w:trPr>
          <w:trHeight w:val="229"/>
        </w:trPr>
        <w:tc>
          <w:tcPr>
            <w:tcW w:w="9620" w:type="dxa"/>
            <w:vAlign w:val="bottom"/>
            <w:shd w:val="clear" w:color="auto" w:fill="CCEEFF"/>
          </w:tcPr>
          <w:p>
            <w:pPr>
              <w:spacing w:after="0"/>
              <w:rPr>
                <w:sz w:val="20"/>
                <w:szCs w:val="20"/>
                <w:color w:val="auto"/>
              </w:rPr>
            </w:pPr>
            <w:r>
              <w:rPr>
                <w:rFonts w:ascii="Arial" w:cs="Arial" w:eastAsia="Arial" w:hAnsi="Arial"/>
                <w:sz w:val="19"/>
                <w:szCs w:val="19"/>
                <w:color w:val="auto"/>
              </w:rPr>
              <w:t>Pro forma adjustment to reflect assumed conversion of convertible preferred stock</w:t>
            </w: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8"/>
              </w:rPr>
              <w:t>40,069,174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9620" w:type="dxa"/>
            <w:vAlign w:val="bottom"/>
          </w:tcPr>
          <w:p>
            <w:pPr>
              <w:spacing w:after="0"/>
              <w:rPr>
                <w:sz w:val="20"/>
                <w:szCs w:val="20"/>
                <w:color w:val="auto"/>
              </w:rPr>
            </w:pPr>
            <w:r>
              <w:rPr>
                <w:rFonts w:ascii="Arial" w:cs="Arial" w:eastAsia="Arial" w:hAnsi="Arial"/>
                <w:sz w:val="19"/>
                <w:szCs w:val="19"/>
                <w:color w:val="auto"/>
              </w:rPr>
              <w:t>Shares used in computing pro forma net loss per share, basic and diluted</w:t>
            </w:r>
          </w:p>
        </w:tc>
        <w:tc>
          <w:tcPr>
            <w:tcW w:w="10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9"/>
                <w:szCs w:val="19"/>
                <w:color w:val="auto"/>
                <w:w w:val="88"/>
              </w:rPr>
              <w:t>51,223,565</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6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Pro forma 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(0.68)</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right="20"/>
        <w:spacing w:after="0" w:line="255" w:lineRule="auto"/>
        <w:rPr>
          <w:sz w:val="20"/>
          <w:szCs w:val="20"/>
          <w:color w:val="auto"/>
        </w:rPr>
      </w:pPr>
      <w:r>
        <w:rPr>
          <w:rFonts w:ascii="Arial" w:cs="Arial" w:eastAsia="Arial" w:hAnsi="Arial"/>
          <w:sz w:val="19"/>
          <w:szCs w:val="19"/>
          <w:color w:val="auto"/>
        </w:rPr>
        <w:t>Pro forma basic and diluted net loss per share has been computed to give effect to the conversion of all outstanding convertible preferred stock into shares of common stock. The unaudited pro forma net loss per share does not include the shares expected to be sold and related proceeds to be received from the initial public offering. The unaudited pro forma net loss per share for the nine months ended September 30, 2018, was computed using the weighted-average number of shares of common stock outstanding, including the pro forma effect of the conversion of all outstanding shares of convertible preferred stock into shares of common stock, as if such conversion had occurred at the beginning of the period, or their issuance dates if later.</w:t>
      </w:r>
    </w:p>
    <w:p>
      <w:pPr>
        <w:spacing w:after="0" w:line="355" w:lineRule="exact"/>
        <w:rPr>
          <w:sz w:val="20"/>
          <w:szCs w:val="20"/>
          <w:color w:val="auto"/>
        </w:rPr>
      </w:pPr>
    </w:p>
    <w:p>
      <w:pPr>
        <w:ind w:left="640" w:hanging="461"/>
        <w:spacing w:after="0"/>
        <w:tabs>
          <w:tab w:leader="none" w:pos="640" w:val="left"/>
        </w:tabs>
        <w:numPr>
          <w:ilvl w:val="0"/>
          <w:numId w:val="140"/>
        </w:numPr>
        <w:rPr>
          <w:rFonts w:ascii="Arial" w:cs="Arial" w:eastAsia="Arial" w:hAnsi="Arial"/>
          <w:sz w:val="19"/>
          <w:szCs w:val="19"/>
          <w:b w:val="1"/>
          <w:bCs w:val="1"/>
          <w:color w:val="auto"/>
        </w:rPr>
      </w:pPr>
      <w:r>
        <w:rPr>
          <w:rFonts w:ascii="Arial" w:cs="Arial" w:eastAsia="Arial" w:hAnsi="Arial"/>
          <w:sz w:val="19"/>
          <w:szCs w:val="19"/>
          <w:b w:val="1"/>
          <w:bCs w:val="1"/>
          <w:color w:val="auto"/>
        </w:rPr>
        <w:t>Subsequent Events</w:t>
      </w:r>
    </w:p>
    <w:p>
      <w:pPr>
        <w:spacing w:after="0" w:line="129" w:lineRule="exact"/>
        <w:rPr>
          <w:rFonts w:ascii="Arial" w:cs="Arial" w:eastAsia="Arial" w:hAnsi="Arial"/>
          <w:sz w:val="19"/>
          <w:szCs w:val="19"/>
          <w:b w:val="1"/>
          <w:bCs w:val="1"/>
          <w:color w:val="auto"/>
        </w:rPr>
      </w:pPr>
    </w:p>
    <w:p>
      <w:pPr>
        <w:ind w:left="640" w:right="260"/>
        <w:spacing w:after="0" w:line="263" w:lineRule="auto"/>
        <w:rPr>
          <w:rFonts w:ascii="Arial" w:cs="Arial" w:eastAsia="Arial" w:hAnsi="Arial"/>
          <w:sz w:val="19"/>
          <w:szCs w:val="19"/>
          <w:b w:val="1"/>
          <w:bCs w:val="1"/>
          <w:color w:val="auto"/>
        </w:rPr>
      </w:pPr>
      <w:r>
        <w:rPr>
          <w:rFonts w:ascii="Arial" w:cs="Arial" w:eastAsia="Arial" w:hAnsi="Arial"/>
          <w:sz w:val="19"/>
          <w:szCs w:val="19"/>
          <w:color w:val="auto"/>
        </w:rPr>
        <w:t>The Company has evaluated subsequent events that may require adjustments to or disclosure in the unaudited interim condensed consolidated financial statements through November 16, 2018, the date on which the unaudited interim condensed consolidated financial statements were available to be issued.</w:t>
      </w:r>
    </w:p>
    <w:p>
      <w:pPr>
        <w:spacing w:after="0" w:line="80" w:lineRule="exact"/>
        <w:rPr>
          <w:rFonts w:ascii="Arial" w:cs="Arial" w:eastAsia="Arial" w:hAnsi="Arial"/>
          <w:sz w:val="19"/>
          <w:szCs w:val="19"/>
          <w:b w:val="1"/>
          <w:bCs w:val="1"/>
          <w:color w:val="auto"/>
        </w:rPr>
      </w:pPr>
    </w:p>
    <w:p>
      <w:pPr>
        <w:ind w:left="640" w:right="34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In October 2018, the Company issued an additional 24,621 shares of Series E convertible preferred stock at a price of $14.2154 per share for aggregate gross proceeds of $0.3 million.</w:t>
      </w:r>
    </w:p>
    <w:p>
      <w:pPr>
        <w:spacing w:after="0" w:line="113"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F-38</w:t>
      </w:r>
    </w:p>
    <w:p>
      <w:pPr>
        <w:sectPr>
          <w:pgSz w:w="12240" w:h="15840" w:orient="portrait"/>
          <w:cols w:equalWidth="0" w:num="1">
            <w:col w:w="11680"/>
          </w:cols>
          <w:pgMar w:left="120" w:top="337" w:right="440" w:bottom="1440" w:gutter="0" w:footer="0" w:header="0"/>
        </w:sectPr>
      </w:pPr>
    </w:p>
    <w:bookmarkStart w:id="229" w:name="page230"/>
    <w:bookmarkEnd w:id="2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ectPr>
          <w:pgSz w:w="12240" w:h="15840" w:orient="portrait"/>
          <w:cols w:equalWidth="0" w:num="1">
            <w:col w:w="10680"/>
          </w:cols>
          <w:pgMar w:left="120" w:top="336" w:right="1440" w:bottom="1440" w:gutter="0" w:footer="0" w:header="0"/>
        </w:sectPr>
      </w:pPr>
    </w:p>
    <w:bookmarkStart w:id="230" w:name="page231"/>
    <w:bookmarkEnd w:id="2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0</wp:posOffset>
            </wp:positionV>
            <wp:extent cx="7425690" cy="96716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7425690" cy="96716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31" w:name="page232"/>
    <w:bookmarkEnd w:id="2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240030</wp:posOffset>
            </wp:positionV>
            <wp:extent cx="7389495" cy="45370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389495" cy="4537075"/>
                    </a:xfrm>
                    <a:prstGeom prst="rect">
                      <a:avLst/>
                    </a:prstGeom>
                    <a:noFill/>
                  </pic:spPr>
                </pic:pic>
              </a:graphicData>
            </a:graphic>
          </wp:anchor>
        </w:drawing>
      </w:r>
    </w:p>
    <w:p>
      <w:pPr>
        <w:sectPr>
          <w:pgSz w:w="12240" w:h="15840" w:orient="portrait"/>
          <w:cols w:equalWidth="0" w:num="1">
            <w:col w:w="10680"/>
          </w:cols>
          <w:pgMar w:left="120" w:top="336" w:right="1440" w:bottom="1440" w:gutter="0" w:footer="0" w:header="0"/>
        </w:sectPr>
      </w:pPr>
    </w:p>
    <w:bookmarkStart w:id="232" w:name="page233"/>
    <w:bookmarkEnd w:id="23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PART II</w:t>
      </w:r>
    </w:p>
    <w:p>
      <w:pPr>
        <w:spacing w:after="0" w:line="238" w:lineRule="exact"/>
        <w:rPr>
          <w:sz w:val="20"/>
          <w:szCs w:val="20"/>
          <w:color w:val="auto"/>
        </w:rPr>
      </w:pPr>
    </w:p>
    <w:p>
      <w:pPr>
        <w:ind w:left="3520"/>
        <w:spacing w:after="0"/>
        <w:rPr>
          <w:sz w:val="20"/>
          <w:szCs w:val="20"/>
          <w:color w:val="auto"/>
        </w:rPr>
      </w:pPr>
      <w:r>
        <w:rPr>
          <w:rFonts w:ascii="Arial" w:cs="Arial" w:eastAsia="Arial" w:hAnsi="Arial"/>
          <w:sz w:val="19"/>
          <w:szCs w:val="19"/>
          <w:b w:val="1"/>
          <w:bCs w:val="1"/>
          <w:color w:val="auto"/>
        </w:rPr>
        <w:t>INFORMATION NOT REQUIRED IN THE PROSPECTUS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Item 13. Other Expenses of Issuance and Distribution</w:t>
      </w:r>
    </w:p>
    <w:p>
      <w:pPr>
        <w:spacing w:after="0" w:line="130" w:lineRule="exact"/>
        <w:rPr>
          <w:sz w:val="20"/>
          <w:szCs w:val="20"/>
          <w:color w:val="auto"/>
        </w:rPr>
      </w:pPr>
    </w:p>
    <w:p>
      <w:pPr>
        <w:ind w:left="180" w:right="160" w:firstLine="465"/>
        <w:spacing w:after="0" w:line="263" w:lineRule="auto"/>
        <w:rPr>
          <w:sz w:val="20"/>
          <w:szCs w:val="20"/>
          <w:color w:val="auto"/>
        </w:rPr>
      </w:pPr>
      <w:r>
        <w:rPr>
          <w:rFonts w:ascii="Arial" w:cs="Arial" w:eastAsia="Arial" w:hAnsi="Arial"/>
          <w:sz w:val="19"/>
          <w:szCs w:val="19"/>
          <w:color w:val="auto"/>
        </w:rPr>
        <w:t>The following table sets forth the expenses to be incurred in connection with the offering described in this Registration Statement, other than underwriting discounts and commissions, all of which will be paid by us. All amounts are estimates except the Securities and Exchange Commission’s registration fee, the Financial Industry Regulatory Authority, Inc.’s filing fee, and the NASDAQ listing fee.</w:t>
      </w:r>
    </w:p>
    <w:p>
      <w:pPr>
        <w:sectPr>
          <w:pgSz w:w="12240" w:h="15840" w:orient="portrait"/>
          <w:cols w:equalWidth="0" w:num="1">
            <w:col w:w="11780"/>
          </w:cols>
          <w:pgMar w:left="120" w:top="336" w:right="3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-128905</wp:posOffset>
            </wp:positionV>
            <wp:extent cx="5017135" cy="1536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017135" cy="153670"/>
                    </a:xfrm>
                    <a:prstGeom prst="rect">
                      <a:avLst/>
                    </a:prstGeom>
                    <a:noFill/>
                  </pic:spPr>
                </pic:pic>
              </a:graphicData>
            </a:graphic>
          </wp:anchor>
        </w:drawing>
      </w:r>
    </w:p>
    <w:p>
      <w:pPr>
        <w:spacing w:after="0" w:line="4"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FINRA filing fee</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-137160</wp:posOffset>
            </wp:positionV>
            <wp:extent cx="5017135" cy="1447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017135" cy="144780"/>
                    </a:xfrm>
                    <a:prstGeom prst="rect">
                      <a:avLst/>
                    </a:prstGeom>
                    <a:noFill/>
                  </pic:spPr>
                </pic:pic>
              </a:graphicData>
            </a:graphic>
          </wp:anchor>
        </w:drawing>
      </w:r>
    </w:p>
    <w:p>
      <w:pPr>
        <w:ind w:left="2040"/>
        <w:spacing w:after="0"/>
        <w:rPr>
          <w:sz w:val="20"/>
          <w:szCs w:val="20"/>
          <w:color w:val="auto"/>
        </w:rPr>
      </w:pPr>
      <w:r>
        <w:rPr>
          <w:rFonts w:ascii="Arial" w:cs="Arial" w:eastAsia="Arial" w:hAnsi="Arial"/>
          <w:sz w:val="17"/>
          <w:szCs w:val="17"/>
          <w:color w:val="auto"/>
        </w:rPr>
        <w:t>Printing and engraving expenses</w:t>
      </w:r>
    </w:p>
    <w:p>
      <w:pPr>
        <w:spacing w:after="0" w:line="33"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-137160</wp:posOffset>
            </wp:positionV>
            <wp:extent cx="5017135" cy="1447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017135" cy="144780"/>
                    </a:xfrm>
                    <a:prstGeom prst="rect">
                      <a:avLst/>
                    </a:prstGeom>
                    <a:noFill/>
                  </pic:spPr>
                </pic:pic>
              </a:graphicData>
            </a:graphic>
          </wp:anchor>
        </w:drawing>
      </w:r>
    </w:p>
    <w:p>
      <w:pPr>
        <w:ind w:left="2040"/>
        <w:spacing w:after="0"/>
        <w:rPr>
          <w:sz w:val="20"/>
          <w:szCs w:val="20"/>
          <w:color w:val="auto"/>
        </w:rPr>
      </w:pPr>
      <w:r>
        <w:rPr>
          <w:rFonts w:ascii="Arial" w:cs="Arial" w:eastAsia="Arial" w:hAnsi="Arial"/>
          <w:sz w:val="18"/>
          <w:szCs w:val="18"/>
          <w:color w:val="auto"/>
        </w:rPr>
        <w:t>Accounting fees and expenses</w:t>
      </w:r>
    </w:p>
    <w:p>
      <w:pPr>
        <w:spacing w:after="0" w:line="21"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-122555</wp:posOffset>
            </wp:positionV>
            <wp:extent cx="5017135" cy="1447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017135" cy="144780"/>
                    </a:xfrm>
                    <a:prstGeom prst="rect">
                      <a:avLst/>
                    </a:prstGeom>
                    <a:noFill/>
                  </pic:spPr>
                </pic:pic>
              </a:graphicData>
            </a:graphic>
          </wp:anchor>
        </w:drawing>
      </w:r>
    </w:p>
    <w:p>
      <w:pPr>
        <w:spacing w:after="0" w:line="13"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Miscellaneous expenses</w:t>
      </w:r>
    </w:p>
    <w:p>
      <w:pPr>
        <w:spacing w:after="0" w:line="25"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-128905</wp:posOffset>
            </wp:positionV>
            <wp:extent cx="5017135" cy="1447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017135" cy="144780"/>
                    </a:xfrm>
                    <a:prstGeom prst="rect">
                      <a:avLst/>
                    </a:prstGeom>
                    <a:noFill/>
                  </pic:spPr>
                </pic:pic>
              </a:graphicData>
            </a:graphic>
          </wp:anchor>
        </w:drawing>
      </w:r>
    </w:p>
    <w:p>
      <w:pPr>
        <w:spacing w:after="0" w:line="38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1893"/>
        <w:spacing w:after="0"/>
        <w:rPr>
          <w:sz w:val="20"/>
          <w:szCs w:val="20"/>
          <w:color w:val="auto"/>
        </w:rPr>
      </w:pPr>
      <w:r>
        <w:rPr>
          <w:rFonts w:ascii="Arial" w:cs="Arial" w:eastAsia="Arial" w:hAnsi="Arial"/>
          <w:sz w:val="15"/>
          <w:szCs w:val="15"/>
          <w:b w:val="1"/>
          <w:bCs w:val="1"/>
          <w:color w:val="auto"/>
        </w:rPr>
        <w:t>Amount to</w:t>
      </w:r>
    </w:p>
    <w:p>
      <w:pPr>
        <w:jc w:val="center"/>
        <w:ind w:right="1893"/>
        <w:spacing w:after="0"/>
        <w:rPr>
          <w:sz w:val="20"/>
          <w:szCs w:val="20"/>
          <w:color w:val="auto"/>
        </w:rPr>
      </w:pPr>
      <w:r>
        <w:rPr>
          <w:rFonts w:ascii="Arial" w:cs="Arial" w:eastAsia="Arial" w:hAnsi="Arial"/>
          <w:sz w:val="15"/>
          <w:szCs w:val="15"/>
          <w:b w:val="1"/>
          <w:bCs w:val="1"/>
          <w:color w:val="auto"/>
        </w:rPr>
        <w:t>be Paid</w:t>
      </w:r>
    </w:p>
    <w:p>
      <w:pPr>
        <w:spacing w:after="0" w:line="7" w:lineRule="exact"/>
        <w:rPr>
          <w:sz w:val="20"/>
          <w:szCs w:val="20"/>
          <w:color w:val="auto"/>
        </w:rPr>
      </w:pPr>
    </w:p>
    <w:p>
      <w:pPr>
        <w:ind w:left="367" w:hanging="367"/>
        <w:spacing w:after="0"/>
        <w:tabs>
          <w:tab w:leader="none" w:pos="367" w:val="left"/>
        </w:tabs>
        <w:numPr>
          <w:ilvl w:val="0"/>
          <w:numId w:val="141"/>
        </w:numPr>
        <w:rPr>
          <w:rFonts w:ascii="Arial" w:cs="Arial" w:eastAsia="Arial" w:hAnsi="Arial"/>
          <w:sz w:val="17"/>
          <w:szCs w:val="17"/>
          <w:color w:val="auto"/>
        </w:rPr>
      </w:pPr>
      <w:r>
        <w:rPr>
          <w:rFonts w:ascii="Arial" w:cs="Arial" w:eastAsia="Arial" w:hAnsi="Arial"/>
          <w:sz w:val="17"/>
          <w:szCs w:val="17"/>
          <w:color w:val="auto"/>
        </w:rPr>
        <w:t>25,786</w:t>
      </w:r>
    </w:p>
    <w:p>
      <w:pPr>
        <w:spacing w:after="0" w:line="30" w:lineRule="exact"/>
        <w:rPr>
          <w:sz w:val="20"/>
          <w:szCs w:val="20"/>
          <w:color w:val="auto"/>
        </w:rPr>
      </w:pPr>
    </w:p>
    <w:p>
      <w:pPr>
        <w:jc w:val="right"/>
        <w:ind w:right="1900"/>
        <w:spacing w:after="0"/>
        <w:rPr>
          <w:sz w:val="20"/>
          <w:szCs w:val="20"/>
          <w:color w:val="auto"/>
        </w:rPr>
      </w:pPr>
      <w:r>
        <w:rPr>
          <w:rFonts w:ascii="Arial" w:cs="Arial" w:eastAsia="Arial" w:hAnsi="Arial"/>
          <w:sz w:val="19"/>
          <w:szCs w:val="19"/>
          <w:color w:val="auto"/>
        </w:rPr>
        <w:t>32,413</w:t>
      </w:r>
    </w:p>
    <w:p>
      <w:pPr>
        <w:spacing w:after="0" w:line="10" w:lineRule="exact"/>
        <w:rPr>
          <w:sz w:val="20"/>
          <w:szCs w:val="20"/>
          <w:color w:val="auto"/>
        </w:rPr>
      </w:pPr>
    </w:p>
    <w:p>
      <w:pPr>
        <w:jc w:val="right"/>
        <w:ind w:right="1900"/>
        <w:spacing w:after="0"/>
        <w:rPr>
          <w:sz w:val="20"/>
          <w:szCs w:val="20"/>
          <w:color w:val="auto"/>
        </w:rPr>
      </w:pPr>
      <w:r>
        <w:rPr>
          <w:rFonts w:ascii="Arial" w:cs="Arial" w:eastAsia="Arial" w:hAnsi="Arial"/>
          <w:sz w:val="19"/>
          <w:szCs w:val="19"/>
          <w:color w:val="auto"/>
        </w:rPr>
        <w:t>200,000</w:t>
      </w:r>
    </w:p>
    <w:p>
      <w:pPr>
        <w:spacing w:after="0" w:line="10" w:lineRule="exact"/>
        <w:rPr>
          <w:sz w:val="20"/>
          <w:szCs w:val="20"/>
          <w:color w:val="auto"/>
        </w:rPr>
      </w:pPr>
    </w:p>
    <w:p>
      <w:pPr>
        <w:jc w:val="right"/>
        <w:ind w:right="1900"/>
        <w:spacing w:after="0"/>
        <w:rPr>
          <w:sz w:val="20"/>
          <w:szCs w:val="20"/>
          <w:color w:val="auto"/>
        </w:rPr>
      </w:pPr>
      <w:r>
        <w:rPr>
          <w:rFonts w:ascii="Arial" w:cs="Arial" w:eastAsia="Arial" w:hAnsi="Arial"/>
          <w:sz w:val="19"/>
          <w:szCs w:val="19"/>
          <w:color w:val="auto"/>
        </w:rPr>
        <w:t>500,000</w:t>
      </w:r>
    </w:p>
    <w:p>
      <w:pPr>
        <w:spacing w:after="0" w:line="10" w:lineRule="exact"/>
        <w:rPr>
          <w:sz w:val="20"/>
          <w:szCs w:val="20"/>
          <w:color w:val="auto"/>
        </w:rPr>
      </w:pPr>
    </w:p>
    <w:p>
      <w:pPr>
        <w:jc w:val="right"/>
        <w:ind w:right="1900"/>
        <w:spacing w:after="0"/>
        <w:rPr>
          <w:sz w:val="20"/>
          <w:szCs w:val="20"/>
          <w:color w:val="auto"/>
        </w:rPr>
      </w:pPr>
      <w:r>
        <w:rPr>
          <w:rFonts w:ascii="Arial" w:cs="Arial" w:eastAsia="Arial" w:hAnsi="Arial"/>
          <w:sz w:val="19"/>
          <w:szCs w:val="19"/>
          <w:color w:val="auto"/>
        </w:rPr>
        <w:t>1,600,000</w:t>
      </w:r>
    </w:p>
    <w:p>
      <w:pPr>
        <w:spacing w:after="0" w:line="10" w:lineRule="exact"/>
        <w:rPr>
          <w:sz w:val="20"/>
          <w:szCs w:val="20"/>
          <w:color w:val="auto"/>
        </w:rPr>
      </w:pPr>
    </w:p>
    <w:p>
      <w:pPr>
        <w:jc w:val="right"/>
        <w:ind w:right="1900"/>
        <w:spacing w:after="0"/>
        <w:rPr>
          <w:sz w:val="20"/>
          <w:szCs w:val="20"/>
          <w:color w:val="auto"/>
        </w:rPr>
      </w:pPr>
      <w:r>
        <w:rPr>
          <w:rFonts w:ascii="Arial" w:cs="Arial" w:eastAsia="Arial" w:hAnsi="Arial"/>
          <w:sz w:val="19"/>
          <w:szCs w:val="19"/>
          <w:color w:val="auto"/>
        </w:rPr>
        <w:t>1,050,000</w:t>
      </w:r>
    </w:p>
    <w:p>
      <w:pPr>
        <w:spacing w:after="0" w:line="10" w:lineRule="exact"/>
        <w:rPr>
          <w:sz w:val="20"/>
          <w:szCs w:val="20"/>
          <w:color w:val="auto"/>
        </w:rPr>
      </w:pPr>
    </w:p>
    <w:p>
      <w:pPr>
        <w:jc w:val="right"/>
        <w:ind w:right="1900"/>
        <w:spacing w:after="0"/>
        <w:rPr>
          <w:sz w:val="20"/>
          <w:szCs w:val="20"/>
          <w:color w:val="auto"/>
        </w:rPr>
      </w:pPr>
      <w:r>
        <w:rPr>
          <w:rFonts w:ascii="Arial" w:cs="Arial" w:eastAsia="Arial" w:hAnsi="Arial"/>
          <w:sz w:val="19"/>
          <w:szCs w:val="19"/>
          <w:color w:val="auto"/>
        </w:rPr>
        <w:t>10,000</w:t>
      </w:r>
    </w:p>
    <w:p>
      <w:pPr>
        <w:spacing w:after="0" w:line="10" w:lineRule="exact"/>
        <w:rPr>
          <w:sz w:val="20"/>
          <w:szCs w:val="20"/>
          <w:color w:val="auto"/>
        </w:rPr>
      </w:pPr>
    </w:p>
    <w:p>
      <w:pPr>
        <w:jc w:val="right"/>
        <w:ind w:right="1900"/>
        <w:spacing w:after="0"/>
        <w:rPr>
          <w:sz w:val="20"/>
          <w:szCs w:val="20"/>
          <w:color w:val="auto"/>
        </w:rPr>
      </w:pPr>
      <w:r>
        <w:rPr>
          <w:rFonts w:ascii="Arial" w:cs="Arial" w:eastAsia="Arial" w:hAnsi="Arial"/>
          <w:sz w:val="19"/>
          <w:szCs w:val="19"/>
          <w:color w:val="auto"/>
        </w:rPr>
        <w:t>181,801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6134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61340" cy="8890"/>
                    </a:xfrm>
                    <a:prstGeom prst="rect">
                      <a:avLst/>
                    </a:prstGeom>
                    <a:noFill/>
                  </pic:spPr>
                </pic:pic>
              </a:graphicData>
            </a:graphic>
          </wp:anchor>
        </w:drawing>
      </w:r>
    </w:p>
    <w:p>
      <w:pPr>
        <w:spacing w:after="0" w:line="5" w:lineRule="exact"/>
        <w:rPr>
          <w:sz w:val="20"/>
          <w:szCs w:val="20"/>
          <w:color w:val="auto"/>
        </w:rPr>
      </w:pPr>
    </w:p>
    <w:p>
      <w:pPr>
        <w:ind w:left="7"/>
        <w:spacing w:after="0"/>
        <w:rPr>
          <w:sz w:val="20"/>
          <w:szCs w:val="20"/>
          <w:color w:val="auto"/>
        </w:rPr>
      </w:pPr>
      <w:r>
        <w:rPr>
          <w:rFonts w:ascii="Arial" w:cs="Arial" w:eastAsia="Arial" w:hAnsi="Arial"/>
          <w:sz w:val="16"/>
          <w:szCs w:val="16"/>
          <w:u w:val="single" w:color="auto"/>
          <w:color w:val="auto"/>
        </w:rPr>
        <w:t>$ 3,600,000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56134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61340" cy="8890"/>
                    </a:xfrm>
                    <a:prstGeom prst="rect">
                      <a:avLst/>
                    </a:prstGeom>
                    <a:noFill/>
                  </pic:spPr>
                </pic:pic>
              </a:graphicData>
            </a:graphic>
          </wp:anchor>
        </w:drawing>
      </w:r>
    </w:p>
    <w:p>
      <w:pPr>
        <w:spacing w:after="0" w:line="785" w:lineRule="exact"/>
        <w:rPr>
          <w:sz w:val="20"/>
          <w:szCs w:val="20"/>
          <w:color w:val="auto"/>
        </w:rPr>
      </w:pPr>
    </w:p>
    <w:p>
      <w:pPr>
        <w:sectPr>
          <w:pgSz w:w="12240" w:h="15840" w:orient="portrait"/>
          <w:cols w:equalWidth="0" w:num="2">
            <w:col w:w="8273" w:space="720"/>
            <w:col w:w="2787"/>
          </w:cols>
          <w:pgMar w:left="120" w:top="336" w:right="340" w:bottom="1440" w:gutter="0" w:footer="0" w:header="0"/>
          <w:type w:val="continuous"/>
        </w:sectPr>
      </w:pPr>
    </w:p>
    <w:p>
      <w:pPr>
        <w:ind w:left="180" w:firstLine="465"/>
        <w:spacing w:after="0" w:line="267" w:lineRule="auto"/>
        <w:rPr>
          <w:sz w:val="20"/>
          <w:szCs w:val="20"/>
          <w:color w:val="auto"/>
        </w:rPr>
      </w:pPr>
      <w:r>
        <w:rPr>
          <w:rFonts w:ascii="Arial" w:cs="Arial" w:eastAsia="Arial" w:hAnsi="Arial"/>
          <w:sz w:val="18"/>
          <w:szCs w:val="18"/>
          <w:color w:val="auto"/>
        </w:rPr>
        <w:t>Section 145 of the Delaware General Corporation Law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to be in effect upon the completion of this offering provides for the indemnification of the registrant’s directors and officers to the fullest extent permitted under the Delaware General Corporation Law. In addition, the bylaws of the registrant to be in effect upon the completion of this offering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201" w:lineRule="exact"/>
        <w:rPr>
          <w:sz w:val="20"/>
          <w:szCs w:val="20"/>
          <w:color w:val="auto"/>
        </w:rPr>
      </w:pPr>
    </w:p>
    <w:p>
      <w:pPr>
        <w:ind w:left="180" w:right="160" w:firstLine="465"/>
        <w:spacing w:after="0" w:line="284" w:lineRule="auto"/>
        <w:rPr>
          <w:sz w:val="20"/>
          <w:szCs w:val="20"/>
          <w:color w:val="auto"/>
        </w:rPr>
      </w:pPr>
      <w:r>
        <w:rPr>
          <w:rFonts w:ascii="Arial" w:cs="Arial" w:eastAsia="Arial" w:hAnsi="Arial"/>
          <w:sz w:val="17"/>
          <w:szCs w:val="17"/>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w:t>
      </w:r>
    </w:p>
    <w:p>
      <w:pPr>
        <w:spacing w:after="0" w:line="1" w:lineRule="exact"/>
        <w:rPr>
          <w:sz w:val="20"/>
          <w:szCs w:val="20"/>
          <w:color w:val="auto"/>
        </w:rPr>
      </w:pPr>
    </w:p>
    <w:p>
      <w:pPr>
        <w:jc w:val="both"/>
        <w:ind w:left="180" w:right="40" w:hanging="1"/>
        <w:spacing w:after="0" w:line="255" w:lineRule="auto"/>
        <w:tabs>
          <w:tab w:leader="none" w:pos="449" w:val="left"/>
        </w:tabs>
        <w:numPr>
          <w:ilvl w:val="0"/>
          <w:numId w:val="142"/>
        </w:numPr>
        <w:rPr>
          <w:rFonts w:ascii="Arial" w:cs="Arial" w:eastAsia="Arial" w:hAnsi="Arial"/>
          <w:sz w:val="19"/>
          <w:szCs w:val="19"/>
          <w:color w:val="auto"/>
        </w:rPr>
      </w:pPr>
      <w:r>
        <w:rPr>
          <w:rFonts w:ascii="Arial" w:cs="Arial" w:eastAsia="Arial" w:hAnsi="Arial"/>
          <w:sz w:val="19"/>
          <w:szCs w:val="19"/>
          <w:color w:val="auto"/>
        </w:rPr>
        <w:t>for any transaction from which the director derived an improper personal benefit. The registrant’s certificate of incorporation to be in effect upon the completion of this offering provides that the registrant’s directors shall not be personally liable to it or its stockholders for monetary damages for breach of fiduciary duty as a director and that if the Delaware General Corporation Law is amended</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II-1</w:t>
      </w:r>
    </w:p>
    <w:p>
      <w:pPr>
        <w:sectPr>
          <w:pgSz w:w="12240" w:h="15840" w:orient="portrait"/>
          <w:cols w:equalWidth="0" w:num="1">
            <w:col w:w="11780"/>
          </w:cols>
          <w:pgMar w:left="120" w:top="336" w:right="340" w:bottom="1440" w:gutter="0" w:footer="0" w:header="0"/>
          <w:type w:val="continuous"/>
        </w:sectPr>
      </w:pPr>
    </w:p>
    <w:bookmarkStart w:id="233" w:name="page234"/>
    <w:bookmarkEnd w:id="23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500"/>
        <w:spacing w:after="0" w:line="275" w:lineRule="auto"/>
        <w:rPr>
          <w:sz w:val="20"/>
          <w:szCs w:val="20"/>
          <w:color w:val="auto"/>
        </w:rPr>
      </w:pPr>
      <w:r>
        <w:rPr>
          <w:rFonts w:ascii="Arial" w:cs="Arial" w:eastAsia="Arial" w:hAnsi="Arial"/>
          <w:sz w:val="19"/>
          <w:szCs w:val="19"/>
          <w:color w:val="auto"/>
        </w:rPr>
        <w:t>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184"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204" w:lineRule="exact"/>
        <w:rPr>
          <w:sz w:val="20"/>
          <w:szCs w:val="20"/>
          <w:color w:val="auto"/>
        </w:rPr>
      </w:pPr>
    </w:p>
    <w:p>
      <w:pPr>
        <w:ind w:left="180" w:right="120" w:firstLine="465"/>
        <w:spacing w:after="0" w:line="263" w:lineRule="auto"/>
        <w:rPr>
          <w:sz w:val="20"/>
          <w:szCs w:val="20"/>
          <w:color w:val="auto"/>
        </w:rPr>
      </w:pPr>
      <w:r>
        <w:rPr>
          <w:rFonts w:ascii="Arial" w:cs="Arial" w:eastAsia="Arial" w:hAnsi="Arial"/>
          <w:sz w:val="19"/>
          <w:szCs w:val="19"/>
          <w:color w:val="auto"/>
        </w:rPr>
        <w:t>As permitted by the Delaware General Corporation Law, the registrant intends to enter into separate indemnification agreements with each of the registrant’s directors and certain of the registrant’s officers which would require the registrant, among other things, to indemnify them against certain liabilities which may arise by reason of their status as directors, officers, or certain other employees.</w:t>
      </w:r>
    </w:p>
    <w:p>
      <w:pPr>
        <w:spacing w:after="0" w:line="194"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Delaware General Corporation Law.</w:t>
      </w:r>
    </w:p>
    <w:p>
      <w:pPr>
        <w:spacing w:after="0" w:line="204" w:lineRule="exact"/>
        <w:rPr>
          <w:sz w:val="20"/>
          <w:szCs w:val="20"/>
          <w:color w:val="auto"/>
        </w:rPr>
      </w:pPr>
    </w:p>
    <w:p>
      <w:pPr>
        <w:ind w:left="180" w:right="540" w:firstLine="465"/>
        <w:spacing w:after="0" w:line="263" w:lineRule="auto"/>
        <w:rPr>
          <w:sz w:val="20"/>
          <w:szCs w:val="20"/>
          <w:color w:val="auto"/>
        </w:rPr>
      </w:pPr>
      <w:r>
        <w:rPr>
          <w:rFonts w:ascii="Arial" w:cs="Arial" w:eastAsia="Arial" w:hAnsi="Arial"/>
          <w:sz w:val="19"/>
          <w:szCs w:val="19"/>
          <w:color w:val="auto"/>
        </w:rPr>
        <w:t>These indemnification provisions and the indemnification agreements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 of 1933, as amended.</w:t>
      </w:r>
    </w:p>
    <w:p>
      <w:pPr>
        <w:spacing w:after="0" w:line="194" w:lineRule="exact"/>
        <w:rPr>
          <w:sz w:val="20"/>
          <w:szCs w:val="20"/>
          <w:color w:val="auto"/>
        </w:rPr>
      </w:pPr>
    </w:p>
    <w:p>
      <w:pPr>
        <w:ind w:left="180" w:right="260" w:firstLine="465"/>
        <w:spacing w:after="0" w:line="308" w:lineRule="auto"/>
        <w:rPr>
          <w:sz w:val="20"/>
          <w:szCs w:val="20"/>
          <w:color w:val="auto"/>
        </w:rPr>
      </w:pPr>
      <w:r>
        <w:rPr>
          <w:rFonts w:ascii="Arial" w:cs="Arial" w:eastAsia="Arial" w:hAnsi="Arial"/>
          <w:sz w:val="17"/>
          <w:szCs w:val="17"/>
          <w:color w:val="auto"/>
        </w:rPr>
        <w:t>The underwriting agreement between the registrant and the underwriters to be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Item 15. Recent Sales of Unregistered Securities</w:t>
      </w:r>
    </w:p>
    <w:p>
      <w:pPr>
        <w:spacing w:after="0" w:line="130" w:lineRule="exact"/>
        <w:rPr>
          <w:sz w:val="20"/>
          <w:szCs w:val="20"/>
          <w:color w:val="auto"/>
        </w:rPr>
      </w:pPr>
    </w:p>
    <w:p>
      <w:pPr>
        <w:jc w:val="both"/>
        <w:ind w:left="180" w:firstLine="465"/>
        <w:spacing w:after="0" w:line="263" w:lineRule="auto"/>
        <w:rPr>
          <w:sz w:val="20"/>
          <w:szCs w:val="20"/>
          <w:color w:val="auto"/>
        </w:rPr>
      </w:pPr>
      <w:r>
        <w:rPr>
          <w:rFonts w:ascii="Arial" w:cs="Arial" w:eastAsia="Arial" w:hAnsi="Arial"/>
          <w:sz w:val="19"/>
          <w:szCs w:val="19"/>
          <w:color w:val="auto"/>
        </w:rPr>
        <w:t>The following list sets forth information regarding all unregistered securities sold by us since October 13, 2017.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94" w:lineRule="exact"/>
        <w:rPr>
          <w:sz w:val="20"/>
          <w:szCs w:val="20"/>
          <w:color w:val="auto"/>
        </w:rPr>
      </w:pPr>
    </w:p>
    <w:p>
      <w:pPr>
        <w:ind w:left="180" w:right="200" w:firstLine="465"/>
        <w:spacing w:after="0" w:line="275" w:lineRule="auto"/>
        <w:tabs>
          <w:tab w:leader="none" w:pos="91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In April 2018, July 2018, and October 2018, we issued 9,373,633 shares of our Series E preferred stock at $14.2154 per share, for aggregate proceeds of $133.2 million to a total of 32 accredited investors.</w:t>
      </w:r>
    </w:p>
    <w:p>
      <w:pPr>
        <w:spacing w:after="0" w:line="183" w:lineRule="exact"/>
        <w:rPr>
          <w:rFonts w:ascii="Arial" w:cs="Arial" w:eastAsia="Arial" w:hAnsi="Arial"/>
          <w:sz w:val="19"/>
          <w:szCs w:val="19"/>
          <w:color w:val="auto"/>
        </w:rPr>
      </w:pPr>
    </w:p>
    <w:p>
      <w:pPr>
        <w:ind w:left="180" w:right="60" w:firstLine="465"/>
        <w:spacing w:after="0" w:line="336" w:lineRule="auto"/>
        <w:tabs>
          <w:tab w:leader="none" w:pos="914" w:val="left"/>
        </w:tabs>
        <w:numPr>
          <w:ilvl w:val="0"/>
          <w:numId w:val="143"/>
        </w:numPr>
        <w:rPr>
          <w:rFonts w:ascii="Arial" w:cs="Arial" w:eastAsia="Arial" w:hAnsi="Arial"/>
          <w:sz w:val="17"/>
          <w:szCs w:val="17"/>
          <w:color w:val="auto"/>
        </w:rPr>
      </w:pPr>
      <w:r>
        <w:rPr>
          <w:rFonts w:ascii="Arial" w:cs="Arial" w:eastAsia="Arial" w:hAnsi="Arial"/>
          <w:sz w:val="17"/>
          <w:szCs w:val="17"/>
          <w:color w:val="auto"/>
        </w:rPr>
        <w:t>Since October 13, 2017, we granted stock options to purchase an aggregate of 5,086,084 shares of common stock upon the exercise of options under our 2017 Plan at exercise prices per share ranging from $6.95 to $10.14, for an aggregate exercise price of approximately $45.5 million.</w:t>
      </w:r>
    </w:p>
    <w:p>
      <w:pPr>
        <w:ind w:left="920" w:hanging="275"/>
        <w:spacing w:after="0"/>
        <w:tabs>
          <w:tab w:leader="none" w:pos="92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On the effective date of the registration statement of which this prospectus forms a part, we will grant stock options to purchase an aggregate</w:t>
      </w:r>
    </w:p>
    <w:p>
      <w:pPr>
        <w:spacing w:after="0" w:line="212" w:lineRule="exact"/>
        <w:rPr>
          <w:sz w:val="20"/>
          <w:szCs w:val="20"/>
          <w:color w:val="auto"/>
        </w:rPr>
      </w:pPr>
    </w:p>
    <w:p>
      <w:pPr>
        <w:ind w:left="180" w:right="440"/>
        <w:spacing w:after="0" w:line="275" w:lineRule="auto"/>
        <w:rPr>
          <w:sz w:val="20"/>
          <w:szCs w:val="20"/>
          <w:color w:val="auto"/>
        </w:rPr>
      </w:pPr>
      <w:r>
        <w:rPr>
          <w:rFonts w:ascii="Arial" w:cs="Arial" w:eastAsia="Arial" w:hAnsi="Arial"/>
          <w:sz w:val="19"/>
          <w:szCs w:val="19"/>
          <w:color w:val="auto"/>
        </w:rPr>
        <w:t>of 316,100 shares of common stock upon the exercise of options under our 2019 Plan at an exercise price of $ per share, which is the initial public offering price of our common stock, for an aggregate exercise price of approximately $ .</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II-2</w:t>
      </w:r>
    </w:p>
    <w:p>
      <w:pPr>
        <w:sectPr>
          <w:pgSz w:w="12240" w:h="15840" w:orient="portrait"/>
          <w:cols w:equalWidth="0" w:num="1">
            <w:col w:w="11780"/>
          </w:cols>
          <w:pgMar w:left="120" w:top="337" w:right="340" w:bottom="1440" w:gutter="0" w:footer="0" w:header="0"/>
        </w:sectPr>
      </w:pPr>
    </w:p>
    <w:bookmarkStart w:id="234" w:name="page235"/>
    <w:bookmarkEnd w:id="23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54" w:lineRule="auto"/>
        <w:tabs>
          <w:tab w:leader="none" w:pos="914" w:val="left"/>
        </w:tabs>
        <w:numPr>
          <w:ilvl w:val="0"/>
          <w:numId w:val="144"/>
        </w:numPr>
        <w:rPr>
          <w:rFonts w:ascii="Arial" w:cs="Arial" w:eastAsia="Arial" w:hAnsi="Arial"/>
          <w:sz w:val="19"/>
          <w:szCs w:val="19"/>
          <w:color w:val="auto"/>
        </w:rPr>
      </w:pPr>
      <w:r>
        <w:rPr>
          <w:rFonts w:ascii="Arial" w:cs="Arial" w:eastAsia="Arial" w:hAnsi="Arial"/>
          <w:sz w:val="19"/>
          <w:szCs w:val="19"/>
          <w:color w:val="auto"/>
        </w:rPr>
        <w:t>On October 13, 2017, we completed a reorganization whereby we converted from a Delaware limited liability company, under the name Alector LLC, to a Delaware corporation under the name Alector, Inc. (the “Conversion”). In conjunction with the Conversion, (i) all of our outstanding common units converted on a 1-for-1 basis into 9,421,460 shares of common stock; (ii) all of our outstanding preferred units converted on a 1-for-1 basis into 36,001,203 shares of convertible preferred stock; and (iii) our unvested restricted units converted on a 1-for-1 basis into 202,924 shares of unvested restricted common stock. Prior to the Conversion, we had issued profit interest units to employees. Our vested profit interest units converted on a net issuance basis into 1,035,653 shares of common stock and our unvested profit interest units converted on a net issuance basis into 3,165,350 shares of restricted common stock.</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offers, sales, and issuances of the securities described in Item 15(1) were exempt from registration under the Securities Act under Section 4(a)</w:t>
      </w:r>
    </w:p>
    <w:p>
      <w:pPr>
        <w:spacing w:after="0" w:line="46" w:lineRule="exact"/>
        <w:rPr>
          <w:sz w:val="20"/>
          <w:szCs w:val="20"/>
          <w:color w:val="auto"/>
        </w:rPr>
      </w:pPr>
    </w:p>
    <w:p>
      <w:pPr>
        <w:jc w:val="both"/>
        <w:ind w:left="180" w:right="20" w:hanging="1"/>
        <w:spacing w:after="0" w:line="293" w:lineRule="auto"/>
        <w:tabs>
          <w:tab w:leader="none" w:pos="449" w:val="left"/>
        </w:tabs>
        <w:numPr>
          <w:ilvl w:val="0"/>
          <w:numId w:val="145"/>
        </w:numPr>
        <w:rPr>
          <w:rFonts w:ascii="Arial" w:cs="Arial" w:eastAsia="Arial" w:hAnsi="Arial"/>
          <w:sz w:val="17"/>
          <w:szCs w:val="17"/>
          <w:color w:val="auto"/>
        </w:rPr>
      </w:pPr>
      <w:r>
        <w:rPr>
          <w:rFonts w:ascii="Arial" w:cs="Arial" w:eastAsia="Arial" w:hAnsi="Arial"/>
          <w:sz w:val="17"/>
          <w:szCs w:val="17"/>
          <w:color w:val="auto"/>
        </w:rPr>
        <w:t>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person and had adequate access, through employment, business, or other relationships, to information about the registrant.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offers, sales, and issuances of the securities described in Items 15(2), 15(3), and 15(4) were exempt from registration under the Securities Act</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under either (1) Rule 701 in that the transactions were under compensatory benefit plans and contracts relating to compensation as provided under</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Rule 701 or (2) Section 4(a)(2) of the Securities Act as transactions by an issuer not involving any public offering. The recipients of such securities were</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registrant’s employees, consultants, or directors and received the securities under the registrant’s 2017 Plan. The recipients of securities in each of</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these transactions represented their intention to acquire the securities for investment only and not with view to or for sale in connection with any</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9"/>
          <w:szCs w:val="19"/>
          <w:color w:val="auto"/>
        </w:rPr>
        <w:t>distribution thereof and appropriate legends were affixed to the securities issued in these transactions.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Item 16. Exhibit and Financial Statement Schedules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(a) Exhibits.</w:t>
      </w:r>
    </w:p>
    <w:p>
      <w:pPr>
        <w:spacing w:after="0" w:line="130" w:lineRule="exact"/>
        <w:rPr>
          <w:sz w:val="20"/>
          <w:szCs w:val="20"/>
          <w:color w:val="auto"/>
        </w:rPr>
      </w:pPr>
    </w:p>
    <w:p>
      <w:pPr>
        <w:ind w:left="180" w:right="20" w:firstLine="465"/>
        <w:spacing w:after="0" w:line="275" w:lineRule="auto"/>
        <w:rPr>
          <w:sz w:val="20"/>
          <w:szCs w:val="20"/>
          <w:color w:val="auto"/>
        </w:rPr>
      </w:pPr>
      <w:r>
        <w:rPr>
          <w:rFonts w:ascii="Arial" w:cs="Arial" w:eastAsia="Arial" w:hAnsi="Arial"/>
          <w:sz w:val="19"/>
          <w:szCs w:val="19"/>
          <w:color w:val="auto"/>
        </w:rPr>
        <w:t>See the Exhibit Index immediately preceding the signature page hereto for a list of exhibits filed as part of this registration statement on Form S-1, which Exhibit Index is incorporated herein by reference.</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(b) Financial Statement Schedules.</w:t>
      </w:r>
    </w:p>
    <w:p>
      <w:pPr>
        <w:spacing w:after="0" w:line="130" w:lineRule="exact"/>
        <w:rPr>
          <w:sz w:val="20"/>
          <w:szCs w:val="20"/>
          <w:color w:val="auto"/>
        </w:rPr>
      </w:pPr>
    </w:p>
    <w:p>
      <w:pPr>
        <w:ind w:left="180" w:right="260" w:firstLine="465"/>
        <w:spacing w:after="0" w:line="275" w:lineRule="auto"/>
        <w:rPr>
          <w:sz w:val="20"/>
          <w:szCs w:val="20"/>
          <w:color w:val="auto"/>
        </w:rPr>
      </w:pPr>
      <w:r>
        <w:rPr>
          <w:rFonts w:ascii="Arial" w:cs="Arial" w:eastAsia="Arial" w:hAnsi="Arial"/>
          <w:sz w:val="19"/>
          <w:szCs w:val="19"/>
          <w:color w:val="auto"/>
        </w:rPr>
        <w:t>Schedules have been omitted because the information required to be set forth therein is not applicable or is shown in the financial statements or notes thereto.</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Item 17. Undertakings</w:t>
      </w:r>
    </w:p>
    <w:p>
      <w:pPr>
        <w:spacing w:after="0" w:line="130" w:lineRule="exact"/>
        <w:rPr>
          <w:sz w:val="20"/>
          <w:szCs w:val="20"/>
          <w:color w:val="auto"/>
        </w:rPr>
      </w:pPr>
    </w:p>
    <w:p>
      <w:pPr>
        <w:ind w:left="180" w:right="40" w:firstLine="465"/>
        <w:spacing w:after="0" w:line="304"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60" w:lineRule="exact"/>
        <w:rPr>
          <w:sz w:val="20"/>
          <w:szCs w:val="20"/>
          <w:color w:val="auto"/>
        </w:rPr>
      </w:pPr>
    </w:p>
    <w:p>
      <w:pPr>
        <w:ind w:left="180" w:right="240" w:firstLine="465"/>
        <w:spacing w:after="0" w:line="255" w:lineRule="auto"/>
        <w:rPr>
          <w:sz w:val="20"/>
          <w:szCs w:val="20"/>
          <w:color w:val="auto"/>
        </w:rPr>
      </w:pPr>
      <w:r>
        <w:rPr>
          <w:rFonts w:ascii="Arial" w:cs="Arial" w:eastAsia="Arial" w:hAnsi="Arial"/>
          <w:sz w:val="19"/>
          <w:szCs w:val="19"/>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II-3</w:t>
      </w:r>
    </w:p>
    <w:p>
      <w:pPr>
        <w:sectPr>
          <w:pgSz w:w="12240" w:h="15840" w:orient="portrait"/>
          <w:cols w:equalWidth="0" w:num="1">
            <w:col w:w="11800"/>
          </w:cols>
          <w:pgMar w:left="120" w:top="336" w:right="320" w:bottom="1440" w:gutter="0" w:footer="0" w:header="0"/>
        </w:sectPr>
      </w:pPr>
    </w:p>
    <w:bookmarkStart w:id="235" w:name="page236"/>
    <w:bookmarkEnd w:id="23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63" w:lineRule="auto"/>
        <w:rPr>
          <w:sz w:val="20"/>
          <w:szCs w:val="20"/>
          <w:color w:val="auto"/>
        </w:rPr>
      </w:pPr>
      <w:r>
        <w:rPr>
          <w:rFonts w:ascii="Arial" w:cs="Arial" w:eastAsia="Arial" w:hAnsi="Arial"/>
          <w:sz w:val="19"/>
          <w:szCs w:val="19"/>
          <w:color w:val="auto"/>
        </w:rPr>
        <w:t>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undersigned hereby undertakes that:</w:t>
      </w:r>
    </w:p>
    <w:p>
      <w:pPr>
        <w:spacing w:after="0" w:line="124" w:lineRule="exact"/>
        <w:rPr>
          <w:sz w:val="20"/>
          <w:szCs w:val="20"/>
          <w:color w:val="auto"/>
        </w:rPr>
      </w:pPr>
    </w:p>
    <w:p>
      <w:pPr>
        <w:ind w:left="180" w:right="220" w:firstLine="465"/>
        <w:spacing w:after="0" w:line="308" w:lineRule="auto"/>
        <w:tabs>
          <w:tab w:leader="none" w:pos="914" w:val="left"/>
        </w:tabs>
        <w:numPr>
          <w:ilvl w:val="0"/>
          <w:numId w:val="146"/>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160" w:lineRule="exact"/>
        <w:rPr>
          <w:rFonts w:ascii="Arial" w:cs="Arial" w:eastAsia="Arial" w:hAnsi="Arial"/>
          <w:sz w:val="17"/>
          <w:szCs w:val="17"/>
          <w:color w:val="auto"/>
        </w:rPr>
      </w:pPr>
    </w:p>
    <w:p>
      <w:pPr>
        <w:ind w:left="180" w:firstLine="465"/>
        <w:spacing w:after="0" w:line="263" w:lineRule="auto"/>
        <w:tabs>
          <w:tab w:leader="none" w:pos="914" w:val="left"/>
        </w:tabs>
        <w:numPr>
          <w:ilvl w:val="0"/>
          <w:numId w:val="146"/>
        </w:numPr>
        <w:rPr>
          <w:rFonts w:ascii="Arial" w:cs="Arial" w:eastAsia="Arial" w:hAnsi="Arial"/>
          <w:sz w:val="19"/>
          <w:szCs w:val="19"/>
          <w:color w:val="auto"/>
        </w:rPr>
      </w:pPr>
      <w:r>
        <w:rPr>
          <w:rFonts w:ascii="Arial" w:cs="Arial" w:eastAsia="Arial" w:hAnsi="Arial"/>
          <w:sz w:val="19"/>
          <w:szCs w:val="19"/>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3"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II-4</w:t>
      </w:r>
    </w:p>
    <w:p>
      <w:pPr>
        <w:sectPr>
          <w:pgSz w:w="12240" w:h="15840" w:orient="portrait"/>
          <w:cols w:equalWidth="0" w:num="1">
            <w:col w:w="11680"/>
          </w:cols>
          <w:pgMar w:left="120" w:top="336" w:right="440" w:bottom="1440" w:gutter="0" w:footer="0" w:header="0"/>
        </w:sectPr>
      </w:pPr>
    </w:p>
    <w:bookmarkStart w:id="236" w:name="page237"/>
    <w:bookmarkEnd w:id="23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tbl>
      <w:tblPr>
        <w:tblLayout w:type="fixed"/>
        <w:tblInd w:w="180" w:type="dxa"/>
        <w:tblCellMar>
          <w:top w:w="0" w:type="dxa"/>
          <w:left w:w="0" w:type="dxa"/>
          <w:bottom w:w="0" w:type="dxa"/>
          <w:right w:w="0" w:type="dxa"/>
        </w:tblCellMar>
      </w:tblPr>
      <w:tr>
        <w:trPr>
          <w:trHeight w:val="247"/>
        </w:trPr>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500" w:type="dxa"/>
            <w:vAlign w:val="bottom"/>
            <w:gridSpan w:val="24"/>
          </w:tcPr>
          <w:p>
            <w:pPr>
              <w:ind w:left="200"/>
              <w:spacing w:after="0"/>
              <w:rPr>
                <w:sz w:val="20"/>
                <w:szCs w:val="20"/>
                <w:color w:val="auto"/>
              </w:rPr>
            </w:pPr>
            <w:r>
              <w:rPr>
                <w:rFonts w:ascii="Arial" w:cs="Arial" w:eastAsia="Arial" w:hAnsi="Arial"/>
                <w:sz w:val="19"/>
                <w:szCs w:val="19"/>
                <w:b w:val="1"/>
                <w:bCs w:val="1"/>
                <w:color w:val="auto"/>
              </w:rPr>
              <w:t>EXHIBIT INDEX</w:t>
            </w:r>
          </w:p>
        </w:tc>
      </w:tr>
      <w:tr>
        <w:trPr>
          <w:trHeight w:val="392"/>
        </w:trPr>
        <w:tc>
          <w:tcPr>
            <w:tcW w:w="1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5"/>
                <w:szCs w:val="15"/>
                <w:b w:val="1"/>
                <w:bCs w:val="1"/>
                <w:color w:val="auto"/>
                <w:w w:val="95"/>
              </w:rPr>
              <w:t>Exhibit</w:t>
            </w: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80"/>
        </w:trPr>
        <w:tc>
          <w:tcPr>
            <w:tcW w:w="14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Number</w:t>
            </w:r>
          </w:p>
        </w:tc>
        <w:tc>
          <w:tcPr>
            <w:tcW w:w="600" w:type="dxa"/>
            <w:vAlign w:val="bottom"/>
          </w:tcPr>
          <w:p>
            <w:pPr>
              <w:spacing w:after="0"/>
              <w:rPr>
                <w:sz w:val="15"/>
                <w:szCs w:val="15"/>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89"/>
              </w:rPr>
              <w:t>Description</w:t>
            </w:r>
          </w:p>
        </w:tc>
        <w:tc>
          <w:tcPr>
            <w:tcW w:w="9340" w:type="dxa"/>
            <w:vAlign w:val="bottom"/>
            <w:gridSpan w:val="28"/>
          </w:tcPr>
          <w:p>
            <w:pPr>
              <w:spacing w:after="0"/>
              <w:rPr>
                <w:sz w:val="15"/>
                <w:szCs w:val="15"/>
                <w:color w:val="auto"/>
              </w:rPr>
            </w:pPr>
          </w:p>
        </w:tc>
      </w:tr>
      <w:tr>
        <w:trPr>
          <w:trHeight w:val="408"/>
        </w:trPr>
        <w:tc>
          <w:tcPr>
            <w:tcW w:w="680" w:type="dxa"/>
            <w:vAlign w:val="bottom"/>
            <w:gridSpan w:val="2"/>
          </w:tcPr>
          <w:p>
            <w:pPr>
              <w:ind w:left="100"/>
              <w:spacing w:after="0"/>
              <w:rPr>
                <w:sz w:val="20"/>
                <w:szCs w:val="20"/>
                <w:color w:val="auto"/>
              </w:rPr>
            </w:pPr>
            <w:r>
              <w:rPr>
                <w:rFonts w:ascii="Arial" w:cs="Arial" w:eastAsia="Arial" w:hAnsi="Arial"/>
                <w:sz w:val="19"/>
                <w:szCs w:val="19"/>
                <w:color w:val="auto"/>
              </w:rPr>
              <w:t>1.1^</w:t>
            </w:r>
          </w:p>
        </w:tc>
        <w:tc>
          <w:tcPr>
            <w:tcW w:w="600" w:type="dxa"/>
            <w:vAlign w:val="bottom"/>
          </w:tcPr>
          <w:p>
            <w:pPr>
              <w:spacing w:after="0"/>
              <w:rPr>
                <w:sz w:val="24"/>
                <w:szCs w:val="24"/>
                <w:color w:val="auto"/>
              </w:rPr>
            </w:pPr>
          </w:p>
        </w:tc>
        <w:tc>
          <w:tcPr>
            <w:tcW w:w="5700" w:type="dxa"/>
            <w:vAlign w:val="bottom"/>
            <w:tcBorders>
              <w:bottom w:val="single" w:sz="8" w:color="0000EE"/>
            </w:tcBorders>
            <w:gridSpan w:val="13"/>
          </w:tcPr>
          <w:p>
            <w:pPr>
              <w:spacing w:after="0"/>
              <w:rPr>
                <w:rFonts w:ascii="Arial" w:cs="Arial" w:eastAsia="Arial" w:hAnsi="Arial"/>
                <w:sz w:val="19"/>
                <w:szCs w:val="19"/>
                <w:color w:val="0000EE"/>
                <w:w w:val="93"/>
              </w:rPr>
            </w:pPr>
            <w:hyperlink r:id="rId312">
              <w:r>
                <w:rPr>
                  <w:rFonts w:ascii="Arial" w:cs="Arial" w:eastAsia="Arial" w:hAnsi="Arial"/>
                  <w:sz w:val="19"/>
                  <w:szCs w:val="19"/>
                  <w:color w:val="0000EE"/>
                  <w:w w:val="93"/>
                </w:rPr>
                <w:t>Form of Underwriting Agreement, including Form of Lock-up Agreement.</w:t>
              </w:r>
            </w:hyperlink>
          </w:p>
        </w:tc>
        <w:tc>
          <w:tcPr>
            <w:tcW w:w="4400" w:type="dxa"/>
            <w:vAlign w:val="bottom"/>
            <w:gridSpan w:val="16"/>
          </w:tcPr>
          <w:p>
            <w:pPr>
              <w:spacing w:after="0"/>
              <w:rPr>
                <w:sz w:val="24"/>
                <w:szCs w:val="24"/>
                <w:color w:val="auto"/>
              </w:rPr>
            </w:pPr>
          </w:p>
        </w:tc>
      </w:tr>
      <w:tr>
        <w:trPr>
          <w:trHeight w:val="322"/>
        </w:trPr>
        <w:tc>
          <w:tcPr>
            <w:tcW w:w="680" w:type="dxa"/>
            <w:vAlign w:val="bottom"/>
            <w:gridSpan w:val="2"/>
          </w:tcPr>
          <w:p>
            <w:pPr>
              <w:ind w:left="100"/>
              <w:spacing w:after="0"/>
              <w:rPr>
                <w:sz w:val="20"/>
                <w:szCs w:val="20"/>
                <w:color w:val="auto"/>
              </w:rPr>
            </w:pPr>
            <w:r>
              <w:rPr>
                <w:rFonts w:ascii="Arial" w:cs="Arial" w:eastAsia="Arial" w:hAnsi="Arial"/>
                <w:sz w:val="19"/>
                <w:szCs w:val="19"/>
                <w:color w:val="auto"/>
              </w:rPr>
              <w:t>3.1^</w:t>
            </w:r>
          </w:p>
        </w:tc>
        <w:tc>
          <w:tcPr>
            <w:tcW w:w="600" w:type="dxa"/>
            <w:vAlign w:val="bottom"/>
          </w:tcPr>
          <w:p>
            <w:pPr>
              <w:spacing w:after="0"/>
              <w:rPr>
                <w:sz w:val="24"/>
                <w:szCs w:val="24"/>
                <w:color w:val="auto"/>
              </w:rPr>
            </w:pPr>
          </w:p>
        </w:tc>
        <w:tc>
          <w:tcPr>
            <w:tcW w:w="7540" w:type="dxa"/>
            <w:vAlign w:val="bottom"/>
            <w:tcBorders>
              <w:bottom w:val="single" w:sz="8" w:color="0000EE"/>
            </w:tcBorders>
            <w:gridSpan w:val="21"/>
          </w:tcPr>
          <w:p>
            <w:pPr>
              <w:spacing w:after="0"/>
              <w:rPr>
                <w:rFonts w:ascii="Arial" w:cs="Arial" w:eastAsia="Arial" w:hAnsi="Arial"/>
                <w:sz w:val="19"/>
                <w:szCs w:val="19"/>
                <w:color w:val="0000EE"/>
                <w:w w:val="90"/>
              </w:rPr>
            </w:pPr>
            <w:hyperlink r:id="rId313">
              <w:r>
                <w:rPr>
                  <w:rFonts w:ascii="Arial" w:cs="Arial" w:eastAsia="Arial" w:hAnsi="Arial"/>
                  <w:sz w:val="19"/>
                  <w:szCs w:val="19"/>
                  <w:color w:val="0000EE"/>
                  <w:w w:val="90"/>
                </w:rPr>
                <w:t>Second Amended and Restated Certificate of Incorporation of the Registrant, as currently in effect.</w:t>
              </w:r>
            </w:hyperlink>
          </w:p>
        </w:tc>
        <w:tc>
          <w:tcPr>
            <w:tcW w:w="2560" w:type="dxa"/>
            <w:vAlign w:val="bottom"/>
            <w:gridSpan w:val="8"/>
          </w:tcPr>
          <w:p>
            <w:pPr>
              <w:spacing w:after="0"/>
              <w:rPr>
                <w:sz w:val="24"/>
                <w:szCs w:val="24"/>
                <w:color w:val="auto"/>
              </w:rPr>
            </w:pPr>
          </w:p>
        </w:tc>
      </w:tr>
      <w:tr>
        <w:trPr>
          <w:trHeight w:val="322"/>
        </w:trPr>
        <w:tc>
          <w:tcPr>
            <w:tcW w:w="680" w:type="dxa"/>
            <w:vAlign w:val="bottom"/>
            <w:gridSpan w:val="2"/>
          </w:tcPr>
          <w:p>
            <w:pPr>
              <w:ind w:left="100"/>
              <w:spacing w:after="0"/>
              <w:rPr>
                <w:sz w:val="20"/>
                <w:szCs w:val="20"/>
                <w:color w:val="auto"/>
              </w:rPr>
            </w:pPr>
            <w:r>
              <w:rPr>
                <w:rFonts w:ascii="Arial" w:cs="Arial" w:eastAsia="Arial" w:hAnsi="Arial"/>
                <w:sz w:val="19"/>
                <w:szCs w:val="19"/>
                <w:color w:val="auto"/>
              </w:rPr>
              <w:t>3.2^</w:t>
            </w:r>
          </w:p>
        </w:tc>
        <w:tc>
          <w:tcPr>
            <w:tcW w:w="600" w:type="dxa"/>
            <w:vAlign w:val="bottom"/>
          </w:tcPr>
          <w:p>
            <w:pPr>
              <w:spacing w:after="0"/>
              <w:rPr>
                <w:sz w:val="24"/>
                <w:szCs w:val="24"/>
                <w:color w:val="auto"/>
              </w:rPr>
            </w:pPr>
          </w:p>
        </w:tc>
        <w:tc>
          <w:tcPr>
            <w:tcW w:w="10100" w:type="dxa"/>
            <w:vAlign w:val="bottom"/>
            <w:gridSpan w:val="29"/>
          </w:tcPr>
          <w:p>
            <w:pPr>
              <w:spacing w:after="0"/>
              <w:rPr>
                <w:rFonts w:ascii="Arial" w:cs="Arial" w:eastAsia="Arial" w:hAnsi="Arial"/>
                <w:sz w:val="19"/>
                <w:szCs w:val="19"/>
                <w:color w:val="0000EE"/>
                <w:w w:val="93"/>
              </w:rPr>
            </w:pPr>
            <w:hyperlink r:id="rId314">
              <w:r>
                <w:rPr>
                  <w:rFonts w:ascii="Arial" w:cs="Arial" w:eastAsia="Arial" w:hAnsi="Arial"/>
                  <w:sz w:val="19"/>
                  <w:szCs w:val="19"/>
                  <w:color w:val="0000EE"/>
                  <w:w w:val="93"/>
                </w:rPr>
                <w:t>Form of Amended and Restated Certificate of Incorporation of the Registrant, to be in effect upon the completion of this offering.</w:t>
              </w:r>
            </w:hyperlink>
          </w:p>
        </w:tc>
      </w:tr>
      <w:tr>
        <w:trPr>
          <w:trHeight w:val="322"/>
        </w:trPr>
        <w:tc>
          <w:tcPr>
            <w:tcW w:w="680" w:type="dxa"/>
            <w:vAlign w:val="bottom"/>
            <w:gridSpan w:val="2"/>
          </w:tcPr>
          <w:p>
            <w:pPr>
              <w:ind w:left="100"/>
              <w:spacing w:after="0"/>
              <w:rPr>
                <w:sz w:val="20"/>
                <w:szCs w:val="20"/>
                <w:color w:val="auto"/>
              </w:rPr>
            </w:pPr>
            <w:r>
              <w:rPr>
                <w:rFonts w:ascii="Arial" w:cs="Arial" w:eastAsia="Arial" w:hAnsi="Arial"/>
                <w:sz w:val="19"/>
                <w:szCs w:val="19"/>
                <w:color w:val="auto"/>
              </w:rPr>
              <w:t>3.3^</w:t>
            </w:r>
          </w:p>
        </w:tc>
        <w:tc>
          <w:tcPr>
            <w:tcW w:w="600" w:type="dxa"/>
            <w:vAlign w:val="bottom"/>
          </w:tcPr>
          <w:p>
            <w:pPr>
              <w:spacing w:after="0"/>
              <w:rPr>
                <w:sz w:val="24"/>
                <w:szCs w:val="24"/>
                <w:color w:val="auto"/>
              </w:rPr>
            </w:pPr>
          </w:p>
        </w:tc>
        <w:tc>
          <w:tcPr>
            <w:tcW w:w="3600" w:type="dxa"/>
            <w:vAlign w:val="bottom"/>
            <w:tcBorders>
              <w:top w:val="single" w:sz="8" w:color="0000EE"/>
              <w:bottom w:val="single" w:sz="8" w:color="0000EE"/>
            </w:tcBorders>
            <w:gridSpan w:val="5"/>
          </w:tcPr>
          <w:p>
            <w:pPr>
              <w:spacing w:after="0"/>
              <w:rPr>
                <w:rFonts w:ascii="Arial" w:cs="Arial" w:eastAsia="Arial" w:hAnsi="Arial"/>
                <w:sz w:val="19"/>
                <w:szCs w:val="19"/>
                <w:color w:val="0000EE"/>
                <w:w w:val="91"/>
              </w:rPr>
            </w:pPr>
            <w:hyperlink r:id="rId315">
              <w:r>
                <w:rPr>
                  <w:rFonts w:ascii="Arial" w:cs="Arial" w:eastAsia="Arial" w:hAnsi="Arial"/>
                  <w:sz w:val="19"/>
                  <w:szCs w:val="19"/>
                  <w:color w:val="0000EE"/>
                  <w:w w:val="91"/>
                </w:rPr>
                <w:t>Bylaws of the Registrant, as currently in effect.</w:t>
              </w:r>
            </w:hyperlink>
          </w:p>
        </w:tc>
        <w:tc>
          <w:tcPr>
            <w:tcW w:w="6260" w:type="dxa"/>
            <w:vAlign w:val="bottom"/>
            <w:tcBorders>
              <w:top w:val="single" w:sz="8" w:color="0000EE"/>
            </w:tcBorders>
            <w:gridSpan w:val="22"/>
          </w:tcPr>
          <w:p>
            <w:pPr>
              <w:spacing w:after="0"/>
              <w:rPr>
                <w:sz w:val="24"/>
                <w:szCs w:val="24"/>
                <w:color w:val="auto"/>
              </w:rPr>
            </w:pPr>
          </w:p>
        </w:tc>
        <w:tc>
          <w:tcPr>
            <w:tcW w:w="240" w:type="dxa"/>
            <w:vAlign w:val="bottom"/>
            <w:gridSpan w:val="2"/>
          </w:tcPr>
          <w:p>
            <w:pPr>
              <w:spacing w:after="0"/>
              <w:rPr>
                <w:sz w:val="24"/>
                <w:szCs w:val="24"/>
                <w:color w:val="auto"/>
              </w:rPr>
            </w:pPr>
          </w:p>
        </w:tc>
      </w:tr>
      <w:tr>
        <w:trPr>
          <w:trHeight w:val="322"/>
        </w:trPr>
        <w:tc>
          <w:tcPr>
            <w:tcW w:w="680" w:type="dxa"/>
            <w:vAlign w:val="bottom"/>
            <w:gridSpan w:val="2"/>
          </w:tcPr>
          <w:p>
            <w:pPr>
              <w:ind w:left="100"/>
              <w:spacing w:after="0"/>
              <w:rPr>
                <w:sz w:val="20"/>
                <w:szCs w:val="20"/>
                <w:color w:val="auto"/>
              </w:rPr>
            </w:pPr>
            <w:r>
              <w:rPr>
                <w:rFonts w:ascii="Arial" w:cs="Arial" w:eastAsia="Arial" w:hAnsi="Arial"/>
                <w:sz w:val="19"/>
                <w:szCs w:val="19"/>
                <w:color w:val="auto"/>
              </w:rPr>
              <w:t>3.4^</w:t>
            </w:r>
          </w:p>
        </w:tc>
        <w:tc>
          <w:tcPr>
            <w:tcW w:w="600" w:type="dxa"/>
            <w:vAlign w:val="bottom"/>
          </w:tcPr>
          <w:p>
            <w:pPr>
              <w:spacing w:after="0"/>
              <w:rPr>
                <w:sz w:val="24"/>
                <w:szCs w:val="24"/>
                <w:color w:val="auto"/>
              </w:rPr>
            </w:pPr>
          </w:p>
        </w:tc>
        <w:tc>
          <w:tcPr>
            <w:tcW w:w="10100" w:type="dxa"/>
            <w:vAlign w:val="bottom"/>
            <w:gridSpan w:val="29"/>
          </w:tcPr>
          <w:p>
            <w:pPr>
              <w:spacing w:after="0"/>
              <w:rPr>
                <w:rFonts w:ascii="Arial" w:cs="Arial" w:eastAsia="Arial" w:hAnsi="Arial"/>
                <w:sz w:val="19"/>
                <w:szCs w:val="19"/>
                <w:color w:val="0000EE"/>
              </w:rPr>
            </w:pPr>
            <w:hyperlink r:id="rId316">
              <w:r>
                <w:rPr>
                  <w:rFonts w:ascii="Arial" w:cs="Arial" w:eastAsia="Arial" w:hAnsi="Arial"/>
                  <w:sz w:val="19"/>
                  <w:szCs w:val="19"/>
                  <w:color w:val="0000EE"/>
                </w:rPr>
                <w:t>Form of Amended and Restated Bylaws of the Registrant, to be in effect upon the completion of this offering.</w:t>
              </w:r>
            </w:hyperlink>
          </w:p>
        </w:tc>
      </w:tr>
      <w:tr>
        <w:trPr>
          <w:trHeight w:val="20"/>
        </w:trPr>
        <w:tc>
          <w:tcPr>
            <w:tcW w:w="6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22"/>
        </w:trPr>
        <w:tc>
          <w:tcPr>
            <w:tcW w:w="680" w:type="dxa"/>
            <w:vAlign w:val="bottom"/>
            <w:gridSpan w:val="2"/>
          </w:tcPr>
          <w:p>
            <w:pPr>
              <w:ind w:left="100"/>
              <w:spacing w:after="0"/>
              <w:rPr>
                <w:sz w:val="20"/>
                <w:szCs w:val="20"/>
                <w:color w:val="auto"/>
              </w:rPr>
            </w:pPr>
            <w:r>
              <w:rPr>
                <w:rFonts w:ascii="Arial" w:cs="Arial" w:eastAsia="Arial" w:hAnsi="Arial"/>
                <w:sz w:val="19"/>
                <w:szCs w:val="19"/>
                <w:color w:val="auto"/>
              </w:rPr>
              <w:t>4.1^</w:t>
            </w:r>
          </w:p>
        </w:tc>
        <w:tc>
          <w:tcPr>
            <w:tcW w:w="600" w:type="dxa"/>
            <w:vAlign w:val="bottom"/>
          </w:tcPr>
          <w:p>
            <w:pPr>
              <w:spacing w:after="0"/>
              <w:rPr>
                <w:sz w:val="24"/>
                <w:szCs w:val="24"/>
                <w:color w:val="auto"/>
              </w:rPr>
            </w:pPr>
          </w:p>
        </w:tc>
        <w:tc>
          <w:tcPr>
            <w:tcW w:w="9900" w:type="dxa"/>
            <w:vAlign w:val="bottom"/>
            <w:tcBorders>
              <w:bottom w:val="single" w:sz="8" w:color="0000EE"/>
            </w:tcBorders>
            <w:gridSpan w:val="28"/>
          </w:tcPr>
          <w:p>
            <w:pPr>
              <w:spacing w:after="0"/>
              <w:rPr>
                <w:rFonts w:ascii="Arial" w:cs="Arial" w:eastAsia="Arial" w:hAnsi="Arial"/>
                <w:sz w:val="19"/>
                <w:szCs w:val="19"/>
                <w:color w:val="0000EE"/>
                <w:w w:val="90"/>
              </w:rPr>
            </w:pPr>
            <w:hyperlink r:id="rId317">
              <w:r>
                <w:rPr>
                  <w:rFonts w:ascii="Arial" w:cs="Arial" w:eastAsia="Arial" w:hAnsi="Arial"/>
                  <w:sz w:val="19"/>
                  <w:szCs w:val="19"/>
                  <w:color w:val="0000EE"/>
                  <w:w w:val="90"/>
                </w:rPr>
                <w:t>Amended and Restated Registration Rights Agreement among the Registrant and certain of its stockholders, dated April 26, 2018.</w:t>
              </w:r>
            </w:hyperlink>
          </w:p>
        </w:tc>
        <w:tc>
          <w:tcPr>
            <w:tcW w:w="200" w:type="dxa"/>
            <w:vAlign w:val="bottom"/>
          </w:tcPr>
          <w:p>
            <w:pPr>
              <w:spacing w:after="0"/>
              <w:rPr>
                <w:sz w:val="24"/>
                <w:szCs w:val="24"/>
                <w:color w:val="auto"/>
              </w:rPr>
            </w:pPr>
          </w:p>
        </w:tc>
      </w:tr>
      <w:tr>
        <w:trPr>
          <w:trHeight w:val="322"/>
        </w:trPr>
        <w:tc>
          <w:tcPr>
            <w:tcW w:w="680" w:type="dxa"/>
            <w:vAlign w:val="bottom"/>
            <w:gridSpan w:val="2"/>
          </w:tcPr>
          <w:p>
            <w:pPr>
              <w:ind w:left="100"/>
              <w:spacing w:after="0"/>
              <w:rPr>
                <w:sz w:val="20"/>
                <w:szCs w:val="20"/>
                <w:color w:val="auto"/>
              </w:rPr>
            </w:pPr>
            <w:r>
              <w:rPr>
                <w:rFonts w:ascii="Arial" w:cs="Arial" w:eastAsia="Arial" w:hAnsi="Arial"/>
                <w:sz w:val="19"/>
                <w:szCs w:val="19"/>
                <w:color w:val="auto"/>
              </w:rPr>
              <w:t>4.2^</w:t>
            </w:r>
          </w:p>
        </w:tc>
        <w:tc>
          <w:tcPr>
            <w:tcW w:w="600" w:type="dxa"/>
            <w:vAlign w:val="bottom"/>
          </w:tcPr>
          <w:p>
            <w:pPr>
              <w:spacing w:after="0"/>
              <w:rPr>
                <w:sz w:val="24"/>
                <w:szCs w:val="24"/>
                <w:color w:val="auto"/>
              </w:rPr>
            </w:pPr>
          </w:p>
        </w:tc>
        <w:tc>
          <w:tcPr>
            <w:tcW w:w="10100" w:type="dxa"/>
            <w:vAlign w:val="bottom"/>
            <w:gridSpan w:val="29"/>
          </w:tcPr>
          <w:p>
            <w:pPr>
              <w:spacing w:after="0"/>
              <w:rPr>
                <w:rFonts w:ascii="Arial" w:cs="Arial" w:eastAsia="Arial" w:hAnsi="Arial"/>
                <w:sz w:val="19"/>
                <w:szCs w:val="19"/>
                <w:color w:val="0000EE"/>
              </w:rPr>
            </w:pPr>
            <w:hyperlink r:id="rId318">
              <w:r>
                <w:rPr>
                  <w:rFonts w:ascii="Arial" w:cs="Arial" w:eastAsia="Arial" w:hAnsi="Arial"/>
                  <w:sz w:val="19"/>
                  <w:szCs w:val="19"/>
                  <w:color w:val="0000EE"/>
                </w:rPr>
                <w:t>Specimen common stock certificate of the Registrant.</w:t>
              </w:r>
            </w:hyperlink>
          </w:p>
        </w:tc>
      </w:tr>
      <w:tr>
        <w:trPr>
          <w:trHeight w:val="20"/>
        </w:trPr>
        <w:tc>
          <w:tcPr>
            <w:tcW w:w="6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r>
      <w:tr>
        <w:trPr>
          <w:trHeight w:val="322"/>
        </w:trPr>
        <w:tc>
          <w:tcPr>
            <w:tcW w:w="680" w:type="dxa"/>
            <w:vAlign w:val="bottom"/>
            <w:gridSpan w:val="2"/>
          </w:tcPr>
          <w:p>
            <w:pPr>
              <w:ind w:left="100"/>
              <w:spacing w:after="0"/>
              <w:rPr>
                <w:sz w:val="20"/>
                <w:szCs w:val="20"/>
                <w:color w:val="auto"/>
              </w:rPr>
            </w:pPr>
            <w:r>
              <w:rPr>
                <w:rFonts w:ascii="Arial" w:cs="Arial" w:eastAsia="Arial" w:hAnsi="Arial"/>
                <w:sz w:val="19"/>
                <w:szCs w:val="19"/>
                <w:color w:val="auto"/>
              </w:rPr>
              <w:t>5.1^</w:t>
            </w:r>
          </w:p>
        </w:tc>
        <w:tc>
          <w:tcPr>
            <w:tcW w:w="600" w:type="dxa"/>
            <w:vAlign w:val="bottom"/>
          </w:tcPr>
          <w:p>
            <w:pPr>
              <w:spacing w:after="0"/>
              <w:rPr>
                <w:sz w:val="24"/>
                <w:szCs w:val="24"/>
                <w:color w:val="auto"/>
              </w:rPr>
            </w:pPr>
          </w:p>
        </w:tc>
        <w:tc>
          <w:tcPr>
            <w:tcW w:w="10100" w:type="dxa"/>
            <w:vAlign w:val="bottom"/>
            <w:gridSpan w:val="29"/>
          </w:tcPr>
          <w:p>
            <w:pPr>
              <w:spacing w:after="0"/>
              <w:rPr>
                <w:rFonts w:ascii="Arial" w:cs="Arial" w:eastAsia="Arial" w:hAnsi="Arial"/>
                <w:sz w:val="19"/>
                <w:szCs w:val="19"/>
                <w:color w:val="0000EE"/>
              </w:rPr>
            </w:pPr>
            <w:hyperlink r:id="rId319">
              <w:r>
                <w:rPr>
                  <w:rFonts w:ascii="Arial" w:cs="Arial" w:eastAsia="Arial" w:hAnsi="Arial"/>
                  <w:sz w:val="19"/>
                  <w:szCs w:val="19"/>
                  <w:color w:val="0000EE"/>
                </w:rPr>
                <w:t>Opinion of Wilson Sonsini Goodrich &amp; Rosati, Professional Corporation.</w:t>
              </w:r>
            </w:hyperlink>
          </w:p>
        </w:tc>
      </w:tr>
      <w:tr>
        <w:trPr>
          <w:trHeight w:val="20"/>
        </w:trPr>
        <w:tc>
          <w:tcPr>
            <w:tcW w:w="6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r>
      <w:tr>
        <w:trPr>
          <w:trHeight w:val="322"/>
        </w:trPr>
        <w:tc>
          <w:tcPr>
            <w:tcW w:w="680" w:type="dxa"/>
            <w:vAlign w:val="bottom"/>
            <w:gridSpan w:val="2"/>
          </w:tcPr>
          <w:p>
            <w:pPr>
              <w:spacing w:after="0"/>
              <w:rPr>
                <w:sz w:val="20"/>
                <w:szCs w:val="20"/>
                <w:color w:val="auto"/>
              </w:rPr>
            </w:pPr>
            <w:r>
              <w:rPr>
                <w:rFonts w:ascii="Arial" w:cs="Arial" w:eastAsia="Arial" w:hAnsi="Arial"/>
                <w:sz w:val="19"/>
                <w:szCs w:val="19"/>
                <w:color w:val="auto"/>
              </w:rPr>
              <w:t>10.1+^</w:t>
            </w:r>
          </w:p>
        </w:tc>
        <w:tc>
          <w:tcPr>
            <w:tcW w:w="600" w:type="dxa"/>
            <w:vAlign w:val="bottom"/>
          </w:tcPr>
          <w:p>
            <w:pPr>
              <w:spacing w:after="0"/>
              <w:rPr>
                <w:sz w:val="24"/>
                <w:szCs w:val="24"/>
                <w:color w:val="auto"/>
              </w:rPr>
            </w:pPr>
          </w:p>
        </w:tc>
        <w:tc>
          <w:tcPr>
            <w:tcW w:w="8200" w:type="dxa"/>
            <w:vAlign w:val="bottom"/>
            <w:tcBorders>
              <w:bottom w:val="single" w:sz="8" w:color="0000EE"/>
            </w:tcBorders>
            <w:gridSpan w:val="22"/>
          </w:tcPr>
          <w:p>
            <w:pPr>
              <w:spacing w:after="0"/>
              <w:rPr>
                <w:rFonts w:ascii="Arial" w:cs="Arial" w:eastAsia="Arial" w:hAnsi="Arial"/>
                <w:sz w:val="19"/>
                <w:szCs w:val="19"/>
                <w:color w:val="0000EE"/>
                <w:w w:val="91"/>
              </w:rPr>
            </w:pPr>
            <w:hyperlink r:id="rId320">
              <w:r>
                <w:rPr>
                  <w:rFonts w:ascii="Arial" w:cs="Arial" w:eastAsia="Arial" w:hAnsi="Arial"/>
                  <w:sz w:val="19"/>
                  <w:szCs w:val="19"/>
                  <w:color w:val="0000EE"/>
                  <w:w w:val="91"/>
                </w:rPr>
                <w:t>Form of Indemnification Agreement between the Registrant and each of its directors and executive officers.</w:t>
              </w:r>
            </w:hyperlink>
          </w:p>
        </w:tc>
        <w:tc>
          <w:tcPr>
            <w:tcW w:w="1900" w:type="dxa"/>
            <w:vAlign w:val="bottom"/>
            <w:gridSpan w:val="7"/>
          </w:tcPr>
          <w:p>
            <w:pPr>
              <w:spacing w:after="0"/>
              <w:rPr>
                <w:sz w:val="24"/>
                <w:szCs w:val="24"/>
                <w:color w:val="auto"/>
              </w:rPr>
            </w:pPr>
          </w:p>
        </w:tc>
      </w:tr>
      <w:tr>
        <w:trPr>
          <w:trHeight w:val="322"/>
        </w:trPr>
        <w:tc>
          <w:tcPr>
            <w:tcW w:w="680" w:type="dxa"/>
            <w:vAlign w:val="bottom"/>
            <w:gridSpan w:val="2"/>
          </w:tcPr>
          <w:p>
            <w:pPr>
              <w:spacing w:after="0"/>
              <w:rPr>
                <w:sz w:val="20"/>
                <w:szCs w:val="20"/>
                <w:color w:val="auto"/>
              </w:rPr>
            </w:pPr>
            <w:r>
              <w:rPr>
                <w:rFonts w:ascii="Arial" w:cs="Arial" w:eastAsia="Arial" w:hAnsi="Arial"/>
                <w:sz w:val="19"/>
                <w:szCs w:val="19"/>
                <w:color w:val="auto"/>
              </w:rPr>
              <w:t>10.2+^</w:t>
            </w:r>
          </w:p>
        </w:tc>
        <w:tc>
          <w:tcPr>
            <w:tcW w:w="600" w:type="dxa"/>
            <w:vAlign w:val="bottom"/>
          </w:tcPr>
          <w:p>
            <w:pPr>
              <w:spacing w:after="0"/>
              <w:rPr>
                <w:sz w:val="24"/>
                <w:szCs w:val="24"/>
                <w:color w:val="auto"/>
              </w:rPr>
            </w:pPr>
          </w:p>
        </w:tc>
        <w:tc>
          <w:tcPr>
            <w:tcW w:w="6420" w:type="dxa"/>
            <w:vAlign w:val="bottom"/>
            <w:tcBorders>
              <w:bottom w:val="single" w:sz="8" w:color="0000EE"/>
            </w:tcBorders>
            <w:gridSpan w:val="17"/>
          </w:tcPr>
          <w:p>
            <w:pPr>
              <w:spacing w:after="0"/>
              <w:rPr>
                <w:rFonts w:ascii="Arial" w:cs="Arial" w:eastAsia="Arial" w:hAnsi="Arial"/>
                <w:sz w:val="19"/>
                <w:szCs w:val="19"/>
                <w:color w:val="0000EE"/>
                <w:w w:val="88"/>
              </w:rPr>
            </w:pPr>
            <w:hyperlink r:id="rId321">
              <w:r>
                <w:rPr>
                  <w:rFonts w:ascii="Arial" w:cs="Arial" w:eastAsia="Arial" w:hAnsi="Arial"/>
                  <w:sz w:val="19"/>
                  <w:szCs w:val="19"/>
                  <w:color w:val="0000EE"/>
                  <w:w w:val="88"/>
                </w:rPr>
                <w:t>2017 Stock Option and Grant Plan, as amended, and forms of agreement thereunder.</w:t>
              </w:r>
            </w:hyperlink>
          </w:p>
        </w:tc>
        <w:tc>
          <w:tcPr>
            <w:tcW w:w="3680" w:type="dxa"/>
            <w:vAlign w:val="bottom"/>
            <w:gridSpan w:val="12"/>
          </w:tcPr>
          <w:p>
            <w:pPr>
              <w:spacing w:after="0"/>
              <w:rPr>
                <w:sz w:val="24"/>
                <w:szCs w:val="24"/>
                <w:color w:val="auto"/>
              </w:rPr>
            </w:pPr>
          </w:p>
        </w:tc>
      </w:tr>
      <w:tr>
        <w:trPr>
          <w:trHeight w:val="322"/>
        </w:trPr>
        <w:tc>
          <w:tcPr>
            <w:tcW w:w="680" w:type="dxa"/>
            <w:vAlign w:val="bottom"/>
            <w:gridSpan w:val="2"/>
          </w:tcPr>
          <w:p>
            <w:pPr>
              <w:spacing w:after="0"/>
              <w:rPr>
                <w:sz w:val="20"/>
                <w:szCs w:val="20"/>
                <w:color w:val="auto"/>
              </w:rPr>
            </w:pPr>
            <w:r>
              <w:rPr>
                <w:rFonts w:ascii="Arial" w:cs="Arial" w:eastAsia="Arial" w:hAnsi="Arial"/>
                <w:sz w:val="19"/>
                <w:szCs w:val="19"/>
                <w:color w:val="auto"/>
              </w:rPr>
              <w:t>10.3+^</w:t>
            </w:r>
          </w:p>
        </w:tc>
        <w:tc>
          <w:tcPr>
            <w:tcW w:w="600" w:type="dxa"/>
            <w:vAlign w:val="bottom"/>
          </w:tcPr>
          <w:p>
            <w:pPr>
              <w:spacing w:after="0"/>
              <w:rPr>
                <w:sz w:val="24"/>
                <w:szCs w:val="24"/>
                <w:color w:val="auto"/>
              </w:rPr>
            </w:pPr>
          </w:p>
        </w:tc>
        <w:tc>
          <w:tcPr>
            <w:tcW w:w="10100" w:type="dxa"/>
            <w:vAlign w:val="bottom"/>
            <w:gridSpan w:val="29"/>
          </w:tcPr>
          <w:p>
            <w:pPr>
              <w:spacing w:after="0"/>
              <w:rPr>
                <w:rFonts w:ascii="Arial" w:cs="Arial" w:eastAsia="Arial" w:hAnsi="Arial"/>
                <w:sz w:val="19"/>
                <w:szCs w:val="19"/>
                <w:color w:val="0000EE"/>
              </w:rPr>
            </w:pPr>
            <w:hyperlink r:id="rId322">
              <w:r>
                <w:rPr>
                  <w:rFonts w:ascii="Arial" w:cs="Arial" w:eastAsia="Arial" w:hAnsi="Arial"/>
                  <w:sz w:val="19"/>
                  <w:szCs w:val="19"/>
                  <w:color w:val="0000EE"/>
                </w:rPr>
                <w:t>2019 Equity Incentive Plan and forms of agreements thereunder, to be in effect upon the completion of this offering.</w:t>
              </w:r>
            </w:hyperlink>
          </w:p>
        </w:tc>
      </w:tr>
      <w:tr>
        <w:trPr>
          <w:trHeight w:val="322"/>
        </w:trPr>
        <w:tc>
          <w:tcPr>
            <w:tcW w:w="680" w:type="dxa"/>
            <w:vAlign w:val="bottom"/>
            <w:gridSpan w:val="2"/>
          </w:tcPr>
          <w:p>
            <w:pPr>
              <w:spacing w:after="0"/>
              <w:rPr>
                <w:sz w:val="20"/>
                <w:szCs w:val="20"/>
                <w:color w:val="auto"/>
              </w:rPr>
            </w:pPr>
            <w:r>
              <w:rPr>
                <w:rFonts w:ascii="Arial" w:cs="Arial" w:eastAsia="Arial" w:hAnsi="Arial"/>
                <w:sz w:val="19"/>
                <w:szCs w:val="19"/>
                <w:color w:val="auto"/>
              </w:rPr>
              <w:t>10.4+^</w:t>
            </w:r>
          </w:p>
        </w:tc>
        <w:tc>
          <w:tcPr>
            <w:tcW w:w="600" w:type="dxa"/>
            <w:vAlign w:val="bottom"/>
          </w:tcPr>
          <w:p>
            <w:pPr>
              <w:spacing w:after="0"/>
              <w:rPr>
                <w:sz w:val="24"/>
                <w:szCs w:val="24"/>
                <w:color w:val="auto"/>
              </w:rPr>
            </w:pPr>
          </w:p>
        </w:tc>
        <w:tc>
          <w:tcPr>
            <w:tcW w:w="8840" w:type="dxa"/>
            <w:vAlign w:val="bottom"/>
            <w:tcBorders>
              <w:top w:val="single" w:sz="8" w:color="0000EE"/>
            </w:tcBorders>
            <w:gridSpan w:val="25"/>
          </w:tcPr>
          <w:p>
            <w:pPr>
              <w:spacing w:after="0"/>
              <w:rPr>
                <w:rFonts w:ascii="Arial" w:cs="Arial" w:eastAsia="Arial" w:hAnsi="Arial"/>
                <w:sz w:val="19"/>
                <w:szCs w:val="19"/>
                <w:color w:val="0000EE"/>
              </w:rPr>
            </w:pPr>
            <w:hyperlink r:id="rId323">
              <w:r>
                <w:rPr>
                  <w:rFonts w:ascii="Arial" w:cs="Arial" w:eastAsia="Arial" w:hAnsi="Arial"/>
                  <w:sz w:val="19"/>
                  <w:szCs w:val="19"/>
                  <w:color w:val="0000EE"/>
                </w:rPr>
                <w:t>2019 Employee Stock Purchase Plan, to be in effect upon the completion of this offering.</w:t>
              </w:r>
            </w:hyperlink>
          </w:p>
        </w:tc>
        <w:tc>
          <w:tcPr>
            <w:tcW w:w="1260" w:type="dxa"/>
            <w:vAlign w:val="bottom"/>
            <w:gridSpan w:val="4"/>
          </w:tcPr>
          <w:p>
            <w:pPr>
              <w:spacing w:after="0"/>
              <w:rPr>
                <w:sz w:val="24"/>
                <w:szCs w:val="24"/>
                <w:color w:val="auto"/>
              </w:rPr>
            </w:pPr>
          </w:p>
        </w:tc>
      </w:tr>
      <w:tr>
        <w:trPr>
          <w:trHeight w:val="322"/>
        </w:trPr>
        <w:tc>
          <w:tcPr>
            <w:tcW w:w="680" w:type="dxa"/>
            <w:vAlign w:val="bottom"/>
            <w:gridSpan w:val="2"/>
          </w:tcPr>
          <w:p>
            <w:pPr>
              <w:spacing w:after="0"/>
              <w:rPr>
                <w:sz w:val="20"/>
                <w:szCs w:val="20"/>
                <w:color w:val="auto"/>
              </w:rPr>
            </w:pPr>
            <w:r>
              <w:rPr>
                <w:rFonts w:ascii="Arial" w:cs="Arial" w:eastAsia="Arial" w:hAnsi="Arial"/>
                <w:sz w:val="19"/>
                <w:szCs w:val="19"/>
                <w:color w:val="auto"/>
              </w:rPr>
              <w:t>10.5+^</w:t>
            </w:r>
          </w:p>
        </w:tc>
        <w:tc>
          <w:tcPr>
            <w:tcW w:w="600" w:type="dxa"/>
            <w:vAlign w:val="bottom"/>
          </w:tcPr>
          <w:p>
            <w:pPr>
              <w:spacing w:after="0"/>
              <w:rPr>
                <w:sz w:val="24"/>
                <w:szCs w:val="24"/>
                <w:color w:val="auto"/>
              </w:rPr>
            </w:pPr>
          </w:p>
        </w:tc>
        <w:tc>
          <w:tcPr>
            <w:tcW w:w="5980" w:type="dxa"/>
            <w:vAlign w:val="bottom"/>
            <w:tcBorders>
              <w:top w:val="single" w:sz="8" w:color="0000EE"/>
              <w:bottom w:val="single" w:sz="8" w:color="0000EE"/>
            </w:tcBorders>
            <w:gridSpan w:val="14"/>
          </w:tcPr>
          <w:p>
            <w:pPr>
              <w:spacing w:after="0"/>
              <w:rPr>
                <w:rFonts w:ascii="Arial" w:cs="Arial" w:eastAsia="Arial" w:hAnsi="Arial"/>
                <w:sz w:val="19"/>
                <w:szCs w:val="19"/>
                <w:color w:val="0000EE"/>
                <w:w w:val="91"/>
              </w:rPr>
            </w:pPr>
            <w:hyperlink r:id="rId324">
              <w:r>
                <w:rPr>
                  <w:rFonts w:ascii="Arial" w:cs="Arial" w:eastAsia="Arial" w:hAnsi="Arial"/>
                  <w:sz w:val="19"/>
                  <w:szCs w:val="19"/>
                  <w:color w:val="0000EE"/>
                  <w:w w:val="91"/>
                </w:rPr>
                <w:t>Confirmatory Offer Letter between the Registrant and Arnon Rosenthal, Ph.D.</w:t>
              </w:r>
            </w:hyperlink>
          </w:p>
        </w:tc>
        <w:tc>
          <w:tcPr>
            <w:tcW w:w="800" w:type="dxa"/>
            <w:vAlign w:val="bottom"/>
            <w:tcBorders>
              <w:top w:val="single" w:sz="8" w:color="0000EE"/>
            </w:tcBorders>
            <w:gridSpan w:val="5"/>
          </w:tcPr>
          <w:p>
            <w:pPr>
              <w:spacing w:after="0"/>
              <w:rPr>
                <w:sz w:val="24"/>
                <w:szCs w:val="24"/>
                <w:color w:val="auto"/>
              </w:rPr>
            </w:pPr>
          </w:p>
        </w:tc>
        <w:tc>
          <w:tcPr>
            <w:tcW w:w="3320" w:type="dxa"/>
            <w:vAlign w:val="bottom"/>
            <w:gridSpan w:val="10"/>
          </w:tcPr>
          <w:p>
            <w:pPr>
              <w:spacing w:after="0"/>
              <w:rPr>
                <w:sz w:val="24"/>
                <w:szCs w:val="24"/>
                <w:color w:val="auto"/>
              </w:rPr>
            </w:pPr>
          </w:p>
        </w:tc>
      </w:tr>
      <w:tr>
        <w:trPr>
          <w:trHeight w:val="322"/>
        </w:trPr>
        <w:tc>
          <w:tcPr>
            <w:tcW w:w="680" w:type="dxa"/>
            <w:vAlign w:val="bottom"/>
            <w:gridSpan w:val="2"/>
          </w:tcPr>
          <w:p>
            <w:pPr>
              <w:spacing w:after="0"/>
              <w:rPr>
                <w:sz w:val="20"/>
                <w:szCs w:val="20"/>
                <w:color w:val="auto"/>
              </w:rPr>
            </w:pPr>
            <w:r>
              <w:rPr>
                <w:rFonts w:ascii="Arial" w:cs="Arial" w:eastAsia="Arial" w:hAnsi="Arial"/>
                <w:sz w:val="19"/>
                <w:szCs w:val="19"/>
                <w:color w:val="auto"/>
              </w:rPr>
              <w:t>10.6+^</w:t>
            </w:r>
          </w:p>
        </w:tc>
        <w:tc>
          <w:tcPr>
            <w:tcW w:w="600" w:type="dxa"/>
            <w:vAlign w:val="bottom"/>
          </w:tcPr>
          <w:p>
            <w:pPr>
              <w:spacing w:after="0"/>
              <w:rPr>
                <w:sz w:val="24"/>
                <w:szCs w:val="24"/>
                <w:color w:val="auto"/>
              </w:rPr>
            </w:pPr>
          </w:p>
        </w:tc>
        <w:tc>
          <w:tcPr>
            <w:tcW w:w="10100" w:type="dxa"/>
            <w:vAlign w:val="bottom"/>
            <w:gridSpan w:val="29"/>
          </w:tcPr>
          <w:p>
            <w:pPr>
              <w:spacing w:after="0"/>
              <w:rPr>
                <w:rFonts w:ascii="Arial" w:cs="Arial" w:eastAsia="Arial" w:hAnsi="Arial"/>
                <w:sz w:val="19"/>
                <w:szCs w:val="19"/>
                <w:color w:val="0000EE"/>
              </w:rPr>
            </w:pPr>
            <w:hyperlink r:id="rId325">
              <w:r>
                <w:rPr>
                  <w:rFonts w:ascii="Arial" w:cs="Arial" w:eastAsia="Arial" w:hAnsi="Arial"/>
                  <w:sz w:val="19"/>
                  <w:szCs w:val="19"/>
                  <w:color w:val="0000EE"/>
                </w:rPr>
                <w:t>Confirmatory Offer Letter between the Registrant and Robert Paul, M.D., Ph.D.</w:t>
              </w:r>
            </w:hyperlink>
          </w:p>
        </w:tc>
      </w:tr>
      <w:tr>
        <w:trPr>
          <w:trHeight w:val="322"/>
        </w:trPr>
        <w:tc>
          <w:tcPr>
            <w:tcW w:w="680" w:type="dxa"/>
            <w:vAlign w:val="bottom"/>
            <w:gridSpan w:val="2"/>
          </w:tcPr>
          <w:p>
            <w:pPr>
              <w:spacing w:after="0"/>
              <w:rPr>
                <w:sz w:val="20"/>
                <w:szCs w:val="20"/>
                <w:color w:val="auto"/>
              </w:rPr>
            </w:pPr>
            <w:r>
              <w:rPr>
                <w:rFonts w:ascii="Arial" w:cs="Arial" w:eastAsia="Arial" w:hAnsi="Arial"/>
                <w:sz w:val="19"/>
                <w:szCs w:val="19"/>
                <w:color w:val="auto"/>
              </w:rPr>
              <w:t>10.7+^</w:t>
            </w:r>
          </w:p>
        </w:tc>
        <w:tc>
          <w:tcPr>
            <w:tcW w:w="600" w:type="dxa"/>
            <w:vAlign w:val="bottom"/>
          </w:tcPr>
          <w:p>
            <w:pPr>
              <w:spacing w:after="0"/>
              <w:rPr>
                <w:sz w:val="24"/>
                <w:szCs w:val="24"/>
                <w:color w:val="auto"/>
              </w:rPr>
            </w:pPr>
          </w:p>
        </w:tc>
        <w:tc>
          <w:tcPr>
            <w:tcW w:w="6080" w:type="dxa"/>
            <w:vAlign w:val="bottom"/>
            <w:tcBorders>
              <w:top w:val="single" w:sz="8" w:color="0000EE"/>
            </w:tcBorders>
            <w:gridSpan w:val="15"/>
          </w:tcPr>
          <w:p>
            <w:pPr>
              <w:spacing w:after="0"/>
              <w:rPr>
                <w:rFonts w:ascii="Arial" w:cs="Arial" w:eastAsia="Arial" w:hAnsi="Arial"/>
                <w:sz w:val="19"/>
                <w:szCs w:val="19"/>
                <w:color w:val="0000EE"/>
                <w:w w:val="99"/>
              </w:rPr>
            </w:pPr>
            <w:hyperlink r:id="rId326">
              <w:r>
                <w:rPr>
                  <w:rFonts w:ascii="Arial" w:cs="Arial" w:eastAsia="Arial" w:hAnsi="Arial"/>
                  <w:sz w:val="19"/>
                  <w:szCs w:val="19"/>
                  <w:color w:val="0000EE"/>
                  <w:w w:val="99"/>
                </w:rPr>
                <w:t>Confirmatory Offer Letter between the Registrant and Robert King, Ph.D.</w:t>
              </w:r>
            </w:hyperlink>
          </w:p>
        </w:tc>
        <w:tc>
          <w:tcPr>
            <w:tcW w:w="4020" w:type="dxa"/>
            <w:vAlign w:val="bottom"/>
            <w:gridSpan w:val="14"/>
          </w:tcPr>
          <w:p>
            <w:pPr>
              <w:spacing w:after="0"/>
              <w:rPr>
                <w:sz w:val="24"/>
                <w:szCs w:val="24"/>
                <w:color w:val="auto"/>
              </w:rPr>
            </w:pPr>
          </w:p>
        </w:tc>
      </w:tr>
      <w:tr>
        <w:trPr>
          <w:trHeight w:val="322"/>
        </w:trPr>
        <w:tc>
          <w:tcPr>
            <w:tcW w:w="680" w:type="dxa"/>
            <w:vAlign w:val="bottom"/>
            <w:gridSpan w:val="2"/>
          </w:tcPr>
          <w:p>
            <w:pPr>
              <w:spacing w:after="0"/>
              <w:rPr>
                <w:sz w:val="20"/>
                <w:szCs w:val="20"/>
                <w:color w:val="auto"/>
              </w:rPr>
            </w:pPr>
            <w:r>
              <w:rPr>
                <w:rFonts w:ascii="Arial" w:cs="Arial" w:eastAsia="Arial" w:hAnsi="Arial"/>
                <w:sz w:val="19"/>
                <w:szCs w:val="19"/>
                <w:color w:val="auto"/>
              </w:rPr>
              <w:t>10.8+^</w:t>
            </w:r>
          </w:p>
        </w:tc>
        <w:tc>
          <w:tcPr>
            <w:tcW w:w="600" w:type="dxa"/>
            <w:vAlign w:val="bottom"/>
          </w:tcPr>
          <w:p>
            <w:pPr>
              <w:spacing w:after="0"/>
              <w:rPr>
                <w:sz w:val="24"/>
                <w:szCs w:val="24"/>
                <w:color w:val="auto"/>
              </w:rPr>
            </w:pPr>
          </w:p>
        </w:tc>
        <w:tc>
          <w:tcPr>
            <w:tcW w:w="5600" w:type="dxa"/>
            <w:vAlign w:val="bottom"/>
            <w:tcBorders>
              <w:top w:val="single" w:sz="8" w:color="0000EE"/>
              <w:bottom w:val="single" w:sz="8" w:color="0000EE"/>
            </w:tcBorders>
            <w:gridSpan w:val="11"/>
          </w:tcPr>
          <w:p>
            <w:pPr>
              <w:spacing w:after="0"/>
              <w:rPr>
                <w:rFonts w:ascii="Arial" w:cs="Arial" w:eastAsia="Arial" w:hAnsi="Arial"/>
                <w:sz w:val="19"/>
                <w:szCs w:val="19"/>
                <w:color w:val="0000EE"/>
                <w:w w:val="90"/>
              </w:rPr>
            </w:pPr>
            <w:hyperlink r:id="rId327">
              <w:r>
                <w:rPr>
                  <w:rFonts w:ascii="Arial" w:cs="Arial" w:eastAsia="Arial" w:hAnsi="Arial"/>
                  <w:sz w:val="19"/>
                  <w:szCs w:val="19"/>
                  <w:color w:val="0000EE"/>
                  <w:w w:val="90"/>
                </w:rPr>
                <w:t>Confirmatory Offer Letter between the Registrant and Sabah Oney, Ph.D.</w:t>
              </w:r>
            </w:hyperlink>
          </w:p>
        </w:tc>
        <w:tc>
          <w:tcPr>
            <w:tcW w:w="20" w:type="dxa"/>
            <w:vAlign w:val="bottom"/>
            <w:tcBorders>
              <w:top w:val="single" w:sz="8" w:color="0000EE"/>
            </w:tcBorders>
          </w:tcPr>
          <w:p>
            <w:pPr>
              <w:spacing w:after="0"/>
              <w:rPr>
                <w:sz w:val="24"/>
                <w:szCs w:val="24"/>
                <w:color w:val="auto"/>
              </w:rPr>
            </w:pPr>
          </w:p>
        </w:tc>
        <w:tc>
          <w:tcPr>
            <w:tcW w:w="4480" w:type="dxa"/>
            <w:vAlign w:val="bottom"/>
            <w:gridSpan w:val="17"/>
          </w:tcPr>
          <w:p>
            <w:pPr>
              <w:spacing w:after="0"/>
              <w:rPr>
                <w:sz w:val="24"/>
                <w:szCs w:val="24"/>
                <w:color w:val="auto"/>
              </w:rPr>
            </w:pPr>
          </w:p>
        </w:tc>
      </w:tr>
      <w:tr>
        <w:trPr>
          <w:trHeight w:val="322"/>
        </w:trPr>
        <w:tc>
          <w:tcPr>
            <w:tcW w:w="680" w:type="dxa"/>
            <w:vAlign w:val="bottom"/>
            <w:gridSpan w:val="2"/>
          </w:tcPr>
          <w:p>
            <w:pPr>
              <w:spacing w:after="0"/>
              <w:rPr>
                <w:sz w:val="20"/>
                <w:szCs w:val="20"/>
                <w:color w:val="auto"/>
              </w:rPr>
            </w:pPr>
            <w:r>
              <w:rPr>
                <w:rFonts w:ascii="Arial" w:cs="Arial" w:eastAsia="Arial" w:hAnsi="Arial"/>
                <w:sz w:val="19"/>
                <w:szCs w:val="19"/>
                <w:color w:val="auto"/>
              </w:rPr>
              <w:t>10.9+^</w:t>
            </w:r>
          </w:p>
        </w:tc>
        <w:tc>
          <w:tcPr>
            <w:tcW w:w="600" w:type="dxa"/>
            <w:vAlign w:val="bottom"/>
          </w:tcPr>
          <w:p>
            <w:pPr>
              <w:spacing w:after="0"/>
              <w:rPr>
                <w:sz w:val="24"/>
                <w:szCs w:val="24"/>
                <w:color w:val="auto"/>
              </w:rPr>
            </w:pPr>
          </w:p>
        </w:tc>
        <w:tc>
          <w:tcPr>
            <w:tcW w:w="10100" w:type="dxa"/>
            <w:vAlign w:val="bottom"/>
            <w:gridSpan w:val="29"/>
          </w:tcPr>
          <w:p>
            <w:pPr>
              <w:spacing w:after="0"/>
              <w:rPr>
                <w:rFonts w:ascii="Arial" w:cs="Arial" w:eastAsia="Arial" w:hAnsi="Arial"/>
                <w:sz w:val="19"/>
                <w:szCs w:val="19"/>
                <w:color w:val="0000EE"/>
              </w:rPr>
            </w:pPr>
            <w:hyperlink r:id="rId328">
              <w:r>
                <w:rPr>
                  <w:rFonts w:ascii="Arial" w:cs="Arial" w:eastAsia="Arial" w:hAnsi="Arial"/>
                  <w:sz w:val="19"/>
                  <w:szCs w:val="19"/>
                  <w:color w:val="0000EE"/>
                </w:rPr>
                <w:t>Confirmatory Offer Letter between the Registrant and Calvin Yu.</w:t>
              </w:r>
            </w:hyperlink>
          </w:p>
        </w:tc>
      </w:tr>
      <w:tr>
        <w:trPr>
          <w:trHeight w:val="322"/>
        </w:trPr>
        <w:tc>
          <w:tcPr>
            <w:tcW w:w="680" w:type="dxa"/>
            <w:vAlign w:val="bottom"/>
            <w:gridSpan w:val="2"/>
          </w:tcPr>
          <w:p>
            <w:pPr>
              <w:spacing w:after="0"/>
              <w:rPr>
                <w:sz w:val="20"/>
                <w:szCs w:val="20"/>
                <w:color w:val="auto"/>
              </w:rPr>
            </w:pPr>
            <w:r>
              <w:rPr>
                <w:rFonts w:ascii="Arial" w:cs="Arial" w:eastAsia="Arial" w:hAnsi="Arial"/>
                <w:sz w:val="19"/>
                <w:szCs w:val="19"/>
                <w:color w:val="auto"/>
                <w:w w:val="97"/>
              </w:rPr>
              <w:t>10.10+^</w:t>
            </w:r>
          </w:p>
        </w:tc>
        <w:tc>
          <w:tcPr>
            <w:tcW w:w="600" w:type="dxa"/>
            <w:vAlign w:val="bottom"/>
          </w:tcPr>
          <w:p>
            <w:pPr>
              <w:spacing w:after="0"/>
              <w:rPr>
                <w:sz w:val="24"/>
                <w:szCs w:val="24"/>
                <w:color w:val="auto"/>
              </w:rPr>
            </w:pPr>
          </w:p>
        </w:tc>
        <w:tc>
          <w:tcPr>
            <w:tcW w:w="3100" w:type="dxa"/>
            <w:vAlign w:val="bottom"/>
            <w:tcBorders>
              <w:top w:val="single" w:sz="8" w:color="0000EE"/>
              <w:bottom w:val="single" w:sz="8" w:color="0000EE"/>
            </w:tcBorders>
            <w:gridSpan w:val="4"/>
          </w:tcPr>
          <w:p>
            <w:pPr>
              <w:spacing w:after="0"/>
              <w:rPr>
                <w:rFonts w:ascii="Arial" w:cs="Arial" w:eastAsia="Arial" w:hAnsi="Arial"/>
                <w:sz w:val="19"/>
                <w:szCs w:val="19"/>
                <w:color w:val="0000EE"/>
                <w:w w:val="90"/>
              </w:rPr>
            </w:pPr>
            <w:hyperlink r:id="rId329">
              <w:r>
                <w:rPr>
                  <w:rFonts w:ascii="Arial" w:cs="Arial" w:eastAsia="Arial" w:hAnsi="Arial"/>
                  <w:sz w:val="19"/>
                  <w:szCs w:val="19"/>
                  <w:color w:val="0000EE"/>
                  <w:w w:val="90"/>
                </w:rPr>
                <w:t>Executive Incentive Compensation Plan.</w:t>
              </w:r>
            </w:hyperlink>
          </w:p>
        </w:tc>
        <w:tc>
          <w:tcPr>
            <w:tcW w:w="1860" w:type="dxa"/>
            <w:vAlign w:val="bottom"/>
            <w:tcBorders>
              <w:top w:val="single" w:sz="8" w:color="0000EE"/>
            </w:tcBorders>
            <w:gridSpan w:val="5"/>
          </w:tcPr>
          <w:p>
            <w:pPr>
              <w:spacing w:after="0"/>
              <w:rPr>
                <w:sz w:val="24"/>
                <w:szCs w:val="24"/>
                <w:color w:val="auto"/>
              </w:rPr>
            </w:pPr>
          </w:p>
        </w:tc>
        <w:tc>
          <w:tcPr>
            <w:tcW w:w="5140" w:type="dxa"/>
            <w:vAlign w:val="bottom"/>
            <w:gridSpan w:val="20"/>
          </w:tcPr>
          <w:p>
            <w:pPr>
              <w:spacing w:after="0"/>
              <w:rPr>
                <w:sz w:val="24"/>
                <w:szCs w:val="24"/>
                <w:color w:val="auto"/>
              </w:rPr>
            </w:pPr>
          </w:p>
        </w:tc>
      </w:tr>
      <w:tr>
        <w:trPr>
          <w:trHeight w:val="322"/>
        </w:trPr>
        <w:tc>
          <w:tcPr>
            <w:tcW w:w="680" w:type="dxa"/>
            <w:vAlign w:val="bottom"/>
            <w:gridSpan w:val="2"/>
          </w:tcPr>
          <w:p>
            <w:pPr>
              <w:spacing w:after="0"/>
              <w:rPr>
                <w:sz w:val="20"/>
                <w:szCs w:val="20"/>
                <w:color w:val="auto"/>
              </w:rPr>
            </w:pPr>
            <w:r>
              <w:rPr>
                <w:rFonts w:ascii="Arial" w:cs="Arial" w:eastAsia="Arial" w:hAnsi="Arial"/>
                <w:sz w:val="19"/>
                <w:szCs w:val="19"/>
                <w:color w:val="auto"/>
                <w:w w:val="97"/>
              </w:rPr>
              <w:t>10.11+^</w:t>
            </w:r>
          </w:p>
        </w:tc>
        <w:tc>
          <w:tcPr>
            <w:tcW w:w="600" w:type="dxa"/>
            <w:vAlign w:val="bottom"/>
          </w:tcPr>
          <w:p>
            <w:pPr>
              <w:spacing w:after="0"/>
              <w:rPr>
                <w:sz w:val="24"/>
                <w:szCs w:val="24"/>
                <w:color w:val="auto"/>
              </w:rPr>
            </w:pPr>
          </w:p>
        </w:tc>
        <w:tc>
          <w:tcPr>
            <w:tcW w:w="10100" w:type="dxa"/>
            <w:vAlign w:val="bottom"/>
            <w:gridSpan w:val="29"/>
          </w:tcPr>
          <w:p>
            <w:pPr>
              <w:spacing w:after="0"/>
              <w:rPr>
                <w:rFonts w:ascii="Arial" w:cs="Arial" w:eastAsia="Arial" w:hAnsi="Arial"/>
                <w:sz w:val="19"/>
                <w:szCs w:val="19"/>
                <w:color w:val="0000EE"/>
              </w:rPr>
            </w:pPr>
            <w:hyperlink r:id="rId330">
              <w:r>
                <w:rPr>
                  <w:rFonts w:ascii="Arial" w:cs="Arial" w:eastAsia="Arial" w:hAnsi="Arial"/>
                  <w:sz w:val="19"/>
                  <w:szCs w:val="19"/>
                  <w:color w:val="0000EE"/>
                </w:rPr>
                <w:t>Outside Director Compensation Policy.</w:t>
              </w:r>
            </w:hyperlink>
          </w:p>
        </w:tc>
      </w:tr>
      <w:tr>
        <w:trPr>
          <w:trHeight w:val="20"/>
        </w:trPr>
        <w:tc>
          <w:tcPr>
            <w:tcW w:w="6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720" w:type="dxa"/>
            <w:vAlign w:val="bottom"/>
            <w:gridSpan w:val="8"/>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r>
      <w:tr>
        <w:trPr>
          <w:trHeight w:val="322"/>
        </w:trPr>
        <w:tc>
          <w:tcPr>
            <w:tcW w:w="680" w:type="dxa"/>
            <w:vAlign w:val="bottom"/>
            <w:gridSpan w:val="2"/>
          </w:tcPr>
          <w:p>
            <w:pPr>
              <w:spacing w:after="0"/>
              <w:rPr>
                <w:sz w:val="20"/>
                <w:szCs w:val="20"/>
                <w:color w:val="auto"/>
              </w:rPr>
            </w:pPr>
            <w:r>
              <w:rPr>
                <w:rFonts w:ascii="Arial" w:cs="Arial" w:eastAsia="Arial" w:hAnsi="Arial"/>
                <w:sz w:val="19"/>
                <w:szCs w:val="19"/>
                <w:color w:val="auto"/>
                <w:w w:val="97"/>
              </w:rPr>
              <w:t>10.12+^</w:t>
            </w:r>
          </w:p>
        </w:tc>
        <w:tc>
          <w:tcPr>
            <w:tcW w:w="600" w:type="dxa"/>
            <w:vAlign w:val="bottom"/>
          </w:tcPr>
          <w:p>
            <w:pPr>
              <w:spacing w:after="0"/>
              <w:rPr>
                <w:sz w:val="24"/>
                <w:szCs w:val="24"/>
                <w:color w:val="auto"/>
              </w:rPr>
            </w:pPr>
          </w:p>
        </w:tc>
        <w:tc>
          <w:tcPr>
            <w:tcW w:w="8680" w:type="dxa"/>
            <w:vAlign w:val="bottom"/>
            <w:tcBorders>
              <w:bottom w:val="single" w:sz="8" w:color="0000EE"/>
            </w:tcBorders>
            <w:gridSpan w:val="24"/>
          </w:tcPr>
          <w:p>
            <w:pPr>
              <w:spacing w:after="0"/>
              <w:rPr>
                <w:rFonts w:ascii="Arial" w:cs="Arial" w:eastAsia="Arial" w:hAnsi="Arial"/>
                <w:sz w:val="19"/>
                <w:szCs w:val="19"/>
                <w:color w:val="0000EE"/>
                <w:w w:val="90"/>
              </w:rPr>
            </w:pPr>
            <w:hyperlink r:id="rId331">
              <w:r>
                <w:rPr>
                  <w:rFonts w:ascii="Arial" w:cs="Arial" w:eastAsia="Arial" w:hAnsi="Arial"/>
                  <w:sz w:val="19"/>
                  <w:szCs w:val="19"/>
                  <w:color w:val="0000EE"/>
                  <w:w w:val="90"/>
                </w:rPr>
                <w:t>Form of Change in Control and Severance Agreement between the Registrant and certain of its executive officers.</w:t>
              </w:r>
            </w:hyperlink>
          </w:p>
        </w:tc>
        <w:tc>
          <w:tcPr>
            <w:tcW w:w="1420" w:type="dxa"/>
            <w:vAlign w:val="bottom"/>
            <w:gridSpan w:val="5"/>
          </w:tcPr>
          <w:p>
            <w:pPr>
              <w:spacing w:after="0"/>
              <w:rPr>
                <w:sz w:val="24"/>
                <w:szCs w:val="24"/>
                <w:color w:val="auto"/>
              </w:rPr>
            </w:pPr>
          </w:p>
        </w:tc>
      </w:tr>
      <w:tr>
        <w:trPr>
          <w:trHeight w:val="322"/>
        </w:trPr>
        <w:tc>
          <w:tcPr>
            <w:tcW w:w="680" w:type="dxa"/>
            <w:vAlign w:val="bottom"/>
            <w:gridSpan w:val="2"/>
          </w:tcPr>
          <w:p>
            <w:pPr>
              <w:spacing w:after="0"/>
              <w:rPr>
                <w:sz w:val="20"/>
                <w:szCs w:val="20"/>
                <w:color w:val="auto"/>
              </w:rPr>
            </w:pPr>
            <w:r>
              <w:rPr>
                <w:rFonts w:ascii="Arial" w:cs="Arial" w:eastAsia="Arial" w:hAnsi="Arial"/>
                <w:sz w:val="19"/>
                <w:szCs w:val="19"/>
                <w:color w:val="auto"/>
              </w:rPr>
              <w:t>10.13^</w:t>
            </w:r>
          </w:p>
        </w:tc>
        <w:tc>
          <w:tcPr>
            <w:tcW w:w="600" w:type="dxa"/>
            <w:vAlign w:val="bottom"/>
          </w:tcPr>
          <w:p>
            <w:pPr>
              <w:spacing w:after="0"/>
              <w:rPr>
                <w:sz w:val="24"/>
                <w:szCs w:val="24"/>
                <w:color w:val="auto"/>
              </w:rPr>
            </w:pPr>
          </w:p>
        </w:tc>
        <w:tc>
          <w:tcPr>
            <w:tcW w:w="10100" w:type="dxa"/>
            <w:vAlign w:val="bottom"/>
            <w:gridSpan w:val="29"/>
          </w:tcPr>
          <w:p>
            <w:pPr>
              <w:spacing w:after="0"/>
              <w:rPr>
                <w:rFonts w:ascii="Arial" w:cs="Arial" w:eastAsia="Arial" w:hAnsi="Arial"/>
                <w:sz w:val="19"/>
                <w:szCs w:val="19"/>
                <w:color w:val="0000EE"/>
              </w:rPr>
            </w:pPr>
            <w:hyperlink r:id="rId332">
              <w:r>
                <w:rPr>
                  <w:rFonts w:ascii="Arial" w:cs="Arial" w:eastAsia="Arial" w:hAnsi="Arial"/>
                  <w:sz w:val="19"/>
                  <w:szCs w:val="19"/>
                  <w:color w:val="0000EE"/>
                </w:rPr>
                <w:t>Sublease between the Registrant and CytomX Therapeutics, Inc., dated April 25, 2016.</w:t>
              </w:r>
            </w:hyperlink>
          </w:p>
        </w:tc>
      </w:tr>
      <w:tr>
        <w:trPr>
          <w:trHeight w:val="322"/>
        </w:trPr>
        <w:tc>
          <w:tcPr>
            <w:tcW w:w="680" w:type="dxa"/>
            <w:vAlign w:val="bottom"/>
            <w:gridSpan w:val="2"/>
          </w:tcPr>
          <w:p>
            <w:pPr>
              <w:spacing w:after="0"/>
              <w:rPr>
                <w:sz w:val="20"/>
                <w:szCs w:val="20"/>
                <w:color w:val="auto"/>
              </w:rPr>
            </w:pPr>
            <w:r>
              <w:rPr>
                <w:rFonts w:ascii="Arial" w:cs="Arial" w:eastAsia="Arial" w:hAnsi="Arial"/>
                <w:sz w:val="19"/>
                <w:szCs w:val="19"/>
                <w:color w:val="auto"/>
              </w:rPr>
              <w:t>10.14^</w:t>
            </w:r>
          </w:p>
        </w:tc>
        <w:tc>
          <w:tcPr>
            <w:tcW w:w="600" w:type="dxa"/>
            <w:vAlign w:val="bottom"/>
          </w:tcPr>
          <w:p>
            <w:pPr>
              <w:spacing w:after="0"/>
              <w:rPr>
                <w:sz w:val="24"/>
                <w:szCs w:val="24"/>
                <w:color w:val="auto"/>
              </w:rPr>
            </w:pPr>
          </w:p>
        </w:tc>
        <w:tc>
          <w:tcPr>
            <w:tcW w:w="6340" w:type="dxa"/>
            <w:vAlign w:val="bottom"/>
            <w:tcBorders>
              <w:top w:val="single" w:sz="8" w:color="0000EE"/>
              <w:bottom w:val="single" w:sz="8" w:color="0000EE"/>
            </w:tcBorders>
            <w:gridSpan w:val="16"/>
          </w:tcPr>
          <w:p>
            <w:pPr>
              <w:spacing w:after="0"/>
              <w:rPr>
                <w:rFonts w:ascii="Arial" w:cs="Arial" w:eastAsia="Arial" w:hAnsi="Arial"/>
                <w:sz w:val="19"/>
                <w:szCs w:val="19"/>
                <w:color w:val="0000EE"/>
                <w:w w:val="90"/>
              </w:rPr>
            </w:pPr>
            <w:hyperlink r:id="rId333">
              <w:r>
                <w:rPr>
                  <w:rFonts w:ascii="Arial" w:cs="Arial" w:eastAsia="Arial" w:hAnsi="Arial"/>
                  <w:sz w:val="19"/>
                  <w:szCs w:val="19"/>
                  <w:color w:val="0000EE"/>
                  <w:w w:val="90"/>
                </w:rPr>
                <w:t>Lease between the Registrant and HCP Oyster Point III, LLC, dated June 27, 2018.</w:t>
              </w:r>
            </w:hyperlink>
          </w:p>
        </w:tc>
        <w:tc>
          <w:tcPr>
            <w:tcW w:w="280" w:type="dxa"/>
            <w:vAlign w:val="bottom"/>
            <w:tcBorders>
              <w:top w:val="single" w:sz="8" w:color="0000EE"/>
            </w:tcBorders>
            <w:gridSpan w:val="2"/>
          </w:tcPr>
          <w:p>
            <w:pPr>
              <w:spacing w:after="0"/>
              <w:rPr>
                <w:sz w:val="24"/>
                <w:szCs w:val="24"/>
                <w:color w:val="auto"/>
              </w:rPr>
            </w:pPr>
          </w:p>
        </w:tc>
        <w:tc>
          <w:tcPr>
            <w:tcW w:w="3480" w:type="dxa"/>
            <w:vAlign w:val="bottom"/>
            <w:gridSpan w:val="11"/>
          </w:tcPr>
          <w:p>
            <w:pPr>
              <w:spacing w:after="0"/>
              <w:rPr>
                <w:sz w:val="24"/>
                <w:szCs w:val="24"/>
                <w:color w:val="auto"/>
              </w:rPr>
            </w:pPr>
          </w:p>
        </w:tc>
      </w:tr>
      <w:tr>
        <w:trPr>
          <w:trHeight w:val="322"/>
        </w:trPr>
        <w:tc>
          <w:tcPr>
            <w:tcW w:w="680" w:type="dxa"/>
            <w:vAlign w:val="bottom"/>
            <w:gridSpan w:val="2"/>
          </w:tcPr>
          <w:p>
            <w:pPr>
              <w:spacing w:after="0"/>
              <w:rPr>
                <w:sz w:val="20"/>
                <w:szCs w:val="20"/>
                <w:color w:val="auto"/>
              </w:rPr>
            </w:pPr>
            <w:r>
              <w:rPr>
                <w:rFonts w:ascii="Arial" w:cs="Arial" w:eastAsia="Arial" w:hAnsi="Arial"/>
                <w:sz w:val="19"/>
                <w:szCs w:val="19"/>
                <w:color w:val="auto"/>
                <w:w w:val="98"/>
              </w:rPr>
              <w:t>10.15#^</w:t>
            </w:r>
          </w:p>
        </w:tc>
        <w:tc>
          <w:tcPr>
            <w:tcW w:w="600" w:type="dxa"/>
            <w:vAlign w:val="bottom"/>
          </w:tcPr>
          <w:p>
            <w:pPr>
              <w:spacing w:after="0"/>
              <w:rPr>
                <w:sz w:val="24"/>
                <w:szCs w:val="24"/>
                <w:color w:val="auto"/>
              </w:rPr>
            </w:pPr>
          </w:p>
        </w:tc>
        <w:tc>
          <w:tcPr>
            <w:tcW w:w="10100" w:type="dxa"/>
            <w:vAlign w:val="bottom"/>
            <w:tcBorders>
              <w:bottom w:val="single" w:sz="8" w:color="0000EE"/>
            </w:tcBorders>
            <w:gridSpan w:val="29"/>
          </w:tcPr>
          <w:p>
            <w:pPr>
              <w:spacing w:after="0"/>
              <w:rPr>
                <w:rFonts w:ascii="Arial" w:cs="Arial" w:eastAsia="Arial" w:hAnsi="Arial"/>
                <w:sz w:val="19"/>
                <w:szCs w:val="19"/>
                <w:color w:val="0000EE"/>
                <w:w w:val="89"/>
              </w:rPr>
            </w:pPr>
            <w:hyperlink r:id="rId334">
              <w:r>
                <w:rPr>
                  <w:rFonts w:ascii="Arial" w:cs="Arial" w:eastAsia="Arial" w:hAnsi="Arial"/>
                  <w:sz w:val="19"/>
                  <w:szCs w:val="19"/>
                  <w:color w:val="0000EE"/>
                  <w:w w:val="89"/>
                </w:rPr>
                <w:t>Third Amended and Restated Collaboration Agreement between the Registrant and Adimab, dated September 19, 2016, as amended.</w:t>
              </w:r>
            </w:hyperlink>
          </w:p>
        </w:tc>
      </w:tr>
      <w:tr>
        <w:trPr>
          <w:trHeight w:val="322"/>
        </w:trPr>
        <w:tc>
          <w:tcPr>
            <w:tcW w:w="680" w:type="dxa"/>
            <w:vAlign w:val="bottom"/>
            <w:gridSpan w:val="2"/>
          </w:tcPr>
          <w:p>
            <w:pPr>
              <w:spacing w:after="0"/>
              <w:rPr>
                <w:sz w:val="20"/>
                <w:szCs w:val="20"/>
                <w:color w:val="auto"/>
              </w:rPr>
            </w:pPr>
            <w:r>
              <w:rPr>
                <w:rFonts w:ascii="Arial" w:cs="Arial" w:eastAsia="Arial" w:hAnsi="Arial"/>
                <w:sz w:val="19"/>
                <w:szCs w:val="19"/>
                <w:color w:val="auto"/>
                <w:w w:val="98"/>
              </w:rPr>
              <w:t>10.16#^</w:t>
            </w:r>
          </w:p>
        </w:tc>
        <w:tc>
          <w:tcPr>
            <w:tcW w:w="600" w:type="dxa"/>
            <w:vAlign w:val="bottom"/>
          </w:tcPr>
          <w:p>
            <w:pPr>
              <w:spacing w:after="0"/>
              <w:rPr>
                <w:sz w:val="24"/>
                <w:szCs w:val="24"/>
                <w:color w:val="auto"/>
              </w:rPr>
            </w:pPr>
          </w:p>
        </w:tc>
        <w:tc>
          <w:tcPr>
            <w:tcW w:w="9340" w:type="dxa"/>
            <w:vAlign w:val="bottom"/>
            <w:tcBorders>
              <w:bottom w:val="single" w:sz="8" w:color="0000EE"/>
            </w:tcBorders>
            <w:gridSpan w:val="26"/>
          </w:tcPr>
          <w:p>
            <w:pPr>
              <w:spacing w:after="0"/>
              <w:rPr>
                <w:rFonts w:ascii="Arial" w:cs="Arial" w:eastAsia="Arial" w:hAnsi="Arial"/>
                <w:sz w:val="19"/>
                <w:szCs w:val="19"/>
                <w:color w:val="0000EE"/>
                <w:w w:val="90"/>
              </w:rPr>
            </w:pPr>
            <w:hyperlink r:id="rId335">
              <w:r>
                <w:rPr>
                  <w:rFonts w:ascii="Arial" w:cs="Arial" w:eastAsia="Arial" w:hAnsi="Arial"/>
                  <w:sz w:val="19"/>
                  <w:szCs w:val="19"/>
                  <w:color w:val="0000EE"/>
                  <w:w w:val="90"/>
                </w:rPr>
                <w:t>Co-Development and Option Agreement between the Registrant and AbbVie Biotechnology, Ltd., dated October 16, 2017.</w:t>
              </w:r>
            </w:hyperlink>
          </w:p>
        </w:tc>
        <w:tc>
          <w:tcPr>
            <w:tcW w:w="760" w:type="dxa"/>
            <w:vAlign w:val="bottom"/>
            <w:gridSpan w:val="3"/>
          </w:tcPr>
          <w:p>
            <w:pPr>
              <w:spacing w:after="0"/>
              <w:rPr>
                <w:sz w:val="24"/>
                <w:szCs w:val="24"/>
                <w:color w:val="auto"/>
              </w:rPr>
            </w:pPr>
          </w:p>
        </w:tc>
      </w:tr>
      <w:tr>
        <w:trPr>
          <w:trHeight w:val="322"/>
        </w:trPr>
        <w:tc>
          <w:tcPr>
            <w:tcW w:w="680" w:type="dxa"/>
            <w:vAlign w:val="bottom"/>
            <w:gridSpan w:val="2"/>
          </w:tcPr>
          <w:p>
            <w:pPr>
              <w:spacing w:after="0"/>
              <w:rPr>
                <w:sz w:val="20"/>
                <w:szCs w:val="20"/>
                <w:color w:val="auto"/>
              </w:rPr>
            </w:pPr>
            <w:r>
              <w:rPr>
                <w:rFonts w:ascii="Arial" w:cs="Arial" w:eastAsia="Arial" w:hAnsi="Arial"/>
                <w:sz w:val="19"/>
                <w:szCs w:val="19"/>
                <w:color w:val="auto"/>
              </w:rPr>
              <w:t>21.1^</w:t>
            </w:r>
          </w:p>
        </w:tc>
        <w:tc>
          <w:tcPr>
            <w:tcW w:w="600" w:type="dxa"/>
            <w:vAlign w:val="bottom"/>
          </w:tcPr>
          <w:p>
            <w:pPr>
              <w:spacing w:after="0"/>
              <w:rPr>
                <w:sz w:val="24"/>
                <w:szCs w:val="24"/>
                <w:color w:val="auto"/>
              </w:rPr>
            </w:pPr>
          </w:p>
        </w:tc>
        <w:tc>
          <w:tcPr>
            <w:tcW w:w="2540" w:type="dxa"/>
            <w:vAlign w:val="bottom"/>
            <w:tcBorders>
              <w:bottom w:val="single" w:sz="8" w:color="0000EE"/>
            </w:tcBorders>
            <w:gridSpan w:val="2"/>
          </w:tcPr>
          <w:p>
            <w:pPr>
              <w:spacing w:after="0"/>
              <w:rPr>
                <w:rFonts w:ascii="Arial" w:cs="Arial" w:eastAsia="Arial" w:hAnsi="Arial"/>
                <w:sz w:val="19"/>
                <w:szCs w:val="19"/>
                <w:color w:val="0000EE"/>
                <w:w w:val="91"/>
              </w:rPr>
            </w:pPr>
            <w:hyperlink r:id="rId336">
              <w:r>
                <w:rPr>
                  <w:rFonts w:ascii="Arial" w:cs="Arial" w:eastAsia="Arial" w:hAnsi="Arial"/>
                  <w:sz w:val="19"/>
                  <w:szCs w:val="19"/>
                  <w:color w:val="0000EE"/>
                  <w:w w:val="91"/>
                </w:rPr>
                <w:t>List of subsidiaries of Registrant.</w:t>
              </w:r>
            </w:hyperlink>
          </w:p>
        </w:tc>
        <w:tc>
          <w:tcPr>
            <w:tcW w:w="7560" w:type="dxa"/>
            <w:vAlign w:val="bottom"/>
            <w:gridSpan w:val="27"/>
          </w:tcPr>
          <w:p>
            <w:pPr>
              <w:spacing w:after="0"/>
              <w:rPr>
                <w:sz w:val="24"/>
                <w:szCs w:val="24"/>
                <w:color w:val="auto"/>
              </w:rPr>
            </w:pPr>
          </w:p>
        </w:tc>
      </w:tr>
      <w:tr>
        <w:trPr>
          <w:trHeight w:val="322"/>
        </w:trPr>
        <w:tc>
          <w:tcPr>
            <w:tcW w:w="680" w:type="dxa"/>
            <w:vAlign w:val="bottom"/>
            <w:gridSpan w:val="2"/>
          </w:tcPr>
          <w:p>
            <w:pPr>
              <w:spacing w:after="0"/>
              <w:rPr>
                <w:sz w:val="20"/>
                <w:szCs w:val="20"/>
                <w:color w:val="auto"/>
              </w:rPr>
            </w:pPr>
            <w:r>
              <w:rPr>
                <w:rFonts w:ascii="Arial" w:cs="Arial" w:eastAsia="Arial" w:hAnsi="Arial"/>
                <w:sz w:val="19"/>
                <w:szCs w:val="19"/>
                <w:color w:val="auto"/>
              </w:rPr>
              <w:t>23.1</w:t>
            </w:r>
          </w:p>
        </w:tc>
        <w:tc>
          <w:tcPr>
            <w:tcW w:w="600" w:type="dxa"/>
            <w:vAlign w:val="bottom"/>
          </w:tcPr>
          <w:p>
            <w:pPr>
              <w:spacing w:after="0"/>
              <w:rPr>
                <w:sz w:val="24"/>
                <w:szCs w:val="24"/>
                <w:color w:val="auto"/>
              </w:rPr>
            </w:pPr>
          </w:p>
        </w:tc>
        <w:tc>
          <w:tcPr>
            <w:tcW w:w="4620" w:type="dxa"/>
            <w:vAlign w:val="bottom"/>
            <w:tcBorders>
              <w:bottom w:val="single" w:sz="8" w:color="0000EE"/>
            </w:tcBorders>
            <w:gridSpan w:val="8"/>
          </w:tcPr>
          <w:p>
            <w:pPr>
              <w:spacing w:after="0"/>
              <w:rPr>
                <w:sz w:val="20"/>
                <w:szCs w:val="20"/>
                <w:color w:val="auto"/>
              </w:rPr>
            </w:pPr>
            <w:r>
              <w:rPr>
                <w:rFonts w:ascii="Arial" w:cs="Arial" w:eastAsia="Arial" w:hAnsi="Arial"/>
                <w:sz w:val="19"/>
                <w:szCs w:val="19"/>
                <w:color w:val="0000EE"/>
                <w:w w:val="91"/>
              </w:rPr>
              <w:t>Consent of Independent Registered Public Accounting Firm.</w:t>
            </w:r>
          </w:p>
        </w:tc>
        <w:tc>
          <w:tcPr>
            <w:tcW w:w="5480" w:type="dxa"/>
            <w:vAlign w:val="bottom"/>
            <w:gridSpan w:val="21"/>
          </w:tcPr>
          <w:p>
            <w:pPr>
              <w:spacing w:after="0"/>
              <w:rPr>
                <w:sz w:val="24"/>
                <w:szCs w:val="24"/>
                <w:color w:val="auto"/>
              </w:rPr>
            </w:pPr>
          </w:p>
        </w:tc>
      </w:tr>
      <w:tr>
        <w:trPr>
          <w:trHeight w:val="322"/>
        </w:trPr>
        <w:tc>
          <w:tcPr>
            <w:tcW w:w="680" w:type="dxa"/>
            <w:vAlign w:val="bottom"/>
            <w:gridSpan w:val="2"/>
          </w:tcPr>
          <w:p>
            <w:pPr>
              <w:spacing w:after="0"/>
              <w:rPr>
                <w:sz w:val="20"/>
                <w:szCs w:val="20"/>
                <w:color w:val="auto"/>
              </w:rPr>
            </w:pPr>
            <w:r>
              <w:rPr>
                <w:rFonts w:ascii="Arial" w:cs="Arial" w:eastAsia="Arial" w:hAnsi="Arial"/>
                <w:sz w:val="19"/>
                <w:szCs w:val="19"/>
                <w:color w:val="auto"/>
              </w:rPr>
              <w:t>23.2^</w:t>
            </w:r>
          </w:p>
        </w:tc>
        <w:tc>
          <w:tcPr>
            <w:tcW w:w="600" w:type="dxa"/>
            <w:vAlign w:val="bottom"/>
          </w:tcPr>
          <w:p>
            <w:pPr>
              <w:spacing w:after="0"/>
              <w:rPr>
                <w:sz w:val="24"/>
                <w:szCs w:val="24"/>
                <w:color w:val="auto"/>
              </w:rPr>
            </w:pPr>
          </w:p>
        </w:tc>
        <w:tc>
          <w:tcPr>
            <w:tcW w:w="7500" w:type="dxa"/>
            <w:vAlign w:val="bottom"/>
            <w:tcBorders>
              <w:bottom w:val="single" w:sz="8" w:color="0000EE"/>
            </w:tcBorders>
            <w:gridSpan w:val="20"/>
          </w:tcPr>
          <w:p>
            <w:pPr>
              <w:spacing w:after="0"/>
              <w:rPr>
                <w:rFonts w:ascii="Arial" w:cs="Arial" w:eastAsia="Arial" w:hAnsi="Arial"/>
                <w:sz w:val="19"/>
                <w:szCs w:val="19"/>
                <w:color w:val="0000EE"/>
                <w:w w:val="92"/>
              </w:rPr>
            </w:pPr>
            <w:hyperlink r:id="rId319">
              <w:r>
                <w:rPr>
                  <w:rFonts w:ascii="Arial" w:cs="Arial" w:eastAsia="Arial" w:hAnsi="Arial"/>
                  <w:sz w:val="19"/>
                  <w:szCs w:val="19"/>
                  <w:color w:val="0000EE"/>
                  <w:w w:val="92"/>
                </w:rPr>
                <w:t>Consent of Wilson Sonsini Goodrich &amp; Rosati, Professional Corporation (included in Exhibit 5.1).</w:t>
              </w:r>
            </w:hyperlink>
          </w:p>
        </w:tc>
        <w:tc>
          <w:tcPr>
            <w:tcW w:w="2600" w:type="dxa"/>
            <w:vAlign w:val="bottom"/>
            <w:gridSpan w:val="9"/>
          </w:tcPr>
          <w:p>
            <w:pPr>
              <w:spacing w:after="0"/>
              <w:rPr>
                <w:sz w:val="24"/>
                <w:szCs w:val="24"/>
                <w:color w:val="auto"/>
              </w:rPr>
            </w:pPr>
          </w:p>
        </w:tc>
      </w:tr>
      <w:tr>
        <w:trPr>
          <w:trHeight w:val="322"/>
        </w:trPr>
        <w:tc>
          <w:tcPr>
            <w:tcW w:w="680" w:type="dxa"/>
            <w:vAlign w:val="bottom"/>
            <w:gridSpan w:val="2"/>
          </w:tcPr>
          <w:p>
            <w:pPr>
              <w:spacing w:after="0"/>
              <w:rPr>
                <w:sz w:val="20"/>
                <w:szCs w:val="20"/>
                <w:color w:val="auto"/>
              </w:rPr>
            </w:pPr>
            <w:r>
              <w:rPr>
                <w:rFonts w:ascii="Arial" w:cs="Arial" w:eastAsia="Arial" w:hAnsi="Arial"/>
                <w:sz w:val="19"/>
                <w:szCs w:val="19"/>
                <w:color w:val="auto"/>
              </w:rPr>
              <w:t>24.1^</w:t>
            </w:r>
          </w:p>
        </w:tc>
        <w:tc>
          <w:tcPr>
            <w:tcW w:w="600" w:type="dxa"/>
            <w:vAlign w:val="bottom"/>
          </w:tcPr>
          <w:p>
            <w:pPr>
              <w:spacing w:after="0"/>
              <w:rPr>
                <w:sz w:val="24"/>
                <w:szCs w:val="24"/>
                <w:color w:val="auto"/>
              </w:rPr>
            </w:pPr>
          </w:p>
        </w:tc>
        <w:tc>
          <w:tcPr>
            <w:tcW w:w="10100" w:type="dxa"/>
            <w:vAlign w:val="bottom"/>
            <w:gridSpan w:val="29"/>
          </w:tcPr>
          <w:p>
            <w:pPr>
              <w:spacing w:after="0"/>
              <w:rPr>
                <w:rFonts w:ascii="Arial" w:cs="Arial" w:eastAsia="Arial" w:hAnsi="Arial"/>
                <w:sz w:val="19"/>
                <w:szCs w:val="19"/>
                <w:color w:val="0000EE"/>
              </w:rPr>
            </w:pPr>
            <w:hyperlink r:id="rId337">
              <w:r>
                <w:rPr>
                  <w:rFonts w:ascii="Arial" w:cs="Arial" w:eastAsia="Arial" w:hAnsi="Arial"/>
                  <w:sz w:val="19"/>
                  <w:szCs w:val="19"/>
                  <w:color w:val="0000EE"/>
                </w:rPr>
                <w:t>Power of Attorney (see page II-6 to this Form S-1).</w:t>
              </w:r>
            </w:hyperlink>
          </w:p>
        </w:tc>
      </w:tr>
      <w:tr>
        <w:trPr>
          <w:trHeight w:val="20"/>
        </w:trPr>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108585</wp:posOffset>
            </wp:positionV>
            <wp:extent cx="74231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8">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94" w:lineRule="exact"/>
        <w:rPr>
          <w:sz w:val="20"/>
          <w:szCs w:val="20"/>
          <w:color w:val="auto"/>
        </w:rPr>
      </w:pPr>
    </w:p>
    <w:p>
      <w:pPr>
        <w:ind w:left="640" w:hanging="461"/>
        <w:spacing w:after="0"/>
        <w:tabs>
          <w:tab w:leader="none" w:pos="64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Previously submitted.</w:t>
      </w:r>
    </w:p>
    <w:p>
      <w:pPr>
        <w:spacing w:after="0" w:line="23" w:lineRule="exact"/>
        <w:rPr>
          <w:sz w:val="20"/>
          <w:szCs w:val="20"/>
          <w:color w:val="auto"/>
        </w:rPr>
      </w:pPr>
    </w:p>
    <w:p>
      <w:pPr>
        <w:ind w:left="640" w:hanging="461"/>
        <w:spacing w:after="0"/>
        <w:tabs>
          <w:tab w:leader="none" w:pos="64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Indicated management contract or compensatory plan.</w:t>
      </w:r>
    </w:p>
    <w:p>
      <w:pPr>
        <w:spacing w:after="0" w:line="10" w:lineRule="exact"/>
        <w:rPr>
          <w:sz w:val="20"/>
          <w:szCs w:val="20"/>
          <w:color w:val="auto"/>
        </w:rPr>
      </w:pPr>
    </w:p>
    <w:p>
      <w:pPr>
        <w:ind w:left="640" w:hanging="461"/>
        <w:spacing w:after="0" w:line="261" w:lineRule="auto"/>
        <w:tabs>
          <w:tab w:leader="none" w:pos="64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Portions of this exhibit (indicated by asterisks) have been omitted pursuant to a request for confidential treatment and this exhibit has been filed separately with the SEC.</w:t>
      </w:r>
    </w:p>
    <w:p>
      <w:pPr>
        <w:spacing w:after="0" w:line="125" w:lineRule="exact"/>
        <w:rPr>
          <w:sz w:val="20"/>
          <w:szCs w:val="20"/>
          <w:color w:val="auto"/>
        </w:rPr>
      </w:pPr>
    </w:p>
    <w:p>
      <w:pPr>
        <w:jc w:val="center"/>
        <w:ind w:right="-439"/>
        <w:spacing w:after="0"/>
        <w:rPr>
          <w:sz w:val="20"/>
          <w:szCs w:val="20"/>
          <w:color w:val="auto"/>
        </w:rPr>
      </w:pPr>
      <w:r>
        <w:rPr>
          <w:rFonts w:ascii="Arial" w:cs="Arial" w:eastAsia="Arial" w:hAnsi="Arial"/>
          <w:sz w:val="19"/>
          <w:szCs w:val="19"/>
          <w:color w:val="auto"/>
        </w:rPr>
        <w:t>II-5</w:t>
      </w:r>
    </w:p>
    <w:p>
      <w:pPr>
        <w:sectPr>
          <w:pgSz w:w="12240" w:h="15840" w:orient="portrait"/>
          <w:cols w:equalWidth="0" w:num="1">
            <w:col w:w="11560"/>
          </w:cols>
          <w:pgMar w:left="120" w:top="337" w:right="560" w:bottom="1440" w:gutter="0" w:footer="0" w:header="0"/>
        </w:sectPr>
      </w:pPr>
    </w:p>
    <w:bookmarkStart w:id="237" w:name="page238"/>
    <w:bookmarkEnd w:id="23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8">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SIGNATURES</w:t>
      </w:r>
    </w:p>
    <w:p>
      <w:pPr>
        <w:spacing w:after="0" w:line="244" w:lineRule="exact"/>
        <w:rPr>
          <w:sz w:val="20"/>
          <w:szCs w:val="20"/>
          <w:color w:val="auto"/>
        </w:rPr>
      </w:pPr>
    </w:p>
    <w:p>
      <w:pPr>
        <w:ind w:left="180" w:right="160" w:firstLine="465"/>
        <w:spacing w:after="0" w:line="336"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South San Francisco, State of California, on the 6</w:t>
      </w:r>
      <w:r>
        <w:rPr>
          <w:rFonts w:ascii="Arial" w:cs="Arial" w:eastAsia="Arial" w:hAnsi="Arial"/>
          <w:sz w:val="14"/>
          <w:szCs w:val="14"/>
          <w:color w:val="auto"/>
        </w:rPr>
        <w:t>th</w:t>
      </w:r>
      <w:r>
        <w:rPr>
          <w:rFonts w:ascii="Arial" w:cs="Arial" w:eastAsia="Arial" w:hAnsi="Arial"/>
          <w:sz w:val="17"/>
          <w:szCs w:val="17"/>
          <w:color w:val="auto"/>
        </w:rPr>
        <w:t xml:space="preserve"> day of February, 2019.</w:t>
      </w:r>
    </w:p>
    <w:p>
      <w:pPr>
        <w:spacing w:after="0" w:line="160" w:lineRule="exact"/>
        <w:rPr>
          <w:sz w:val="20"/>
          <w:szCs w:val="20"/>
          <w:color w:val="auto"/>
        </w:rPr>
      </w:pPr>
    </w:p>
    <w:p>
      <w:pPr>
        <w:ind w:left="7160"/>
        <w:spacing w:after="0"/>
        <w:rPr>
          <w:sz w:val="20"/>
          <w:szCs w:val="20"/>
          <w:color w:val="auto"/>
        </w:rPr>
      </w:pPr>
      <w:r>
        <w:rPr>
          <w:rFonts w:ascii="Arial" w:cs="Arial" w:eastAsia="Arial" w:hAnsi="Arial"/>
          <w:sz w:val="19"/>
          <w:szCs w:val="19"/>
          <w:b w:val="1"/>
          <w:bCs w:val="1"/>
          <w:color w:val="auto"/>
        </w:rPr>
        <w:t>ALECTOR, INC.</w:t>
      </w:r>
    </w:p>
    <w:p>
      <w:pPr>
        <w:spacing w:after="0" w:line="244" w:lineRule="exact"/>
        <w:rPr>
          <w:sz w:val="20"/>
          <w:szCs w:val="20"/>
          <w:color w:val="auto"/>
        </w:rPr>
      </w:pPr>
    </w:p>
    <w:p>
      <w:pPr>
        <w:ind w:left="7160"/>
        <w:spacing w:after="0"/>
        <w:tabs>
          <w:tab w:leader="none" w:pos="75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Arnon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4741545</wp:posOffset>
            </wp:positionH>
            <wp:positionV relativeFrom="paragraph">
              <wp:posOffset>15240</wp:posOffset>
            </wp:positionV>
            <wp:extent cx="276225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0">
                      <a:extLst>
                        <a:ext uri="{28A0092B-C50C-407E-A947-70E740481C1C}"/>
                      </a:extLst>
                    </a:blip>
                    <a:srcRect/>
                    <a:stretch>
                      <a:fillRect/>
                    </a:stretch>
                  </pic:blipFill>
                  <pic:spPr bwMode="auto">
                    <a:xfrm>
                      <a:off x="0" y="0"/>
                      <a:ext cx="2762250" cy="8890"/>
                    </a:xfrm>
                    <a:prstGeom prst="rect">
                      <a:avLst/>
                    </a:prstGeom>
                    <a:noFill/>
                  </pic:spPr>
                </pic:pic>
              </a:graphicData>
            </a:graphic>
          </wp:anchor>
        </w:drawing>
      </w:r>
    </w:p>
    <w:p>
      <w:pPr>
        <w:spacing w:after="0" w:line="4" w:lineRule="exact"/>
        <w:rPr>
          <w:sz w:val="20"/>
          <w:szCs w:val="20"/>
          <w:color w:val="auto"/>
        </w:rPr>
      </w:pPr>
    </w:p>
    <w:p>
      <w:pPr>
        <w:ind w:left="7600"/>
        <w:spacing w:after="0"/>
        <w:rPr>
          <w:sz w:val="20"/>
          <w:szCs w:val="20"/>
          <w:color w:val="auto"/>
        </w:rPr>
      </w:pPr>
      <w:r>
        <w:rPr>
          <w:rFonts w:ascii="Arial" w:cs="Arial" w:eastAsia="Arial" w:hAnsi="Arial"/>
          <w:sz w:val="19"/>
          <w:szCs w:val="19"/>
          <w:color w:val="auto"/>
        </w:rPr>
        <w:t>Arnon Rosenthal, Ph.D.</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9"/>
          <w:szCs w:val="19"/>
          <w:color w:val="auto"/>
        </w:rPr>
        <w:t>Co-Founder and Chief Executive Officer</w:t>
      </w:r>
    </w:p>
    <w:p>
      <w:pPr>
        <w:spacing w:after="0" w:line="225" w:lineRule="exact"/>
        <w:rPr>
          <w:sz w:val="20"/>
          <w:szCs w:val="20"/>
          <w:color w:val="auto"/>
        </w:rPr>
      </w:pPr>
    </w:p>
    <w:p>
      <w:pPr>
        <w:ind w:left="180" w:firstLine="465"/>
        <w:spacing w:after="0" w:line="275" w:lineRule="auto"/>
        <w:rPr>
          <w:sz w:val="20"/>
          <w:szCs w:val="20"/>
          <w:color w:val="auto"/>
        </w:rPr>
      </w:pPr>
      <w:r>
        <w:rPr>
          <w:rFonts w:ascii="Arial" w:cs="Arial" w:eastAsia="Arial" w:hAnsi="Arial"/>
          <w:sz w:val="19"/>
          <w:szCs w:val="19"/>
          <w:color w:val="auto"/>
        </w:rPr>
        <w:t>Pursuant to the requirements of the Securities Act of 1933, as amended, this registration statement has been signed by the following persons in the capacities and on the dates indicated.</w:t>
      </w: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5"/>
                <w:szCs w:val="15"/>
                <w:b w:val="1"/>
                <w:bCs w:val="1"/>
                <w:color w:val="auto"/>
                <w:w w:val="89"/>
              </w:rPr>
              <w:t>Signature</w:t>
            </w:r>
          </w:p>
        </w:tc>
        <w:tc>
          <w:tcPr>
            <w:tcW w:w="1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80" w:type="dxa"/>
            <w:vAlign w:val="bottom"/>
            <w:gridSpan w:val="3"/>
          </w:tcPr>
          <w:p>
            <w:pPr>
              <w:ind w:left="2080"/>
              <w:spacing w:after="0"/>
              <w:rPr>
                <w:sz w:val="20"/>
                <w:szCs w:val="20"/>
                <w:color w:val="auto"/>
              </w:rPr>
            </w:pPr>
            <w:r>
              <w:rPr>
                <w:rFonts w:ascii="Arial" w:cs="Arial" w:eastAsia="Arial" w:hAnsi="Arial"/>
                <w:sz w:val="15"/>
                <w:szCs w:val="15"/>
                <w:b w:val="1"/>
                <w:bCs w:val="1"/>
                <w:color w:val="auto"/>
              </w:rPr>
              <w:t>Title</w:t>
            </w:r>
          </w:p>
        </w:tc>
        <w:tc>
          <w:tcPr>
            <w:tcW w:w="178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5"/>
                <w:szCs w:val="15"/>
                <w:b w:val="1"/>
                <w:bCs w:val="1"/>
                <w:color w:val="auto"/>
              </w:rPr>
              <w:t>Date</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50"/>
        </w:trPr>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rPr>
              <w:t>/s/ Arnon Rosenthal</w:t>
            </w:r>
          </w:p>
        </w:tc>
        <w:tc>
          <w:tcPr>
            <w:tcW w:w="6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660" w:type="dxa"/>
            <w:vAlign w:val="bottom"/>
            <w:gridSpan w:val="4"/>
          </w:tcPr>
          <w:p>
            <w:pPr>
              <w:ind w:left="260"/>
              <w:spacing w:after="0"/>
              <w:rPr>
                <w:sz w:val="20"/>
                <w:szCs w:val="20"/>
                <w:color w:val="auto"/>
              </w:rPr>
            </w:pPr>
            <w:r>
              <w:rPr>
                <w:rFonts w:ascii="Arial" w:cs="Arial" w:eastAsia="Arial" w:hAnsi="Arial"/>
                <w:sz w:val="19"/>
                <w:szCs w:val="19"/>
                <w:color w:val="auto"/>
              </w:rPr>
              <w:t>Chief Executive Officer and Director</w:t>
            </w:r>
          </w:p>
        </w:tc>
        <w:tc>
          <w:tcPr>
            <w:tcW w:w="2260" w:type="dxa"/>
            <w:vAlign w:val="bottom"/>
            <w:gridSpan w:val="3"/>
          </w:tcPr>
          <w:p>
            <w:pPr>
              <w:ind w:left="940"/>
              <w:spacing w:after="0"/>
              <w:rPr>
                <w:sz w:val="20"/>
                <w:szCs w:val="20"/>
                <w:color w:val="auto"/>
              </w:rPr>
            </w:pPr>
            <w:r>
              <w:rPr>
                <w:rFonts w:ascii="Arial" w:cs="Arial" w:eastAsia="Arial" w:hAnsi="Arial"/>
                <w:sz w:val="19"/>
                <w:szCs w:val="19"/>
                <w:color w:val="auto"/>
                <w:w w:val="89"/>
              </w:rPr>
              <w:t>February 6, 2019</w:t>
            </w:r>
          </w:p>
        </w:tc>
      </w:tr>
      <w:tr>
        <w:trPr>
          <w:trHeight w:val="237"/>
        </w:trPr>
        <w:tc>
          <w:tcPr>
            <w:tcW w:w="2360" w:type="dxa"/>
            <w:vAlign w:val="bottom"/>
            <w:gridSpan w:val="4"/>
          </w:tcPr>
          <w:p>
            <w:pPr>
              <w:spacing w:after="0"/>
              <w:rPr>
                <w:sz w:val="20"/>
                <w:szCs w:val="20"/>
                <w:color w:val="auto"/>
              </w:rPr>
            </w:pPr>
            <w:r>
              <w:rPr>
                <w:rFonts w:ascii="Arial" w:cs="Arial" w:eastAsia="Arial" w:hAnsi="Arial"/>
                <w:sz w:val="19"/>
                <w:szCs w:val="19"/>
                <w:color w:val="auto"/>
              </w:rPr>
              <w:t>Arnon Rosenthal, Ph.D.</w:t>
            </w:r>
          </w:p>
        </w:tc>
        <w:tc>
          <w:tcPr>
            <w:tcW w:w="1700" w:type="dxa"/>
            <w:vAlign w:val="bottom"/>
          </w:tcPr>
          <w:p>
            <w:pPr>
              <w:spacing w:after="0"/>
              <w:rPr>
                <w:sz w:val="20"/>
                <w:szCs w:val="20"/>
                <w:color w:val="auto"/>
              </w:rPr>
            </w:pPr>
          </w:p>
        </w:tc>
        <w:tc>
          <w:tcPr>
            <w:tcW w:w="4660" w:type="dxa"/>
            <w:vAlign w:val="bottom"/>
            <w:gridSpan w:val="4"/>
          </w:tcPr>
          <w:p>
            <w:pPr>
              <w:ind w:left="260"/>
              <w:spacing w:after="0"/>
              <w:rPr>
                <w:sz w:val="20"/>
                <w:szCs w:val="20"/>
                <w:color w:val="auto"/>
              </w:rPr>
            </w:pPr>
            <w:r>
              <w:rPr>
                <w:rFonts w:ascii="Arial" w:cs="Arial" w:eastAsia="Arial" w:hAnsi="Arial"/>
                <w:sz w:val="19"/>
                <w:szCs w:val="19"/>
                <w:i w:val="1"/>
                <w:iCs w:val="1"/>
                <w:color w:val="auto"/>
              </w:rPr>
              <w:t>(Principal Executive Officer)</w:t>
            </w: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56"/>
        </w:trPr>
        <w:tc>
          <w:tcPr>
            <w:tcW w:w="2360" w:type="dxa"/>
            <w:vAlign w:val="bottom"/>
            <w:tcBorders>
              <w:bottom w:val="single" w:sz="8" w:color="auto"/>
            </w:tcBorders>
            <w:gridSpan w:val="4"/>
          </w:tcPr>
          <w:p>
            <w:pPr>
              <w:spacing w:after="0"/>
              <w:rPr>
                <w:sz w:val="20"/>
                <w:szCs w:val="20"/>
                <w:color w:val="auto"/>
              </w:rPr>
            </w:pPr>
            <w:r>
              <w:rPr>
                <w:rFonts w:ascii="Arial" w:cs="Arial" w:eastAsia="Arial" w:hAnsi="Arial"/>
                <w:sz w:val="19"/>
                <w:szCs w:val="19"/>
                <w:color w:val="auto"/>
              </w:rPr>
              <w:t>/s/ Calvin Yu</w:t>
            </w:r>
          </w:p>
        </w:tc>
        <w:tc>
          <w:tcPr>
            <w:tcW w:w="1700" w:type="dxa"/>
            <w:vAlign w:val="bottom"/>
            <w:tcBorders>
              <w:bottom w:val="single" w:sz="8" w:color="auto"/>
            </w:tcBorders>
          </w:tcPr>
          <w:p>
            <w:pPr>
              <w:spacing w:after="0"/>
              <w:rPr>
                <w:sz w:val="24"/>
                <w:szCs w:val="24"/>
                <w:color w:val="auto"/>
              </w:rPr>
            </w:pPr>
          </w:p>
        </w:tc>
        <w:tc>
          <w:tcPr>
            <w:tcW w:w="4660" w:type="dxa"/>
            <w:vAlign w:val="bottom"/>
            <w:gridSpan w:val="4"/>
          </w:tcPr>
          <w:p>
            <w:pPr>
              <w:ind w:left="260"/>
              <w:spacing w:after="0"/>
              <w:rPr>
                <w:sz w:val="20"/>
                <w:szCs w:val="20"/>
                <w:color w:val="auto"/>
              </w:rPr>
            </w:pPr>
            <w:r>
              <w:rPr>
                <w:rFonts w:ascii="Arial" w:cs="Arial" w:eastAsia="Arial" w:hAnsi="Arial"/>
                <w:sz w:val="19"/>
                <w:szCs w:val="19"/>
                <w:color w:val="auto"/>
              </w:rPr>
              <w:t>Vice President, Finance</w:t>
            </w:r>
          </w:p>
        </w:tc>
        <w:tc>
          <w:tcPr>
            <w:tcW w:w="2260" w:type="dxa"/>
            <w:vAlign w:val="bottom"/>
            <w:gridSpan w:val="3"/>
          </w:tcPr>
          <w:p>
            <w:pPr>
              <w:ind w:left="940"/>
              <w:spacing w:after="0"/>
              <w:rPr>
                <w:sz w:val="20"/>
                <w:szCs w:val="20"/>
                <w:color w:val="auto"/>
              </w:rPr>
            </w:pPr>
            <w:r>
              <w:rPr>
                <w:rFonts w:ascii="Arial" w:cs="Arial" w:eastAsia="Arial" w:hAnsi="Arial"/>
                <w:sz w:val="19"/>
                <w:szCs w:val="19"/>
                <w:color w:val="auto"/>
                <w:w w:val="89"/>
              </w:rPr>
              <w:t>February 6, 2019</w:t>
            </w:r>
          </w:p>
        </w:tc>
      </w:tr>
      <w:tr>
        <w:trPr>
          <w:trHeight w:val="237"/>
        </w:trPr>
        <w:tc>
          <w:tcPr>
            <w:tcW w:w="2360" w:type="dxa"/>
            <w:vAlign w:val="bottom"/>
            <w:gridSpan w:val="4"/>
          </w:tcPr>
          <w:p>
            <w:pPr>
              <w:spacing w:after="0"/>
              <w:rPr>
                <w:sz w:val="20"/>
                <w:szCs w:val="20"/>
                <w:color w:val="auto"/>
              </w:rPr>
            </w:pPr>
            <w:r>
              <w:rPr>
                <w:rFonts w:ascii="Arial" w:cs="Arial" w:eastAsia="Arial" w:hAnsi="Arial"/>
                <w:sz w:val="19"/>
                <w:szCs w:val="19"/>
                <w:color w:val="auto"/>
              </w:rPr>
              <w:t>Calvin Yu</w:t>
            </w:r>
          </w:p>
        </w:tc>
        <w:tc>
          <w:tcPr>
            <w:tcW w:w="1700" w:type="dxa"/>
            <w:vAlign w:val="bottom"/>
          </w:tcPr>
          <w:p>
            <w:pPr>
              <w:spacing w:after="0"/>
              <w:rPr>
                <w:sz w:val="20"/>
                <w:szCs w:val="20"/>
                <w:color w:val="auto"/>
              </w:rPr>
            </w:pPr>
          </w:p>
        </w:tc>
        <w:tc>
          <w:tcPr>
            <w:tcW w:w="4660" w:type="dxa"/>
            <w:vAlign w:val="bottom"/>
            <w:gridSpan w:val="4"/>
          </w:tcPr>
          <w:p>
            <w:pPr>
              <w:ind w:left="260"/>
              <w:spacing w:after="0"/>
              <w:rPr>
                <w:sz w:val="20"/>
                <w:szCs w:val="20"/>
                <w:color w:val="auto"/>
              </w:rPr>
            </w:pPr>
            <w:r>
              <w:rPr>
                <w:rFonts w:ascii="Arial" w:cs="Arial" w:eastAsia="Arial" w:hAnsi="Arial"/>
                <w:sz w:val="19"/>
                <w:szCs w:val="19"/>
                <w:i w:val="1"/>
                <w:iCs w:val="1"/>
                <w:color w:val="auto"/>
              </w:rPr>
              <w:t>(Principal Financial and Accounting Officer)</w:t>
            </w: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57"/>
        </w:trPr>
        <w:tc>
          <w:tcPr>
            <w:tcW w:w="2360" w:type="dxa"/>
            <w:vAlign w:val="bottom"/>
            <w:gridSpan w:val="4"/>
          </w:tcPr>
          <w:p>
            <w:pPr>
              <w:ind w:left="1980"/>
              <w:spacing w:after="0"/>
              <w:rPr>
                <w:sz w:val="20"/>
                <w:szCs w:val="20"/>
                <w:color w:val="auto"/>
              </w:rPr>
            </w:pPr>
            <w:r>
              <w:rPr>
                <w:rFonts w:ascii="Arial" w:cs="Arial" w:eastAsia="Arial" w:hAnsi="Arial"/>
                <w:sz w:val="19"/>
                <w:szCs w:val="19"/>
                <w:color w:val="auto"/>
              </w:rPr>
              <w:t>*</w:t>
            </w:r>
          </w:p>
        </w:tc>
        <w:tc>
          <w:tcPr>
            <w:tcW w:w="1700" w:type="dxa"/>
            <w:vAlign w:val="bottom"/>
          </w:tcPr>
          <w:p>
            <w:pPr>
              <w:spacing w:after="0"/>
              <w:rPr>
                <w:sz w:val="24"/>
                <w:szCs w:val="24"/>
                <w:color w:val="auto"/>
              </w:rPr>
            </w:pPr>
          </w:p>
        </w:tc>
        <w:tc>
          <w:tcPr>
            <w:tcW w:w="4660" w:type="dxa"/>
            <w:vAlign w:val="bottom"/>
            <w:gridSpan w:val="4"/>
          </w:tcPr>
          <w:p>
            <w:pPr>
              <w:ind w:left="260"/>
              <w:spacing w:after="0"/>
              <w:rPr>
                <w:sz w:val="20"/>
                <w:szCs w:val="20"/>
                <w:color w:val="auto"/>
              </w:rPr>
            </w:pPr>
            <w:r>
              <w:rPr>
                <w:rFonts w:ascii="Arial" w:cs="Arial" w:eastAsia="Arial" w:hAnsi="Arial"/>
                <w:sz w:val="19"/>
                <w:szCs w:val="19"/>
                <w:color w:val="auto"/>
              </w:rPr>
              <w:t>Chairperson of the Board</w:t>
            </w:r>
          </w:p>
        </w:tc>
        <w:tc>
          <w:tcPr>
            <w:tcW w:w="2260" w:type="dxa"/>
            <w:vAlign w:val="bottom"/>
            <w:gridSpan w:val="3"/>
          </w:tcPr>
          <w:p>
            <w:pPr>
              <w:ind w:left="940"/>
              <w:spacing w:after="0"/>
              <w:rPr>
                <w:sz w:val="20"/>
                <w:szCs w:val="20"/>
                <w:color w:val="auto"/>
              </w:rPr>
            </w:pPr>
            <w:r>
              <w:rPr>
                <w:rFonts w:ascii="Arial" w:cs="Arial" w:eastAsia="Arial" w:hAnsi="Arial"/>
                <w:sz w:val="19"/>
                <w:szCs w:val="19"/>
                <w:color w:val="auto"/>
                <w:w w:val="89"/>
              </w:rPr>
              <w:t>February 6, 2019</w:t>
            </w:r>
          </w:p>
        </w:tc>
      </w:tr>
      <w:tr>
        <w:trPr>
          <w:trHeight w:val="236"/>
        </w:trPr>
        <w:tc>
          <w:tcPr>
            <w:tcW w:w="20" w:type="dxa"/>
            <w:vAlign w:val="bottom"/>
          </w:tcPr>
          <w:p>
            <w:pPr>
              <w:spacing w:after="0"/>
              <w:rPr>
                <w:sz w:val="20"/>
                <w:szCs w:val="20"/>
                <w:color w:val="auto"/>
              </w:rPr>
            </w:pPr>
          </w:p>
        </w:tc>
        <w:tc>
          <w:tcPr>
            <w:tcW w:w="2340" w:type="dxa"/>
            <w:vAlign w:val="bottom"/>
            <w:tcBorders>
              <w:top w:val="single" w:sz="8" w:color="auto"/>
            </w:tcBorders>
            <w:gridSpan w:val="3"/>
          </w:tcPr>
          <w:p>
            <w:pPr>
              <w:spacing w:after="0"/>
              <w:rPr>
                <w:sz w:val="20"/>
                <w:szCs w:val="20"/>
                <w:color w:val="auto"/>
              </w:rPr>
            </w:pPr>
            <w:r>
              <w:rPr>
                <w:rFonts w:ascii="Arial" w:cs="Arial" w:eastAsia="Arial" w:hAnsi="Arial"/>
                <w:sz w:val="19"/>
                <w:szCs w:val="19"/>
                <w:color w:val="auto"/>
              </w:rPr>
              <w:t>Tillman Gerngross, Ph.D.</w:t>
            </w:r>
          </w:p>
        </w:tc>
        <w:tc>
          <w:tcPr>
            <w:tcW w:w="170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57"/>
        </w:trPr>
        <w:tc>
          <w:tcPr>
            <w:tcW w:w="2360" w:type="dxa"/>
            <w:vAlign w:val="bottom"/>
            <w:gridSpan w:val="4"/>
          </w:tcPr>
          <w:p>
            <w:pPr>
              <w:ind w:left="1980"/>
              <w:spacing w:after="0"/>
              <w:rPr>
                <w:sz w:val="20"/>
                <w:szCs w:val="20"/>
                <w:color w:val="auto"/>
              </w:rPr>
            </w:pPr>
            <w:r>
              <w:rPr>
                <w:rFonts w:ascii="Arial" w:cs="Arial" w:eastAsia="Arial" w:hAnsi="Arial"/>
                <w:sz w:val="19"/>
                <w:szCs w:val="19"/>
                <w:color w:val="auto"/>
              </w:rPr>
              <w:t>*</w:t>
            </w:r>
          </w:p>
        </w:tc>
        <w:tc>
          <w:tcPr>
            <w:tcW w:w="1700" w:type="dxa"/>
            <w:vAlign w:val="bottom"/>
          </w:tcPr>
          <w:p>
            <w:pPr>
              <w:spacing w:after="0"/>
              <w:rPr>
                <w:sz w:val="24"/>
                <w:szCs w:val="24"/>
                <w:color w:val="auto"/>
              </w:rPr>
            </w:pPr>
          </w:p>
        </w:tc>
        <w:tc>
          <w:tcPr>
            <w:tcW w:w="4660" w:type="dxa"/>
            <w:vAlign w:val="bottom"/>
            <w:gridSpan w:val="4"/>
          </w:tcPr>
          <w:p>
            <w:pPr>
              <w:ind w:left="260"/>
              <w:spacing w:after="0"/>
              <w:rPr>
                <w:sz w:val="20"/>
                <w:szCs w:val="20"/>
                <w:color w:val="auto"/>
              </w:rPr>
            </w:pPr>
            <w:r>
              <w:rPr>
                <w:rFonts w:ascii="Arial" w:cs="Arial" w:eastAsia="Arial" w:hAnsi="Arial"/>
                <w:sz w:val="19"/>
                <w:szCs w:val="19"/>
                <w:color w:val="auto"/>
              </w:rPr>
              <w:t>Director</w:t>
            </w:r>
          </w:p>
        </w:tc>
        <w:tc>
          <w:tcPr>
            <w:tcW w:w="2260" w:type="dxa"/>
            <w:vAlign w:val="bottom"/>
            <w:gridSpan w:val="3"/>
          </w:tcPr>
          <w:p>
            <w:pPr>
              <w:ind w:left="940"/>
              <w:spacing w:after="0"/>
              <w:rPr>
                <w:sz w:val="20"/>
                <w:szCs w:val="20"/>
                <w:color w:val="auto"/>
              </w:rPr>
            </w:pPr>
            <w:r>
              <w:rPr>
                <w:rFonts w:ascii="Arial" w:cs="Arial" w:eastAsia="Arial" w:hAnsi="Arial"/>
                <w:sz w:val="19"/>
                <w:szCs w:val="19"/>
                <w:color w:val="auto"/>
                <w:w w:val="89"/>
              </w:rPr>
              <w:t>February 6, 2019</w:t>
            </w:r>
          </w:p>
        </w:tc>
      </w:tr>
      <w:tr>
        <w:trPr>
          <w:trHeight w:val="236"/>
        </w:trPr>
        <w:tc>
          <w:tcPr>
            <w:tcW w:w="20" w:type="dxa"/>
            <w:vAlign w:val="bottom"/>
          </w:tcPr>
          <w:p>
            <w:pPr>
              <w:spacing w:after="0"/>
              <w:rPr>
                <w:sz w:val="20"/>
                <w:szCs w:val="20"/>
                <w:color w:val="auto"/>
              </w:rPr>
            </w:pPr>
          </w:p>
        </w:tc>
        <w:tc>
          <w:tcPr>
            <w:tcW w:w="2340" w:type="dxa"/>
            <w:vAlign w:val="bottom"/>
            <w:tcBorders>
              <w:top w:val="single" w:sz="8" w:color="auto"/>
            </w:tcBorders>
            <w:gridSpan w:val="3"/>
          </w:tcPr>
          <w:p>
            <w:pPr>
              <w:spacing w:after="0"/>
              <w:rPr>
                <w:sz w:val="20"/>
                <w:szCs w:val="20"/>
                <w:color w:val="auto"/>
              </w:rPr>
            </w:pPr>
            <w:r>
              <w:rPr>
                <w:rFonts w:ascii="Arial" w:cs="Arial" w:eastAsia="Arial" w:hAnsi="Arial"/>
                <w:sz w:val="19"/>
                <w:szCs w:val="19"/>
                <w:color w:val="auto"/>
              </w:rPr>
              <w:t>Christine Brennan, Ph.D.</w:t>
            </w:r>
          </w:p>
        </w:tc>
        <w:tc>
          <w:tcPr>
            <w:tcW w:w="170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57"/>
        </w:trPr>
        <w:tc>
          <w:tcPr>
            <w:tcW w:w="2360" w:type="dxa"/>
            <w:vAlign w:val="bottom"/>
            <w:gridSpan w:val="4"/>
          </w:tcPr>
          <w:p>
            <w:pPr>
              <w:ind w:left="1980"/>
              <w:spacing w:after="0"/>
              <w:rPr>
                <w:sz w:val="20"/>
                <w:szCs w:val="20"/>
                <w:color w:val="auto"/>
              </w:rPr>
            </w:pPr>
            <w:r>
              <w:rPr>
                <w:rFonts w:ascii="Arial" w:cs="Arial" w:eastAsia="Arial" w:hAnsi="Arial"/>
                <w:sz w:val="19"/>
                <w:szCs w:val="19"/>
                <w:color w:val="auto"/>
              </w:rPr>
              <w:t>*</w:t>
            </w:r>
          </w:p>
        </w:tc>
        <w:tc>
          <w:tcPr>
            <w:tcW w:w="1700" w:type="dxa"/>
            <w:vAlign w:val="bottom"/>
          </w:tcPr>
          <w:p>
            <w:pPr>
              <w:spacing w:after="0"/>
              <w:rPr>
                <w:sz w:val="24"/>
                <w:szCs w:val="24"/>
                <w:color w:val="auto"/>
              </w:rPr>
            </w:pPr>
          </w:p>
        </w:tc>
        <w:tc>
          <w:tcPr>
            <w:tcW w:w="4660" w:type="dxa"/>
            <w:vAlign w:val="bottom"/>
            <w:gridSpan w:val="4"/>
          </w:tcPr>
          <w:p>
            <w:pPr>
              <w:ind w:left="260"/>
              <w:spacing w:after="0"/>
              <w:rPr>
                <w:sz w:val="20"/>
                <w:szCs w:val="20"/>
                <w:color w:val="auto"/>
              </w:rPr>
            </w:pPr>
            <w:r>
              <w:rPr>
                <w:rFonts w:ascii="Arial" w:cs="Arial" w:eastAsia="Arial" w:hAnsi="Arial"/>
                <w:sz w:val="19"/>
                <w:szCs w:val="19"/>
                <w:color w:val="auto"/>
              </w:rPr>
              <w:t>Director</w:t>
            </w:r>
          </w:p>
        </w:tc>
        <w:tc>
          <w:tcPr>
            <w:tcW w:w="2260" w:type="dxa"/>
            <w:vAlign w:val="bottom"/>
            <w:gridSpan w:val="3"/>
          </w:tcPr>
          <w:p>
            <w:pPr>
              <w:ind w:left="940"/>
              <w:spacing w:after="0"/>
              <w:rPr>
                <w:sz w:val="20"/>
                <w:szCs w:val="20"/>
                <w:color w:val="auto"/>
              </w:rPr>
            </w:pPr>
            <w:r>
              <w:rPr>
                <w:rFonts w:ascii="Arial" w:cs="Arial" w:eastAsia="Arial" w:hAnsi="Arial"/>
                <w:sz w:val="19"/>
                <w:szCs w:val="19"/>
                <w:color w:val="auto"/>
                <w:w w:val="89"/>
              </w:rPr>
              <w:t>February 6, 2019</w:t>
            </w:r>
          </w:p>
        </w:tc>
      </w:tr>
      <w:tr>
        <w:trPr>
          <w:trHeight w:val="236"/>
        </w:trPr>
        <w:tc>
          <w:tcPr>
            <w:tcW w:w="20" w:type="dxa"/>
            <w:vAlign w:val="bottom"/>
          </w:tcPr>
          <w:p>
            <w:pPr>
              <w:spacing w:after="0"/>
              <w:rPr>
                <w:sz w:val="20"/>
                <w:szCs w:val="20"/>
                <w:color w:val="auto"/>
              </w:rPr>
            </w:pPr>
          </w:p>
        </w:tc>
        <w:tc>
          <w:tcPr>
            <w:tcW w:w="2340" w:type="dxa"/>
            <w:vAlign w:val="bottom"/>
            <w:tcBorders>
              <w:top w:val="single" w:sz="8" w:color="auto"/>
            </w:tcBorders>
            <w:gridSpan w:val="3"/>
          </w:tcPr>
          <w:p>
            <w:pPr>
              <w:spacing w:after="0"/>
              <w:rPr>
                <w:sz w:val="20"/>
                <w:szCs w:val="20"/>
                <w:color w:val="auto"/>
              </w:rPr>
            </w:pPr>
            <w:r>
              <w:rPr>
                <w:rFonts w:ascii="Arial" w:cs="Arial" w:eastAsia="Arial" w:hAnsi="Arial"/>
                <w:sz w:val="19"/>
                <w:szCs w:val="19"/>
                <w:color w:val="auto"/>
              </w:rPr>
              <w:t>Carl Gordon, Ph.D., CFA</w:t>
            </w:r>
          </w:p>
        </w:tc>
        <w:tc>
          <w:tcPr>
            <w:tcW w:w="170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57"/>
        </w:trPr>
        <w:tc>
          <w:tcPr>
            <w:tcW w:w="2360" w:type="dxa"/>
            <w:vAlign w:val="bottom"/>
            <w:gridSpan w:val="4"/>
          </w:tcPr>
          <w:p>
            <w:pPr>
              <w:ind w:left="1980"/>
              <w:spacing w:after="0"/>
              <w:rPr>
                <w:sz w:val="20"/>
                <w:szCs w:val="20"/>
                <w:color w:val="auto"/>
              </w:rPr>
            </w:pPr>
            <w:r>
              <w:rPr>
                <w:rFonts w:ascii="Arial" w:cs="Arial" w:eastAsia="Arial" w:hAnsi="Arial"/>
                <w:sz w:val="19"/>
                <w:szCs w:val="19"/>
                <w:color w:val="auto"/>
              </w:rPr>
              <w:t>*</w:t>
            </w:r>
          </w:p>
        </w:tc>
        <w:tc>
          <w:tcPr>
            <w:tcW w:w="1700" w:type="dxa"/>
            <w:vAlign w:val="bottom"/>
          </w:tcPr>
          <w:p>
            <w:pPr>
              <w:spacing w:after="0"/>
              <w:rPr>
                <w:sz w:val="24"/>
                <w:szCs w:val="24"/>
                <w:color w:val="auto"/>
              </w:rPr>
            </w:pPr>
          </w:p>
        </w:tc>
        <w:tc>
          <w:tcPr>
            <w:tcW w:w="4660" w:type="dxa"/>
            <w:vAlign w:val="bottom"/>
            <w:gridSpan w:val="4"/>
          </w:tcPr>
          <w:p>
            <w:pPr>
              <w:ind w:left="260"/>
              <w:spacing w:after="0"/>
              <w:rPr>
                <w:sz w:val="20"/>
                <w:szCs w:val="20"/>
                <w:color w:val="auto"/>
              </w:rPr>
            </w:pPr>
            <w:r>
              <w:rPr>
                <w:rFonts w:ascii="Arial" w:cs="Arial" w:eastAsia="Arial" w:hAnsi="Arial"/>
                <w:sz w:val="19"/>
                <w:szCs w:val="19"/>
                <w:color w:val="auto"/>
              </w:rPr>
              <w:t>Director</w:t>
            </w:r>
          </w:p>
        </w:tc>
        <w:tc>
          <w:tcPr>
            <w:tcW w:w="2260" w:type="dxa"/>
            <w:vAlign w:val="bottom"/>
            <w:gridSpan w:val="3"/>
          </w:tcPr>
          <w:p>
            <w:pPr>
              <w:ind w:left="940"/>
              <w:spacing w:after="0"/>
              <w:rPr>
                <w:sz w:val="20"/>
                <w:szCs w:val="20"/>
                <w:color w:val="auto"/>
              </w:rPr>
            </w:pPr>
            <w:r>
              <w:rPr>
                <w:rFonts w:ascii="Arial" w:cs="Arial" w:eastAsia="Arial" w:hAnsi="Arial"/>
                <w:sz w:val="19"/>
                <w:szCs w:val="19"/>
                <w:color w:val="auto"/>
                <w:w w:val="89"/>
              </w:rPr>
              <w:t>February 6, 2019</w:t>
            </w:r>
          </w:p>
        </w:tc>
      </w:tr>
      <w:tr>
        <w:trPr>
          <w:trHeight w:val="236"/>
        </w:trPr>
        <w:tc>
          <w:tcPr>
            <w:tcW w:w="20" w:type="dxa"/>
            <w:vAlign w:val="bottom"/>
          </w:tcPr>
          <w:p>
            <w:pPr>
              <w:spacing w:after="0"/>
              <w:rPr>
                <w:sz w:val="20"/>
                <w:szCs w:val="20"/>
                <w:color w:val="auto"/>
              </w:rPr>
            </w:pPr>
          </w:p>
        </w:tc>
        <w:tc>
          <w:tcPr>
            <w:tcW w:w="2340" w:type="dxa"/>
            <w:vAlign w:val="bottom"/>
            <w:tcBorders>
              <w:top w:val="single" w:sz="8" w:color="auto"/>
            </w:tcBorders>
            <w:gridSpan w:val="3"/>
          </w:tcPr>
          <w:p>
            <w:pPr>
              <w:spacing w:after="0"/>
              <w:rPr>
                <w:sz w:val="20"/>
                <w:szCs w:val="20"/>
                <w:color w:val="auto"/>
              </w:rPr>
            </w:pPr>
            <w:r>
              <w:rPr>
                <w:rFonts w:ascii="Arial" w:cs="Arial" w:eastAsia="Arial" w:hAnsi="Arial"/>
                <w:sz w:val="19"/>
                <w:szCs w:val="19"/>
                <w:color w:val="auto"/>
              </w:rPr>
              <w:t>Louis J. Lavigne, Jr.</w:t>
            </w:r>
          </w:p>
        </w:tc>
        <w:tc>
          <w:tcPr>
            <w:tcW w:w="170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57"/>
        </w:trPr>
        <w:tc>
          <w:tcPr>
            <w:tcW w:w="2360" w:type="dxa"/>
            <w:vAlign w:val="bottom"/>
            <w:gridSpan w:val="4"/>
          </w:tcPr>
          <w:p>
            <w:pPr>
              <w:ind w:left="1980"/>
              <w:spacing w:after="0"/>
              <w:rPr>
                <w:sz w:val="20"/>
                <w:szCs w:val="20"/>
                <w:color w:val="auto"/>
              </w:rPr>
            </w:pPr>
            <w:r>
              <w:rPr>
                <w:rFonts w:ascii="Arial" w:cs="Arial" w:eastAsia="Arial" w:hAnsi="Arial"/>
                <w:sz w:val="19"/>
                <w:szCs w:val="19"/>
                <w:color w:val="auto"/>
              </w:rPr>
              <w:t>*</w:t>
            </w:r>
          </w:p>
        </w:tc>
        <w:tc>
          <w:tcPr>
            <w:tcW w:w="1700" w:type="dxa"/>
            <w:vAlign w:val="bottom"/>
          </w:tcPr>
          <w:p>
            <w:pPr>
              <w:spacing w:after="0"/>
              <w:rPr>
                <w:sz w:val="24"/>
                <w:szCs w:val="24"/>
                <w:color w:val="auto"/>
              </w:rPr>
            </w:pPr>
          </w:p>
        </w:tc>
        <w:tc>
          <w:tcPr>
            <w:tcW w:w="4660" w:type="dxa"/>
            <w:vAlign w:val="bottom"/>
            <w:gridSpan w:val="4"/>
          </w:tcPr>
          <w:p>
            <w:pPr>
              <w:ind w:left="260"/>
              <w:spacing w:after="0"/>
              <w:rPr>
                <w:sz w:val="20"/>
                <w:szCs w:val="20"/>
                <w:color w:val="auto"/>
              </w:rPr>
            </w:pPr>
            <w:r>
              <w:rPr>
                <w:rFonts w:ascii="Arial" w:cs="Arial" w:eastAsia="Arial" w:hAnsi="Arial"/>
                <w:sz w:val="19"/>
                <w:szCs w:val="19"/>
                <w:color w:val="auto"/>
              </w:rPr>
              <w:t>Director</w:t>
            </w:r>
          </w:p>
        </w:tc>
        <w:tc>
          <w:tcPr>
            <w:tcW w:w="2260" w:type="dxa"/>
            <w:vAlign w:val="bottom"/>
            <w:gridSpan w:val="3"/>
          </w:tcPr>
          <w:p>
            <w:pPr>
              <w:ind w:left="940"/>
              <w:spacing w:after="0"/>
              <w:rPr>
                <w:sz w:val="20"/>
                <w:szCs w:val="20"/>
                <w:color w:val="auto"/>
              </w:rPr>
            </w:pPr>
            <w:r>
              <w:rPr>
                <w:rFonts w:ascii="Arial" w:cs="Arial" w:eastAsia="Arial" w:hAnsi="Arial"/>
                <w:sz w:val="19"/>
                <w:szCs w:val="19"/>
                <w:color w:val="auto"/>
                <w:w w:val="89"/>
              </w:rPr>
              <w:t>February 6, 2019</w:t>
            </w:r>
          </w:p>
        </w:tc>
      </w:tr>
      <w:tr>
        <w:trPr>
          <w:trHeight w:val="236"/>
        </w:trPr>
        <w:tc>
          <w:tcPr>
            <w:tcW w:w="20" w:type="dxa"/>
            <w:vAlign w:val="bottom"/>
          </w:tcPr>
          <w:p>
            <w:pPr>
              <w:spacing w:after="0"/>
              <w:rPr>
                <w:sz w:val="20"/>
                <w:szCs w:val="20"/>
                <w:color w:val="auto"/>
              </w:rPr>
            </w:pPr>
          </w:p>
        </w:tc>
        <w:tc>
          <w:tcPr>
            <w:tcW w:w="2340" w:type="dxa"/>
            <w:vAlign w:val="bottom"/>
            <w:tcBorders>
              <w:top w:val="single" w:sz="8" w:color="auto"/>
            </w:tcBorders>
            <w:gridSpan w:val="3"/>
          </w:tcPr>
          <w:p>
            <w:pPr>
              <w:spacing w:after="0"/>
              <w:rPr>
                <w:sz w:val="20"/>
                <w:szCs w:val="20"/>
                <w:color w:val="auto"/>
              </w:rPr>
            </w:pPr>
            <w:r>
              <w:rPr>
                <w:rFonts w:ascii="Arial" w:cs="Arial" w:eastAsia="Arial" w:hAnsi="Arial"/>
                <w:sz w:val="19"/>
                <w:szCs w:val="19"/>
                <w:color w:val="auto"/>
              </w:rPr>
              <w:t>Terry McGuire</w:t>
            </w:r>
          </w:p>
        </w:tc>
        <w:tc>
          <w:tcPr>
            <w:tcW w:w="170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57"/>
        </w:trPr>
        <w:tc>
          <w:tcPr>
            <w:tcW w:w="2360" w:type="dxa"/>
            <w:vAlign w:val="bottom"/>
            <w:gridSpan w:val="4"/>
          </w:tcPr>
          <w:p>
            <w:pPr>
              <w:ind w:left="1980"/>
              <w:spacing w:after="0"/>
              <w:rPr>
                <w:sz w:val="20"/>
                <w:szCs w:val="20"/>
                <w:color w:val="auto"/>
              </w:rPr>
            </w:pPr>
            <w:r>
              <w:rPr>
                <w:rFonts w:ascii="Arial" w:cs="Arial" w:eastAsia="Arial" w:hAnsi="Arial"/>
                <w:sz w:val="19"/>
                <w:szCs w:val="19"/>
                <w:color w:val="auto"/>
              </w:rPr>
              <w:t>*</w:t>
            </w:r>
          </w:p>
        </w:tc>
        <w:tc>
          <w:tcPr>
            <w:tcW w:w="1700" w:type="dxa"/>
            <w:vAlign w:val="bottom"/>
          </w:tcPr>
          <w:p>
            <w:pPr>
              <w:spacing w:after="0"/>
              <w:rPr>
                <w:sz w:val="24"/>
                <w:szCs w:val="24"/>
                <w:color w:val="auto"/>
              </w:rPr>
            </w:pPr>
          </w:p>
        </w:tc>
        <w:tc>
          <w:tcPr>
            <w:tcW w:w="4660" w:type="dxa"/>
            <w:vAlign w:val="bottom"/>
            <w:gridSpan w:val="4"/>
          </w:tcPr>
          <w:p>
            <w:pPr>
              <w:ind w:left="260"/>
              <w:spacing w:after="0"/>
              <w:rPr>
                <w:sz w:val="20"/>
                <w:szCs w:val="20"/>
                <w:color w:val="auto"/>
              </w:rPr>
            </w:pPr>
            <w:r>
              <w:rPr>
                <w:rFonts w:ascii="Arial" w:cs="Arial" w:eastAsia="Arial" w:hAnsi="Arial"/>
                <w:sz w:val="19"/>
                <w:szCs w:val="19"/>
                <w:color w:val="auto"/>
              </w:rPr>
              <w:t>Director</w:t>
            </w:r>
          </w:p>
        </w:tc>
        <w:tc>
          <w:tcPr>
            <w:tcW w:w="2260" w:type="dxa"/>
            <w:vAlign w:val="bottom"/>
            <w:gridSpan w:val="3"/>
          </w:tcPr>
          <w:p>
            <w:pPr>
              <w:ind w:left="940"/>
              <w:spacing w:after="0"/>
              <w:rPr>
                <w:sz w:val="20"/>
                <w:szCs w:val="20"/>
                <w:color w:val="auto"/>
              </w:rPr>
            </w:pPr>
            <w:r>
              <w:rPr>
                <w:rFonts w:ascii="Arial" w:cs="Arial" w:eastAsia="Arial" w:hAnsi="Arial"/>
                <w:sz w:val="19"/>
                <w:szCs w:val="19"/>
                <w:color w:val="auto"/>
                <w:w w:val="89"/>
              </w:rPr>
              <w:t>February 6, 2019</w:t>
            </w:r>
          </w:p>
        </w:tc>
      </w:tr>
      <w:tr>
        <w:trPr>
          <w:trHeight w:val="236"/>
        </w:trPr>
        <w:tc>
          <w:tcPr>
            <w:tcW w:w="20" w:type="dxa"/>
            <w:vAlign w:val="bottom"/>
          </w:tcPr>
          <w:p>
            <w:pPr>
              <w:spacing w:after="0"/>
              <w:rPr>
                <w:sz w:val="20"/>
                <w:szCs w:val="20"/>
                <w:color w:val="auto"/>
              </w:rPr>
            </w:pPr>
          </w:p>
        </w:tc>
        <w:tc>
          <w:tcPr>
            <w:tcW w:w="2340" w:type="dxa"/>
            <w:vAlign w:val="bottom"/>
            <w:tcBorders>
              <w:top w:val="single" w:sz="8" w:color="auto"/>
            </w:tcBorders>
            <w:gridSpan w:val="3"/>
          </w:tcPr>
          <w:p>
            <w:pPr>
              <w:spacing w:after="0"/>
              <w:rPr>
                <w:sz w:val="20"/>
                <w:szCs w:val="20"/>
                <w:color w:val="auto"/>
              </w:rPr>
            </w:pPr>
            <w:r>
              <w:rPr>
                <w:rFonts w:ascii="Arial" w:cs="Arial" w:eastAsia="Arial" w:hAnsi="Arial"/>
                <w:sz w:val="19"/>
                <w:szCs w:val="19"/>
                <w:color w:val="auto"/>
              </w:rPr>
              <w:t>Richard Scheller, Ph.D.</w:t>
            </w:r>
          </w:p>
        </w:tc>
        <w:tc>
          <w:tcPr>
            <w:tcW w:w="170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57"/>
        </w:trPr>
        <w:tc>
          <w:tcPr>
            <w:tcW w:w="2360" w:type="dxa"/>
            <w:vAlign w:val="bottom"/>
            <w:gridSpan w:val="4"/>
          </w:tcPr>
          <w:p>
            <w:pPr>
              <w:ind w:left="1980"/>
              <w:spacing w:after="0"/>
              <w:rPr>
                <w:sz w:val="20"/>
                <w:szCs w:val="20"/>
                <w:color w:val="auto"/>
              </w:rPr>
            </w:pPr>
            <w:r>
              <w:rPr>
                <w:rFonts w:ascii="Arial" w:cs="Arial" w:eastAsia="Arial" w:hAnsi="Arial"/>
                <w:sz w:val="19"/>
                <w:szCs w:val="19"/>
                <w:color w:val="auto"/>
              </w:rPr>
              <w:t>*</w:t>
            </w:r>
          </w:p>
        </w:tc>
        <w:tc>
          <w:tcPr>
            <w:tcW w:w="1700" w:type="dxa"/>
            <w:vAlign w:val="bottom"/>
          </w:tcPr>
          <w:p>
            <w:pPr>
              <w:spacing w:after="0"/>
              <w:rPr>
                <w:sz w:val="24"/>
                <w:szCs w:val="24"/>
                <w:color w:val="auto"/>
              </w:rPr>
            </w:pPr>
          </w:p>
        </w:tc>
        <w:tc>
          <w:tcPr>
            <w:tcW w:w="4660" w:type="dxa"/>
            <w:vAlign w:val="bottom"/>
            <w:gridSpan w:val="4"/>
          </w:tcPr>
          <w:p>
            <w:pPr>
              <w:ind w:left="260"/>
              <w:spacing w:after="0"/>
              <w:rPr>
                <w:sz w:val="20"/>
                <w:szCs w:val="20"/>
                <w:color w:val="auto"/>
              </w:rPr>
            </w:pPr>
            <w:r>
              <w:rPr>
                <w:rFonts w:ascii="Arial" w:cs="Arial" w:eastAsia="Arial" w:hAnsi="Arial"/>
                <w:sz w:val="19"/>
                <w:szCs w:val="19"/>
                <w:color w:val="auto"/>
              </w:rPr>
              <w:t>Director</w:t>
            </w:r>
          </w:p>
        </w:tc>
        <w:tc>
          <w:tcPr>
            <w:tcW w:w="2260" w:type="dxa"/>
            <w:vAlign w:val="bottom"/>
            <w:gridSpan w:val="3"/>
          </w:tcPr>
          <w:p>
            <w:pPr>
              <w:ind w:left="940"/>
              <w:spacing w:after="0"/>
              <w:rPr>
                <w:sz w:val="20"/>
                <w:szCs w:val="20"/>
                <w:color w:val="auto"/>
              </w:rPr>
            </w:pPr>
            <w:r>
              <w:rPr>
                <w:rFonts w:ascii="Arial" w:cs="Arial" w:eastAsia="Arial" w:hAnsi="Arial"/>
                <w:sz w:val="19"/>
                <w:szCs w:val="19"/>
                <w:color w:val="auto"/>
                <w:w w:val="89"/>
              </w:rPr>
              <w:t>February 6, 2019</w:t>
            </w:r>
          </w:p>
        </w:tc>
      </w:tr>
      <w:tr>
        <w:trPr>
          <w:trHeight w:val="236"/>
        </w:trPr>
        <w:tc>
          <w:tcPr>
            <w:tcW w:w="20" w:type="dxa"/>
            <w:vAlign w:val="bottom"/>
          </w:tcPr>
          <w:p>
            <w:pPr>
              <w:spacing w:after="0"/>
              <w:rPr>
                <w:sz w:val="20"/>
                <w:szCs w:val="20"/>
                <w:color w:val="auto"/>
              </w:rPr>
            </w:pPr>
          </w:p>
        </w:tc>
        <w:tc>
          <w:tcPr>
            <w:tcW w:w="2340" w:type="dxa"/>
            <w:vAlign w:val="bottom"/>
            <w:tcBorders>
              <w:top w:val="single" w:sz="8" w:color="auto"/>
            </w:tcBorders>
            <w:gridSpan w:val="3"/>
          </w:tcPr>
          <w:p>
            <w:pPr>
              <w:spacing w:after="0"/>
              <w:rPr>
                <w:sz w:val="20"/>
                <w:szCs w:val="20"/>
                <w:color w:val="auto"/>
              </w:rPr>
            </w:pPr>
            <w:r>
              <w:rPr>
                <w:rFonts w:ascii="Arial" w:cs="Arial" w:eastAsia="Arial" w:hAnsi="Arial"/>
                <w:sz w:val="19"/>
                <w:szCs w:val="19"/>
                <w:color w:val="auto"/>
              </w:rPr>
              <w:t>David Wehner</w:t>
            </w:r>
          </w:p>
        </w:tc>
        <w:tc>
          <w:tcPr>
            <w:tcW w:w="170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85"/>
        </w:trPr>
        <w:tc>
          <w:tcPr>
            <w:tcW w:w="2360" w:type="dxa"/>
            <w:vAlign w:val="bottom"/>
            <w:gridSpan w:val="4"/>
          </w:tcPr>
          <w:p>
            <w:pPr>
              <w:spacing w:after="0"/>
              <w:rPr>
                <w:sz w:val="20"/>
                <w:szCs w:val="20"/>
                <w:color w:val="auto"/>
              </w:rPr>
            </w:pPr>
            <w:r>
              <w:rPr>
                <w:rFonts w:ascii="Arial" w:cs="Arial" w:eastAsia="Arial" w:hAnsi="Arial"/>
                <w:sz w:val="19"/>
                <w:szCs w:val="19"/>
                <w:color w:val="auto"/>
              </w:rPr>
              <w:t>*By:  /s/ Arnon Rosenthal</w:t>
            </w:r>
          </w:p>
        </w:tc>
        <w:tc>
          <w:tcPr>
            <w:tcW w:w="1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40" w:type="dxa"/>
            <w:vAlign w:val="bottom"/>
            <w:tcBorders>
              <w:top w:val="single" w:sz="8" w:color="auto"/>
            </w:tcBorders>
            <w:gridSpan w:val="2"/>
          </w:tcPr>
          <w:p>
            <w:pPr>
              <w:spacing w:after="0"/>
              <w:rPr>
                <w:sz w:val="20"/>
                <w:szCs w:val="20"/>
                <w:color w:val="auto"/>
              </w:rPr>
            </w:pPr>
            <w:r>
              <w:rPr>
                <w:rFonts w:ascii="Arial" w:cs="Arial" w:eastAsia="Arial" w:hAnsi="Arial"/>
                <w:sz w:val="19"/>
                <w:szCs w:val="19"/>
                <w:color w:val="auto"/>
                <w:w w:val="91"/>
              </w:rPr>
              <w:t>Arnon Rosenthal, Ph.D.</w:t>
            </w:r>
          </w:p>
        </w:tc>
        <w:tc>
          <w:tcPr>
            <w:tcW w:w="17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9"/>
                <w:szCs w:val="19"/>
                <w:color w:val="auto"/>
              </w:rPr>
              <w:t>Attorney-in-Fact</w:t>
            </w:r>
          </w:p>
        </w:tc>
        <w:tc>
          <w:tcPr>
            <w:tcW w:w="1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80" w:type="dxa"/>
            <w:vAlign w:val="bottom"/>
            <w:gridSpan w:val="3"/>
          </w:tcPr>
          <w:p>
            <w:pPr>
              <w:ind w:left="1040"/>
              <w:spacing w:after="0"/>
              <w:rPr>
                <w:sz w:val="20"/>
                <w:szCs w:val="20"/>
                <w:color w:val="auto"/>
              </w:rPr>
            </w:pPr>
            <w:r>
              <w:rPr>
                <w:rFonts w:ascii="Arial" w:cs="Arial" w:eastAsia="Arial" w:hAnsi="Arial"/>
                <w:sz w:val="19"/>
                <w:szCs w:val="19"/>
                <w:color w:val="auto"/>
              </w:rPr>
              <w:t>II-6</w:t>
            </w: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2240" w:h="15840" w:orient="portrait"/>
          <w:cols w:equalWidth="0" w:num="1">
            <w:col w:w="11760"/>
          </w:cols>
          <w:pgMar w:left="120" w:top="336" w:right="360" w:bottom="1440" w:gutter="0" w:footer="0" w:header="0"/>
        </w:sectPr>
      </w:pPr>
    </w:p>
    <w:bookmarkStart w:id="238" w:name="page239"/>
    <w:bookmarkEnd w:id="238"/>
    <w:p>
      <w:pPr>
        <w:jc w:val="right"/>
        <w:spacing w:after="0"/>
        <w:rPr>
          <w:sz w:val="20"/>
          <w:szCs w:val="20"/>
          <w:color w:val="auto"/>
        </w:rPr>
      </w:pPr>
      <w:r>
        <w:rPr>
          <w:rFonts w:ascii="Arial" w:cs="Arial" w:eastAsia="Arial" w:hAnsi="Arial"/>
          <w:sz w:val="19"/>
          <w:szCs w:val="19"/>
          <w:b w:val="1"/>
          <w:bCs w:val="1"/>
          <w:color w:val="auto"/>
        </w:rPr>
        <w:t>Exhibit 23.1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44" w:lineRule="exact"/>
        <w:rPr>
          <w:sz w:val="20"/>
          <w:szCs w:val="20"/>
          <w:color w:val="auto"/>
        </w:rPr>
      </w:pPr>
    </w:p>
    <w:p>
      <w:pPr>
        <w:ind w:right="120"/>
        <w:spacing w:after="0" w:line="336" w:lineRule="auto"/>
        <w:rPr>
          <w:sz w:val="20"/>
          <w:szCs w:val="20"/>
          <w:color w:val="auto"/>
        </w:rPr>
      </w:pPr>
      <w:r>
        <w:rPr>
          <w:rFonts w:ascii="Arial" w:cs="Arial" w:eastAsia="Arial" w:hAnsi="Arial"/>
          <w:sz w:val="17"/>
          <w:szCs w:val="17"/>
          <w:color w:val="auto"/>
        </w:rPr>
        <w:t>We consent to the reference to our firm under the caption “Experts” and to the use of our report dated October 12, 2018, in Amendment No. 2 to the Registration Statement (Form S-1 No. 333-229152) and related Prospectus of Alector, Inc. for the registration of 9,250,000 shares of its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color w:val="auto"/>
        </w:rPr>
        <w:t>/s/ Ernst &amp; Young LLP</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February 5, 2019</w:t>
      </w:r>
    </w:p>
    <w:sectPr>
      <w:pgSz w:w="12240" w:h="15840" w:orient="portrait"/>
      <w:cols w:equalWidth="0" w:num="1">
        <w:col w:w="11640"/>
      </w:cols>
      <w:pgMar w:left="300" w:top="0" w:right="3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BD3EE7B"/>
    <w:multiLevelType w:val="hybridMultilevel"/>
    <w:lvl w:ilvl="0">
      <w:lvlJc w:val="left"/>
      <w:lvlText w:val="(%1)"/>
      <w:numFmt w:val="decimal"/>
      <w:start w:val="1"/>
    </w:lvl>
  </w:abstractNum>
  <w:abstractNum w:abstractNumId="1">
    <w:nsid w:val="51D9C564"/>
    <w:multiLevelType w:val="hybridMultilevel"/>
    <w:lvl w:ilvl="0">
      <w:lvlJc w:val="left"/>
      <w:lvlText w:val="(%1)"/>
      <w:numFmt w:val="decimal"/>
      <w:start w:val="1"/>
    </w:lvl>
  </w:abstractNum>
  <w:abstractNum w:abstractNumId="2">
    <w:nsid w:val="613EFDC5"/>
    <w:multiLevelType w:val="hybridMultilevel"/>
    <w:lvl w:ilvl="0">
      <w:lvlJc w:val="left"/>
      <w:lvlText w:val="•"/>
      <w:numFmt w:val="bullet"/>
      <w:start w:val="1"/>
    </w:lvl>
  </w:abstractNum>
  <w:abstractNum w:abstractNumId="3">
    <w:nsid w:val="BF72B14"/>
    <w:multiLevelType w:val="hybridMultilevel"/>
    <w:lvl w:ilvl="0">
      <w:lvlJc w:val="left"/>
      <w:lvlText w:val="•"/>
      <w:numFmt w:val="bullet"/>
      <w:start w:val="1"/>
    </w:lvl>
  </w:abstractNum>
  <w:abstractNum w:abstractNumId="4">
    <w:nsid w:val="11447B73"/>
    <w:multiLevelType w:val="hybridMultilevel"/>
    <w:lvl w:ilvl="0">
      <w:lvlJc w:val="left"/>
      <w:lvlText w:val="•"/>
      <w:numFmt w:val="bullet"/>
      <w:start w:val="1"/>
    </w:lvl>
  </w:abstractNum>
  <w:abstractNum w:abstractNumId="5">
    <w:nsid w:val="42963E5A"/>
    <w:multiLevelType w:val="hybridMultilevel"/>
    <w:lvl w:ilvl="0">
      <w:lvlJc w:val="left"/>
      <w:lvlText w:val="•"/>
      <w:numFmt w:val="bullet"/>
      <w:start w:val="1"/>
    </w:lvl>
  </w:abstractNum>
  <w:abstractNum w:abstractNumId="6">
    <w:nsid w:val="A0382C5"/>
    <w:multiLevelType w:val="hybridMultilevel"/>
    <w:lvl w:ilvl="0">
      <w:lvlJc w:val="left"/>
      <w:lvlText w:val="•"/>
      <w:numFmt w:val="bullet"/>
      <w:start w:val="1"/>
    </w:lvl>
  </w:abstractNum>
  <w:abstractNum w:abstractNumId="7">
    <w:nsid w:val="8F2B15E"/>
    <w:multiLevelType w:val="hybridMultilevel"/>
    <w:lvl w:ilvl="0">
      <w:lvlJc w:val="left"/>
      <w:lvlText w:val="•"/>
      <w:numFmt w:val="bullet"/>
      <w:start w:val="1"/>
    </w:lvl>
  </w:abstractNum>
  <w:abstractNum w:abstractNumId="8">
    <w:nsid w:val="1A32234B"/>
    <w:multiLevelType w:val="hybridMultilevel"/>
    <w:lvl w:ilvl="0">
      <w:lvlJc w:val="left"/>
      <w:lvlText w:val="•"/>
      <w:numFmt w:val="bullet"/>
      <w:start w:val="1"/>
    </w:lvl>
  </w:abstractNum>
  <w:abstractNum w:abstractNumId="9">
    <w:nsid w:val="3B0FD379"/>
    <w:multiLevelType w:val="hybridMultilevel"/>
    <w:lvl w:ilvl="0">
      <w:lvlJc w:val="left"/>
      <w:lvlText w:val="(%1)"/>
      <w:numFmt w:val="decimal"/>
      <w:start w:val="1"/>
    </w:lvl>
  </w:abstractNum>
  <w:abstractNum w:abstractNumId="10">
    <w:nsid w:val="68EB2F63"/>
    <w:multiLevelType w:val="hybridMultilevel"/>
    <w:lvl w:ilvl="0">
      <w:lvlJc w:val="left"/>
      <w:lvlText w:val="(%1)"/>
      <w:numFmt w:val="decimal"/>
      <w:start w:val="1"/>
    </w:lvl>
  </w:abstractNum>
  <w:abstractNum w:abstractNumId="11">
    <w:nsid w:val="4962813B"/>
    <w:multiLevelType w:val="hybridMultilevel"/>
    <w:lvl w:ilvl="0">
      <w:lvlJc w:val="left"/>
      <w:lvlText w:val="•"/>
      <w:numFmt w:val="bullet"/>
      <w:start w:val="1"/>
    </w:lvl>
  </w:abstractNum>
  <w:abstractNum w:abstractNumId="12">
    <w:nsid w:val="60B6DF70"/>
    <w:multiLevelType w:val="hybridMultilevel"/>
    <w:lvl w:ilvl="0">
      <w:lvlJc w:val="left"/>
      <w:lvlText w:val="•"/>
      <w:numFmt w:val="bullet"/>
      <w:start w:val="1"/>
    </w:lvl>
  </w:abstractNum>
  <w:abstractNum w:abstractNumId="13">
    <w:nsid w:val="6A5EE64"/>
    <w:multiLevelType w:val="hybridMultilevel"/>
    <w:lvl w:ilvl="0">
      <w:lvlJc w:val="left"/>
      <w:lvlText w:val="•"/>
      <w:numFmt w:val="bullet"/>
      <w:start w:val="1"/>
    </w:lvl>
  </w:abstractNum>
  <w:abstractNum w:abstractNumId="14">
    <w:nsid w:val="14330624"/>
    <w:multiLevelType w:val="hybridMultilevel"/>
    <w:lvl w:ilvl="0">
      <w:lvlJc w:val="left"/>
      <w:lvlText w:val="•"/>
      <w:numFmt w:val="bullet"/>
      <w:start w:val="1"/>
    </w:lvl>
  </w:abstractNum>
  <w:abstractNum w:abstractNumId="15">
    <w:nsid w:val="7FFFCA11"/>
    <w:multiLevelType w:val="hybridMultilevel"/>
    <w:lvl w:ilvl="0">
      <w:lvlJc w:val="left"/>
      <w:lvlText w:val="•"/>
      <w:numFmt w:val="bullet"/>
      <w:start w:val="1"/>
    </w:lvl>
  </w:abstractNum>
  <w:abstractNum w:abstractNumId="16">
    <w:nsid w:val="1A27709E"/>
    <w:multiLevelType w:val="hybridMultilevel"/>
    <w:lvl w:ilvl="0">
      <w:lvlJc w:val="left"/>
      <w:lvlText w:val="•"/>
      <w:numFmt w:val="bullet"/>
      <w:start w:val="1"/>
    </w:lvl>
    <w:lvl w:ilvl="1">
      <w:lvlJc w:val="left"/>
      <w:lvlText w:val="•"/>
      <w:numFmt w:val="bullet"/>
      <w:start w:val="1"/>
    </w:lvl>
  </w:abstractNum>
  <w:abstractNum w:abstractNumId="17">
    <w:nsid w:val="71EA1109"/>
    <w:multiLevelType w:val="hybridMultilevel"/>
    <w:lvl w:ilvl="0">
      <w:lvlJc w:val="left"/>
      <w:lvlText w:val="•"/>
      <w:numFmt w:val="bullet"/>
      <w:start w:val="1"/>
    </w:lvl>
  </w:abstractNum>
  <w:abstractNum w:abstractNumId="18">
    <w:nsid w:val="100F59DC"/>
    <w:multiLevelType w:val="hybridMultilevel"/>
    <w:lvl w:ilvl="0">
      <w:lvlJc w:val="left"/>
      <w:lvlText w:val="•"/>
      <w:numFmt w:val="bullet"/>
      <w:start w:val="1"/>
    </w:lvl>
  </w:abstractNum>
  <w:abstractNum w:abstractNumId="19">
    <w:nsid w:val="7FB7E0AA"/>
    <w:multiLevelType w:val="hybridMultilevel"/>
    <w:lvl w:ilvl="0">
      <w:lvlJc w:val="left"/>
      <w:lvlText w:val="•"/>
      <w:numFmt w:val="bullet"/>
      <w:start w:val="1"/>
    </w:lvl>
  </w:abstractNum>
  <w:abstractNum w:abstractNumId="20">
    <w:nsid w:val="6EB5BD4"/>
    <w:multiLevelType w:val="hybridMultilevel"/>
    <w:lvl w:ilvl="0">
      <w:lvlJc w:val="left"/>
      <w:lvlText w:val="•"/>
      <w:numFmt w:val="bullet"/>
      <w:start w:val="1"/>
    </w:lvl>
  </w:abstractNum>
  <w:abstractNum w:abstractNumId="21">
    <w:nsid w:val="6F6DD9AC"/>
    <w:multiLevelType w:val="hybridMultilevel"/>
    <w:lvl w:ilvl="0">
      <w:lvlJc w:val="left"/>
      <w:lvlText w:val="•"/>
      <w:numFmt w:val="bullet"/>
      <w:start w:val="1"/>
    </w:lvl>
  </w:abstractNum>
  <w:abstractNum w:abstractNumId="22">
    <w:nsid w:val="94211F2"/>
    <w:multiLevelType w:val="hybridMultilevel"/>
    <w:lvl w:ilvl="0">
      <w:lvlJc w:val="left"/>
      <w:lvlText w:val="•"/>
      <w:numFmt w:val="bullet"/>
      <w:start w:val="1"/>
    </w:lvl>
  </w:abstractNum>
  <w:abstractNum w:abstractNumId="23">
    <w:nsid w:val="885E1B"/>
    <w:multiLevelType w:val="hybridMultilevel"/>
    <w:lvl w:ilvl="0">
      <w:lvlJc w:val="left"/>
      <w:lvlText w:val="•"/>
      <w:numFmt w:val="bullet"/>
      <w:start w:val="1"/>
    </w:lvl>
  </w:abstractNum>
  <w:abstractNum w:abstractNumId="24">
    <w:nsid w:val="76272110"/>
    <w:multiLevelType w:val="hybridMultilevel"/>
    <w:lvl w:ilvl="0">
      <w:lvlJc w:val="left"/>
      <w:lvlText w:val="•"/>
      <w:numFmt w:val="bullet"/>
      <w:start w:val="1"/>
    </w:lvl>
  </w:abstractNum>
  <w:abstractNum w:abstractNumId="25">
    <w:nsid w:val="4C04A8AF"/>
    <w:multiLevelType w:val="hybridMultilevel"/>
    <w:lvl w:ilvl="0">
      <w:lvlJc w:val="left"/>
      <w:lvlText w:val="•"/>
      <w:numFmt w:val="bullet"/>
      <w:start w:val="1"/>
    </w:lvl>
  </w:abstractNum>
  <w:abstractNum w:abstractNumId="26">
    <w:nsid w:val="1716703B"/>
    <w:multiLevelType w:val="hybridMultilevel"/>
    <w:lvl w:ilvl="0">
      <w:lvlJc w:val="left"/>
      <w:lvlText w:val="•"/>
      <w:numFmt w:val="bullet"/>
      <w:start w:val="1"/>
    </w:lvl>
  </w:abstractNum>
  <w:abstractNum w:abstractNumId="27">
    <w:nsid w:val="14E17E33"/>
    <w:multiLevelType w:val="hybridMultilevel"/>
    <w:lvl w:ilvl="0">
      <w:lvlJc w:val="left"/>
      <w:lvlText w:val="•"/>
      <w:numFmt w:val="bullet"/>
      <w:start w:val="1"/>
    </w:lvl>
  </w:abstractNum>
  <w:abstractNum w:abstractNumId="28">
    <w:nsid w:val="3222E7CD"/>
    <w:multiLevelType w:val="hybridMultilevel"/>
    <w:lvl w:ilvl="0">
      <w:lvlJc w:val="left"/>
      <w:lvlText w:val="•"/>
      <w:numFmt w:val="bullet"/>
      <w:start w:val="1"/>
    </w:lvl>
  </w:abstractNum>
  <w:abstractNum w:abstractNumId="29">
    <w:nsid w:val="74DE0EE3"/>
    <w:multiLevelType w:val="hybridMultilevel"/>
    <w:lvl w:ilvl="0">
      <w:lvlJc w:val="left"/>
      <w:lvlText w:val="•"/>
      <w:numFmt w:val="bullet"/>
      <w:start w:val="1"/>
    </w:lvl>
  </w:abstractNum>
  <w:abstractNum w:abstractNumId="30">
    <w:nsid w:val="68EBC550"/>
    <w:multiLevelType w:val="hybridMultilevel"/>
    <w:lvl w:ilvl="0">
      <w:lvlJc w:val="left"/>
      <w:lvlText w:val="•"/>
      <w:numFmt w:val="bullet"/>
      <w:start w:val="1"/>
    </w:lvl>
  </w:abstractNum>
  <w:abstractNum w:abstractNumId="31">
    <w:nsid w:val="2DF6D648"/>
    <w:multiLevelType w:val="hybridMultilevel"/>
    <w:lvl w:ilvl="0">
      <w:lvlJc w:val="left"/>
      <w:lvlText w:val="•"/>
      <w:numFmt w:val="bullet"/>
      <w:start w:val="1"/>
    </w:lvl>
  </w:abstractNum>
  <w:abstractNum w:abstractNumId="32">
    <w:nsid w:val="46B7D447"/>
    <w:multiLevelType w:val="hybridMultilevel"/>
    <w:lvl w:ilvl="0">
      <w:lvlJc w:val="left"/>
      <w:lvlText w:val="•"/>
      <w:numFmt w:val="bullet"/>
      <w:start w:val="1"/>
    </w:lvl>
  </w:abstractNum>
  <w:abstractNum w:abstractNumId="33">
    <w:nsid w:val="4A2AC315"/>
    <w:multiLevelType w:val="hybridMultilevel"/>
    <w:lvl w:ilvl="0">
      <w:lvlJc w:val="left"/>
      <w:lvlText w:val="•"/>
      <w:numFmt w:val="bullet"/>
      <w:start w:val="1"/>
    </w:lvl>
  </w:abstractNum>
  <w:abstractNum w:abstractNumId="34">
    <w:nsid w:val="39EE015C"/>
    <w:multiLevelType w:val="hybridMultilevel"/>
    <w:lvl w:ilvl="0">
      <w:lvlJc w:val="left"/>
      <w:lvlText w:val="•"/>
      <w:numFmt w:val="bullet"/>
      <w:start w:val="1"/>
    </w:lvl>
  </w:abstractNum>
  <w:abstractNum w:abstractNumId="35">
    <w:nsid w:val="57FC4FBB"/>
    <w:multiLevelType w:val="hybridMultilevel"/>
    <w:lvl w:ilvl="0">
      <w:lvlJc w:val="left"/>
      <w:lvlText w:val="•"/>
      <w:numFmt w:val="bullet"/>
      <w:start w:val="1"/>
    </w:lvl>
  </w:abstractNum>
  <w:abstractNum w:abstractNumId="36">
    <w:nsid w:val="CC1016F"/>
    <w:multiLevelType w:val="hybridMultilevel"/>
    <w:lvl w:ilvl="0">
      <w:lvlJc w:val="left"/>
      <w:lvlText w:val="•"/>
      <w:numFmt w:val="bullet"/>
      <w:start w:val="1"/>
    </w:lvl>
  </w:abstractNum>
  <w:abstractNum w:abstractNumId="37">
    <w:nsid w:val="43F18422"/>
    <w:multiLevelType w:val="hybridMultilevel"/>
    <w:lvl w:ilvl="0">
      <w:lvlJc w:val="left"/>
      <w:lvlText w:val="•"/>
      <w:numFmt w:val="bullet"/>
      <w:start w:val="1"/>
    </w:lvl>
  </w:abstractNum>
  <w:abstractNum w:abstractNumId="38">
    <w:nsid w:val="60EF0119"/>
    <w:multiLevelType w:val="hybridMultilevel"/>
    <w:lvl w:ilvl="0">
      <w:lvlJc w:val="left"/>
      <w:lvlText w:val="•"/>
      <w:numFmt w:val="bullet"/>
      <w:start w:val="1"/>
    </w:lvl>
  </w:abstractNum>
  <w:abstractNum w:abstractNumId="39">
    <w:nsid w:val="26F324BA"/>
    <w:multiLevelType w:val="hybridMultilevel"/>
    <w:lvl w:ilvl="0">
      <w:lvlJc w:val="left"/>
      <w:lvlText w:val="•"/>
      <w:numFmt w:val="bullet"/>
      <w:start w:val="1"/>
    </w:lvl>
  </w:abstractNum>
  <w:abstractNum w:abstractNumId="40">
    <w:nsid w:val="7F01579B"/>
    <w:multiLevelType w:val="hybridMultilevel"/>
    <w:lvl w:ilvl="0">
      <w:lvlJc w:val="left"/>
      <w:lvlText w:val="•"/>
      <w:numFmt w:val="bullet"/>
      <w:start w:val="1"/>
    </w:lvl>
  </w:abstractNum>
  <w:abstractNum w:abstractNumId="41">
    <w:nsid w:val="49DA307D"/>
    <w:multiLevelType w:val="hybridMultilevel"/>
    <w:lvl w:ilvl="0">
      <w:lvlJc w:val="left"/>
      <w:lvlText w:val="(%1)"/>
      <w:numFmt w:val="lowerRoman"/>
      <w:start w:val="3"/>
    </w:lvl>
  </w:abstractNum>
  <w:abstractNum w:abstractNumId="42">
    <w:nsid w:val="7055A5F5"/>
    <w:multiLevelType w:val="hybridMultilevel"/>
    <w:lvl w:ilvl="0">
      <w:lvlJc w:val="left"/>
      <w:lvlText w:val="•"/>
      <w:numFmt w:val="bullet"/>
      <w:start w:val="1"/>
    </w:lvl>
  </w:abstractNum>
  <w:abstractNum w:abstractNumId="43">
    <w:nsid w:val="5FB8370B"/>
    <w:multiLevelType w:val="hybridMultilevel"/>
    <w:lvl w:ilvl="0">
      <w:lvlJc w:val="left"/>
      <w:lvlText w:val="•"/>
      <w:numFmt w:val="bullet"/>
      <w:start w:val="1"/>
    </w:lvl>
  </w:abstractNum>
  <w:abstractNum w:abstractNumId="44">
    <w:nsid w:val="50801EE1"/>
    <w:multiLevelType w:val="hybridMultilevel"/>
    <w:lvl w:ilvl="0">
      <w:lvlJc w:val="left"/>
      <w:lvlText w:val="%1."/>
      <w:numFmt w:val="decimal"/>
      <w:start w:val="1"/>
    </w:lvl>
  </w:abstractNum>
  <w:abstractNum w:abstractNumId="45">
    <w:nsid w:val="488AC1A"/>
    <w:multiLevelType w:val="hybridMultilevel"/>
    <w:lvl w:ilvl="0">
      <w:lvlJc w:val="left"/>
      <w:lvlText w:val="•"/>
      <w:numFmt w:val="bullet"/>
      <w:start w:val="1"/>
    </w:lvl>
  </w:abstractNum>
  <w:abstractNum w:abstractNumId="46">
    <w:nsid w:val="5FB8011C"/>
    <w:multiLevelType w:val="hybridMultilevel"/>
    <w:lvl w:ilvl="0">
      <w:lvlJc w:val="left"/>
      <w:lvlText w:val="•"/>
      <w:numFmt w:val="bullet"/>
      <w:start w:val="1"/>
    </w:lvl>
  </w:abstractNum>
  <w:abstractNum w:abstractNumId="47">
    <w:nsid w:val="6AA78F7F"/>
    <w:multiLevelType w:val="hybridMultilevel"/>
    <w:lvl w:ilvl="0">
      <w:lvlJc w:val="left"/>
      <w:lvlText w:val="(%1)"/>
      <w:numFmt w:val="decimal"/>
      <w:start w:val="1"/>
    </w:lvl>
  </w:abstractNum>
  <w:abstractNum w:abstractNumId="48">
    <w:nsid w:val="7672BD23"/>
    <w:multiLevelType w:val="hybridMultilevel"/>
    <w:lvl w:ilvl="0">
      <w:lvlJc w:val="left"/>
      <w:lvlText w:val="•"/>
      <w:numFmt w:val="bullet"/>
      <w:start w:val="1"/>
    </w:lvl>
  </w:abstractNum>
  <w:abstractNum w:abstractNumId="49">
    <w:nsid w:val="6FC75AF8"/>
    <w:multiLevelType w:val="hybridMultilevel"/>
    <w:lvl w:ilvl="0">
      <w:lvlJc w:val="left"/>
      <w:lvlText w:val="•"/>
      <w:numFmt w:val="bullet"/>
      <w:start w:val="1"/>
    </w:lvl>
  </w:abstractNum>
  <w:abstractNum w:abstractNumId="50">
    <w:nsid w:val="6A5F7029"/>
    <w:multiLevelType w:val="hybridMultilevel"/>
    <w:lvl w:ilvl="0">
      <w:lvlJc w:val="left"/>
      <w:lvlText w:val="•"/>
      <w:numFmt w:val="bullet"/>
      <w:start w:val="1"/>
    </w:lvl>
  </w:abstractNum>
  <w:abstractNum w:abstractNumId="51">
    <w:nsid w:val="7D5E18F8"/>
    <w:multiLevelType w:val="hybridMultilevel"/>
    <w:lvl w:ilvl="0">
      <w:lvlJc w:val="left"/>
      <w:lvlText w:val="(%1)"/>
      <w:numFmt w:val="decimal"/>
      <w:start w:val="1"/>
    </w:lvl>
  </w:abstractNum>
  <w:abstractNum w:abstractNumId="52">
    <w:nsid w:val="5F3534A4"/>
    <w:multiLevelType w:val="hybridMultilevel"/>
    <w:lvl w:ilvl="0">
      <w:lvlJc w:val="left"/>
      <w:lvlText w:val="•"/>
      <w:numFmt w:val="bullet"/>
      <w:start w:val="1"/>
    </w:lvl>
  </w:abstractNum>
  <w:abstractNum w:abstractNumId="53">
    <w:nsid w:val="73A1821B"/>
    <w:multiLevelType w:val="hybridMultilevel"/>
    <w:lvl w:ilvl="0">
      <w:lvlJc w:val="left"/>
      <w:lvlText w:val="•"/>
      <w:numFmt w:val="bullet"/>
      <w:start w:val="1"/>
    </w:lvl>
  </w:abstractNum>
  <w:abstractNum w:abstractNumId="54">
    <w:nsid w:val="7DE67713"/>
    <w:multiLevelType w:val="hybridMultilevel"/>
    <w:lvl w:ilvl="0">
      <w:lvlJc w:val="left"/>
      <w:lvlText w:val="•"/>
      <w:numFmt w:val="bullet"/>
      <w:start w:val="1"/>
    </w:lvl>
  </w:abstractNum>
  <w:abstractNum w:abstractNumId="55">
    <w:nsid w:val="555C55B5"/>
    <w:multiLevelType w:val="hybridMultilevel"/>
    <w:lvl w:ilvl="0">
      <w:lvlJc w:val="left"/>
      <w:lvlText w:val="•"/>
      <w:numFmt w:val="bullet"/>
      <w:start w:val="1"/>
    </w:lvl>
  </w:abstractNum>
  <w:abstractNum w:abstractNumId="56">
    <w:nsid w:val="3FA62ACA"/>
    <w:multiLevelType w:val="hybridMultilevel"/>
    <w:lvl w:ilvl="0">
      <w:lvlJc w:val="left"/>
      <w:lvlText w:val="•"/>
      <w:numFmt w:val="bullet"/>
      <w:start w:val="1"/>
    </w:lvl>
  </w:abstractNum>
  <w:abstractNum w:abstractNumId="57">
    <w:nsid w:val="14FCE74E"/>
    <w:multiLevelType w:val="hybridMultilevel"/>
    <w:lvl w:ilvl="0">
      <w:lvlJc w:val="left"/>
      <w:lvlText w:val="•"/>
      <w:numFmt w:val="bullet"/>
      <w:start w:val="1"/>
    </w:lvl>
  </w:abstractNum>
  <w:abstractNum w:abstractNumId="58">
    <w:nsid w:val="6A3DD3E8"/>
    <w:multiLevelType w:val="hybridMultilevel"/>
    <w:lvl w:ilvl="0">
      <w:lvlJc w:val="left"/>
      <w:lvlText w:val="•"/>
      <w:numFmt w:val="bullet"/>
      <w:start w:val="1"/>
    </w:lvl>
  </w:abstractNum>
  <w:abstractNum w:abstractNumId="59">
    <w:nsid w:val="71C91298"/>
    <w:multiLevelType w:val="hybridMultilevel"/>
    <w:lvl w:ilvl="0">
      <w:lvlJc w:val="left"/>
      <w:lvlText w:val="•"/>
      <w:numFmt w:val="bullet"/>
      <w:start w:val="1"/>
    </w:lvl>
  </w:abstractNum>
  <w:abstractNum w:abstractNumId="60">
    <w:nsid w:val="9DAF632"/>
    <w:multiLevelType w:val="hybridMultilevel"/>
    <w:lvl w:ilvl="0">
      <w:lvlJc w:val="left"/>
      <w:lvlText w:val="1"/>
      <w:numFmt w:val="bullet"/>
      <w:start w:val="1"/>
    </w:lvl>
  </w:abstractNum>
  <w:abstractNum w:abstractNumId="61">
    <w:nsid w:val="53299938"/>
    <w:multiLevelType w:val="hybridMultilevel"/>
    <w:lvl w:ilvl="0">
      <w:lvlJc w:val="left"/>
      <w:lvlText w:val="•"/>
      <w:numFmt w:val="bullet"/>
      <w:start w:val="1"/>
    </w:lvl>
  </w:abstractNum>
  <w:abstractNum w:abstractNumId="62">
    <w:nsid w:val="1FBFE8E0"/>
    <w:multiLevelType w:val="hybridMultilevel"/>
    <w:lvl w:ilvl="0">
      <w:lvlJc w:val="left"/>
      <w:lvlText w:val="•"/>
      <w:numFmt w:val="bullet"/>
      <w:start w:val="1"/>
    </w:lvl>
  </w:abstractNum>
  <w:abstractNum w:abstractNumId="63">
    <w:nsid w:val="5092CA79"/>
    <w:multiLevelType w:val="hybridMultilevel"/>
    <w:lvl w:ilvl="0">
      <w:lvlJc w:val="left"/>
      <w:lvlText w:val="•"/>
      <w:numFmt w:val="bullet"/>
      <w:start w:val="1"/>
    </w:lvl>
  </w:abstractNum>
  <w:abstractNum w:abstractNumId="64">
    <w:nsid w:val="1D545C4D"/>
    <w:multiLevelType w:val="hybridMultilevel"/>
    <w:lvl w:ilvl="0">
      <w:lvlJc w:val="left"/>
      <w:lvlText w:val="•"/>
      <w:numFmt w:val="bullet"/>
      <w:start w:val="1"/>
    </w:lvl>
  </w:abstractNum>
  <w:abstractNum w:abstractNumId="65">
    <w:nsid w:val="59ADEA3D"/>
    <w:multiLevelType w:val="hybridMultilevel"/>
    <w:lvl w:ilvl="0">
      <w:lvlJc w:val="left"/>
      <w:lvlText w:val="•"/>
      <w:numFmt w:val="bullet"/>
      <w:start w:val="1"/>
    </w:lvl>
  </w:abstractNum>
  <w:abstractNum w:abstractNumId="66">
    <w:nsid w:val="288F1A34"/>
    <w:multiLevelType w:val="hybridMultilevel"/>
    <w:lvl w:ilvl="0">
      <w:lvlJc w:val="left"/>
      <w:lvlText w:val="•"/>
      <w:numFmt w:val="bullet"/>
      <w:start w:val="1"/>
    </w:lvl>
  </w:abstractNum>
  <w:abstractNum w:abstractNumId="67">
    <w:nsid w:val="2A155DBC"/>
    <w:multiLevelType w:val="hybridMultilevel"/>
    <w:lvl w:ilvl="0">
      <w:lvlJc w:val="left"/>
      <w:lvlText w:val="1"/>
      <w:numFmt w:val="bullet"/>
      <w:start w:val="1"/>
    </w:lvl>
  </w:abstractNum>
  <w:abstractNum w:abstractNumId="68">
    <w:nsid w:val="1D9F6E5F"/>
    <w:multiLevelType w:val="hybridMultilevel"/>
    <w:lvl w:ilvl="0">
      <w:lvlJc w:val="left"/>
      <w:lvlText w:val="2"/>
      <w:numFmt w:val="bullet"/>
      <w:start w:val="1"/>
    </w:lvl>
  </w:abstractNum>
  <w:abstractNum w:abstractNumId="69">
    <w:nsid w:val="97E1B4E"/>
    <w:multiLevelType w:val="hybridMultilevel"/>
    <w:lvl w:ilvl="0">
      <w:lvlJc w:val="left"/>
      <w:lvlText w:val="3"/>
      <w:numFmt w:val="bullet"/>
      <w:start w:val="1"/>
    </w:lvl>
  </w:abstractNum>
  <w:abstractNum w:abstractNumId="70">
    <w:nsid w:val="51088277"/>
    <w:multiLevelType w:val="hybridMultilevel"/>
    <w:lvl w:ilvl="0">
      <w:lvlJc w:val="left"/>
      <w:lvlText w:val="•"/>
      <w:numFmt w:val="bullet"/>
      <w:start w:val="1"/>
    </w:lvl>
  </w:abstractNum>
  <w:abstractNum w:abstractNumId="71">
    <w:nsid w:val="1CA0C5FA"/>
    <w:multiLevelType w:val="hybridMultilevel"/>
    <w:lvl w:ilvl="0">
      <w:lvlJc w:val="left"/>
      <w:lvlText w:val="•"/>
      <w:numFmt w:val="bullet"/>
      <w:start w:val="1"/>
    </w:lvl>
  </w:abstractNum>
  <w:abstractNum w:abstractNumId="72">
    <w:nsid w:val="53584BCB"/>
    <w:multiLevelType w:val="hybridMultilevel"/>
    <w:lvl w:ilvl="0">
      <w:lvlJc w:val="left"/>
      <w:lvlText w:val="•"/>
      <w:numFmt w:val="bullet"/>
      <w:start w:val="1"/>
    </w:lvl>
  </w:abstractNum>
  <w:abstractNum w:abstractNumId="73">
    <w:nsid w:val="415E286C"/>
    <w:multiLevelType w:val="hybridMultilevel"/>
    <w:lvl w:ilvl="0">
      <w:lvlJc w:val="left"/>
      <w:lvlText w:val="•"/>
      <w:numFmt w:val="bullet"/>
      <w:start w:val="1"/>
    </w:lvl>
  </w:abstractNum>
  <w:abstractNum w:abstractNumId="74">
    <w:nsid w:val="7C58FD05"/>
    <w:multiLevelType w:val="hybridMultilevel"/>
    <w:lvl w:ilvl="0">
      <w:lvlJc w:val="left"/>
      <w:lvlText w:val="•"/>
      <w:numFmt w:val="bullet"/>
      <w:start w:val="1"/>
    </w:lvl>
  </w:abstractNum>
  <w:abstractNum w:abstractNumId="75">
    <w:nsid w:val="23D86AAC"/>
    <w:multiLevelType w:val="hybridMultilevel"/>
    <w:lvl w:ilvl="0">
      <w:lvlJc w:val="left"/>
      <w:lvlText w:val="•"/>
      <w:numFmt w:val="bullet"/>
      <w:start w:val="1"/>
    </w:lvl>
  </w:abstractNum>
  <w:abstractNum w:abstractNumId="76">
    <w:nsid w:val="45E6D486"/>
    <w:multiLevelType w:val="hybridMultilevel"/>
    <w:lvl w:ilvl="0">
      <w:lvlJc w:val="left"/>
      <w:lvlText w:val="•"/>
      <w:numFmt w:val="bullet"/>
      <w:start w:val="1"/>
    </w:lvl>
  </w:abstractNum>
  <w:abstractNum w:abstractNumId="77">
    <w:nsid w:val="5C10FE21"/>
    <w:multiLevelType w:val="hybridMultilevel"/>
    <w:lvl w:ilvl="0">
      <w:lvlJc w:val="left"/>
      <w:lvlText w:val="•"/>
      <w:numFmt w:val="bullet"/>
      <w:start w:val="1"/>
    </w:lvl>
  </w:abstractNum>
  <w:abstractNum w:abstractNumId="78">
    <w:nsid w:val="E7FFA2B"/>
    <w:multiLevelType w:val="hybridMultilevel"/>
    <w:lvl w:ilvl="0">
      <w:lvlJc w:val="left"/>
      <w:lvlText w:val="*"/>
      <w:numFmt w:val="bullet"/>
      <w:start w:val="1"/>
    </w:lvl>
  </w:abstractNum>
  <w:abstractNum w:abstractNumId="79">
    <w:nsid w:val="3C5991AA"/>
    <w:multiLevelType w:val="hybridMultilevel"/>
    <w:lvl w:ilvl="0">
      <w:lvlJc w:val="left"/>
      <w:lvlText w:val="(%1)"/>
      <w:numFmt w:val="decimal"/>
      <w:start w:val="1"/>
    </w:lvl>
  </w:abstractNum>
  <w:abstractNum w:abstractNumId="80">
    <w:nsid w:val="4BD8591A"/>
    <w:multiLevelType w:val="hybridMultilevel"/>
    <w:lvl w:ilvl="0">
      <w:lvlJc w:val="left"/>
      <w:lvlText w:val="•"/>
      <w:numFmt w:val="bullet"/>
      <w:start w:val="1"/>
    </w:lvl>
  </w:abstractNum>
  <w:abstractNum w:abstractNumId="81">
    <w:nsid w:val="78DF6A55"/>
    <w:multiLevelType w:val="hybridMultilevel"/>
    <w:lvl w:ilvl="0">
      <w:lvlJc w:val="left"/>
      <w:lvlText w:val="•"/>
      <w:numFmt w:val="bullet"/>
      <w:start w:val="1"/>
    </w:lvl>
  </w:abstractNum>
  <w:abstractNum w:abstractNumId="82">
    <w:nsid w:val="39B7AAA2"/>
    <w:multiLevelType w:val="hybridMultilevel"/>
    <w:lvl w:ilvl="0">
      <w:lvlJc w:val="left"/>
      <w:lvlText w:val="•"/>
      <w:numFmt w:val="bullet"/>
      <w:start w:val="1"/>
    </w:lvl>
  </w:abstractNum>
  <w:abstractNum w:abstractNumId="83">
    <w:nsid w:val="2B0D8DBE"/>
    <w:multiLevelType w:val="hybridMultilevel"/>
    <w:lvl w:ilvl="0">
      <w:lvlJc w:val="left"/>
      <w:lvlText w:val="•"/>
      <w:numFmt w:val="bullet"/>
      <w:start w:val="1"/>
    </w:lvl>
  </w:abstractNum>
  <w:abstractNum w:abstractNumId="84">
    <w:nsid w:val="6C80EC70"/>
    <w:multiLevelType w:val="hybridMultilevel"/>
    <w:lvl w:ilvl="0">
      <w:lvlJc w:val="left"/>
      <w:lvlText w:val="•"/>
      <w:numFmt w:val="bullet"/>
      <w:start w:val="1"/>
    </w:lvl>
  </w:abstractNum>
  <w:abstractNum w:abstractNumId="85">
    <w:nsid w:val="379E21B5"/>
    <w:multiLevelType w:val="hybridMultilevel"/>
    <w:lvl w:ilvl="0">
      <w:lvlJc w:val="left"/>
      <w:lvlText w:val="(%1)"/>
      <w:numFmt w:val="decimal"/>
      <w:start w:val="1"/>
    </w:lvl>
  </w:abstractNum>
  <w:abstractNum w:abstractNumId="86">
    <w:nsid w:val="69E373"/>
    <w:multiLevelType w:val="hybridMultilevel"/>
    <w:lvl w:ilvl="0">
      <w:lvlJc w:val="left"/>
      <w:lvlText w:val="•"/>
      <w:numFmt w:val="bullet"/>
      <w:start w:val="1"/>
    </w:lvl>
  </w:abstractNum>
  <w:abstractNum w:abstractNumId="87">
    <w:nsid w:val="2C27173B"/>
    <w:multiLevelType w:val="hybridMultilevel"/>
    <w:lvl w:ilvl="0">
      <w:lvlJc w:val="left"/>
      <w:lvlText w:val="•"/>
      <w:numFmt w:val="bullet"/>
      <w:start w:val="1"/>
    </w:lvl>
  </w:abstractNum>
  <w:abstractNum w:abstractNumId="88">
    <w:nsid w:val="4C9B0904"/>
    <w:multiLevelType w:val="hybridMultilevel"/>
    <w:lvl w:ilvl="0">
      <w:lvlJc w:val="left"/>
      <w:lvlText w:val="•"/>
      <w:numFmt w:val="bullet"/>
      <w:start w:val="1"/>
    </w:lvl>
  </w:abstractNum>
  <w:abstractNum w:abstractNumId="89">
    <w:nsid w:val="6AA7B75C"/>
    <w:multiLevelType w:val="hybridMultilevel"/>
    <w:lvl w:ilvl="0">
      <w:lvlJc w:val="left"/>
      <w:lvlText w:val="(%1)"/>
      <w:numFmt w:val="decimal"/>
      <w:start w:val="1"/>
    </w:lvl>
  </w:abstractNum>
  <w:abstractNum w:abstractNumId="90">
    <w:nsid w:val="1DF029D3"/>
    <w:multiLevelType w:val="hybridMultilevel"/>
    <w:lvl w:ilvl="0">
      <w:lvlJc w:val="left"/>
      <w:lvlText w:val="(%1)"/>
      <w:numFmt w:val="decimal"/>
      <w:start w:val="1"/>
    </w:lvl>
  </w:abstractNum>
  <w:abstractNum w:abstractNumId="91">
    <w:nsid w:val="5675FF36"/>
    <w:multiLevelType w:val="hybridMultilevel"/>
    <w:lvl w:ilvl="0">
      <w:lvlJc w:val="left"/>
      <w:lvlText w:val="(%1)"/>
      <w:numFmt w:val="decimal"/>
      <w:start w:val="8"/>
    </w:lvl>
  </w:abstractNum>
  <w:abstractNum w:abstractNumId="92">
    <w:nsid w:val="3DD15094"/>
    <w:multiLevelType w:val="hybridMultilevel"/>
    <w:lvl w:ilvl="0">
      <w:lvlJc w:val="left"/>
      <w:lvlText w:val="•"/>
      <w:numFmt w:val="bullet"/>
      <w:start w:val="1"/>
    </w:lvl>
  </w:abstractNum>
  <w:abstractNum w:abstractNumId="93">
    <w:nsid w:val="3DB012B3"/>
    <w:multiLevelType w:val="hybridMultilevel"/>
    <w:lvl w:ilvl="0">
      <w:lvlJc w:val="left"/>
      <w:lvlText w:val="•"/>
      <w:numFmt w:val="bullet"/>
      <w:start w:val="1"/>
    </w:lvl>
  </w:abstractNum>
  <w:abstractNum w:abstractNumId="94">
    <w:nsid w:val="2708C9AF"/>
    <w:multiLevelType w:val="hybridMultilevel"/>
    <w:lvl w:ilvl="0">
      <w:lvlJc w:val="left"/>
      <w:lvlText w:val="•"/>
      <w:numFmt w:val="bullet"/>
      <w:start w:val="1"/>
    </w:lvl>
  </w:abstractNum>
  <w:abstractNum w:abstractNumId="95">
    <w:nsid w:val="5B25ACE2"/>
    <w:multiLevelType w:val="hybridMultilevel"/>
    <w:lvl w:ilvl="0">
      <w:lvlJc w:val="left"/>
      <w:lvlText w:val="•"/>
      <w:numFmt w:val="bullet"/>
      <w:start w:val="1"/>
    </w:lvl>
    <w:lvl w:ilvl="1">
      <w:lvlJc w:val="left"/>
      <w:lvlText w:val="•"/>
      <w:numFmt w:val="bullet"/>
      <w:start w:val="1"/>
    </w:lvl>
  </w:abstractNum>
  <w:abstractNum w:abstractNumId="96">
    <w:nsid w:val="175DFCF0"/>
    <w:multiLevelType w:val="hybridMultilevel"/>
    <w:lvl w:ilvl="0">
      <w:lvlJc w:val="left"/>
      <w:lvlText w:val="•"/>
      <w:numFmt w:val="bullet"/>
      <w:start w:val="1"/>
    </w:lvl>
  </w:abstractNum>
  <w:abstractNum w:abstractNumId="97">
    <w:nsid w:val="4F97E3E4"/>
    <w:multiLevelType w:val="hybridMultilevel"/>
    <w:lvl w:ilvl="0">
      <w:lvlJc w:val="left"/>
      <w:lvlText w:val="•"/>
      <w:numFmt w:val="bullet"/>
      <w:start w:val="1"/>
    </w:lvl>
  </w:abstractNum>
  <w:abstractNum w:abstractNumId="98">
    <w:nsid w:val="53B0A9E"/>
    <w:multiLevelType w:val="hybridMultilevel"/>
    <w:lvl w:ilvl="0">
      <w:lvlJc w:val="left"/>
      <w:lvlText w:val="•"/>
      <w:numFmt w:val="bullet"/>
      <w:start w:val="1"/>
    </w:lvl>
  </w:abstractNum>
  <w:abstractNum w:abstractNumId="99">
    <w:nsid w:val="34FD6B4F"/>
    <w:multiLevelType w:val="hybridMultilevel"/>
    <w:lvl w:ilvl="0">
      <w:lvlJc w:val="left"/>
      <w:lvlText w:val="•"/>
      <w:numFmt w:val="bullet"/>
      <w:start w:val="1"/>
    </w:lvl>
  </w:abstractNum>
  <w:abstractNum w:abstractNumId="100">
    <w:nsid w:val="5915FF32"/>
    <w:multiLevelType w:val="hybridMultilevel"/>
    <w:lvl w:ilvl="0">
      <w:lvlJc w:val="left"/>
      <w:lvlText w:val="•"/>
      <w:numFmt w:val="bullet"/>
      <w:start w:val="1"/>
    </w:lvl>
  </w:abstractNum>
  <w:abstractNum w:abstractNumId="101">
    <w:nsid w:val="56438D15"/>
    <w:multiLevelType w:val="hybridMultilevel"/>
    <w:lvl w:ilvl="0">
      <w:lvlJc w:val="left"/>
      <w:lvlText w:val="(%1)"/>
      <w:numFmt w:val="decimal"/>
      <w:start w:val="1"/>
    </w:lvl>
  </w:abstractNum>
  <w:abstractNum w:abstractNumId="102">
    <w:nsid w:val="519E3149"/>
    <w:multiLevelType w:val="hybridMultilevel"/>
    <w:lvl w:ilvl="0">
      <w:lvlJc w:val="left"/>
      <w:lvlText w:val="(%1)"/>
      <w:numFmt w:val="decimal"/>
      <w:start w:val="1"/>
    </w:lvl>
  </w:abstractNum>
  <w:abstractNum w:abstractNumId="103">
    <w:nsid w:val="2C6E4AFD"/>
    <w:multiLevelType w:val="hybridMultilevel"/>
    <w:lvl w:ilvl="0">
      <w:lvlJc w:val="left"/>
      <w:lvlText w:val="(%1)"/>
      <w:numFmt w:val="decimal"/>
      <w:start w:val="1"/>
    </w:lvl>
  </w:abstractNum>
  <w:abstractNum w:abstractNumId="104">
    <w:nsid w:val="17A1B582"/>
    <w:multiLevelType w:val="hybridMultilevel"/>
    <w:lvl w:ilvl="0">
      <w:lvlJc w:val="left"/>
      <w:lvlText w:val="•"/>
      <w:numFmt w:val="bullet"/>
      <w:start w:val="1"/>
    </w:lvl>
  </w:abstractNum>
  <w:abstractNum w:abstractNumId="105">
    <w:nsid w:val="4DF72E4E"/>
    <w:multiLevelType w:val="hybridMultilevel"/>
    <w:lvl w:ilvl="0">
      <w:lvlJc w:val="left"/>
      <w:lvlText w:val="*"/>
      <w:numFmt w:val="bullet"/>
      <w:start w:val="1"/>
    </w:lvl>
  </w:abstractNum>
  <w:abstractNum w:abstractNumId="106">
    <w:nsid w:val="5046B5A9"/>
    <w:multiLevelType w:val="hybridMultilevel"/>
    <w:lvl w:ilvl="0">
      <w:lvlJc w:val="left"/>
      <w:lvlText w:val="(%1)"/>
      <w:numFmt w:val="decimal"/>
      <w:start w:val="1"/>
    </w:lvl>
  </w:abstractNum>
  <w:abstractNum w:abstractNumId="107">
    <w:nsid w:val="5D888A08"/>
    <w:multiLevelType w:val="hybridMultilevel"/>
    <w:lvl w:ilvl="0">
      <w:lvlJc w:val="left"/>
      <w:lvlText w:val="(%1)"/>
      <w:numFmt w:val="decimal"/>
      <w:start w:val="8"/>
    </w:lvl>
  </w:abstractNum>
  <w:abstractNum w:abstractNumId="108">
    <w:nsid w:val="2A082C70"/>
    <w:multiLevelType w:val="hybridMultilevel"/>
    <w:lvl w:ilvl="0">
      <w:lvlJc w:val="left"/>
      <w:lvlText w:val="(%1)"/>
      <w:numFmt w:val="upperLetter"/>
      <w:start w:val="1"/>
    </w:lvl>
  </w:abstractNum>
  <w:abstractNum w:abstractNumId="109">
    <w:nsid w:val="5EC6AFD4"/>
    <w:multiLevelType w:val="hybridMultilevel"/>
    <w:lvl w:ilvl="0">
      <w:lvlJc w:val="left"/>
      <w:lvlText w:val="•"/>
      <w:numFmt w:val="bullet"/>
      <w:start w:val="1"/>
    </w:lvl>
  </w:abstractNum>
  <w:abstractNum w:abstractNumId="110">
    <w:nsid w:val="19E21BB2"/>
    <w:multiLevelType w:val="hybridMultilevel"/>
    <w:lvl w:ilvl="0">
      <w:lvlJc w:val="left"/>
      <w:lvlText w:val="•"/>
      <w:numFmt w:val="bullet"/>
      <w:start w:val="1"/>
    </w:lvl>
  </w:abstractNum>
  <w:abstractNum w:abstractNumId="111">
    <w:nsid w:val="75E0858A"/>
    <w:multiLevelType w:val="hybridMultilevel"/>
    <w:lvl w:ilvl="0">
      <w:lvlJc w:val="left"/>
      <w:lvlText w:val="•"/>
      <w:numFmt w:val="bullet"/>
      <w:start w:val="1"/>
    </w:lvl>
  </w:abstractNum>
  <w:abstractNum w:abstractNumId="112">
    <w:nsid w:val="57A61A29"/>
    <w:multiLevelType w:val="hybridMultilevel"/>
    <w:lvl w:ilvl="0">
      <w:lvlJc w:val="left"/>
      <w:lvlText w:val="•"/>
      <w:numFmt w:val="bullet"/>
      <w:start w:val="1"/>
    </w:lvl>
  </w:abstractNum>
  <w:abstractNum w:abstractNumId="113">
    <w:nsid w:val="5399C654"/>
    <w:multiLevelType w:val="hybridMultilevel"/>
    <w:lvl w:ilvl="0">
      <w:lvlJc w:val="left"/>
      <w:lvlText w:val="•"/>
      <w:numFmt w:val="bullet"/>
      <w:start w:val="1"/>
    </w:lvl>
  </w:abstractNum>
  <w:abstractNum w:abstractNumId="114">
    <w:nsid w:val="20EE1348"/>
    <w:multiLevelType w:val="hybridMultilevel"/>
    <w:lvl w:ilvl="0">
      <w:lvlJc w:val="left"/>
      <w:lvlText w:val="•"/>
      <w:numFmt w:val="bullet"/>
      <w:start w:val="1"/>
    </w:lvl>
  </w:abstractNum>
  <w:abstractNum w:abstractNumId="115">
    <w:nsid w:val="4427069A"/>
    <w:multiLevelType w:val="hybridMultilevel"/>
    <w:lvl w:ilvl="0">
      <w:lvlJc w:val="left"/>
      <w:lvlText w:val="%1."/>
      <w:numFmt w:val="lowerLetter"/>
      <w:start w:val="1"/>
    </w:lvl>
  </w:abstractNum>
  <w:abstractNum w:abstractNumId="116">
    <w:nsid w:val="B37E80A"/>
    <w:multiLevelType w:val="hybridMultilevel"/>
    <w:lvl w:ilvl="0">
      <w:lvlJc w:val="left"/>
      <w:lvlText w:val="%1."/>
      <w:numFmt w:val="lowerLetter"/>
      <w:start w:val="3"/>
    </w:lvl>
  </w:abstractNum>
  <w:abstractNum w:abstractNumId="117">
    <w:nsid w:val="2157F6BC"/>
    <w:multiLevelType w:val="hybridMultilevel"/>
    <w:lvl w:ilvl="0">
      <w:lvlJc w:val="left"/>
      <w:lvlText w:val="%1."/>
      <w:numFmt w:val="lowerLetter"/>
      <w:start w:val="9"/>
    </w:lvl>
  </w:abstractNum>
  <w:abstractNum w:abstractNumId="118">
    <w:nsid w:val="704E1DD5"/>
    <w:multiLevelType w:val="hybridMultilevel"/>
    <w:lvl w:ilvl="0">
      <w:lvlJc w:val="left"/>
      <w:lvlText w:val="(%1)"/>
      <w:numFmt w:val="lowerLetter"/>
      <w:start w:val="1"/>
    </w:lvl>
  </w:abstractNum>
  <w:abstractNum w:abstractNumId="119">
    <w:nsid w:val="57D2F10E"/>
    <w:multiLevelType w:val="hybridMultilevel"/>
    <w:lvl w:ilvl="0">
      <w:lvlJc w:val="left"/>
      <w:lvlText w:val="(%1)"/>
      <w:numFmt w:val="lowerLetter"/>
      <w:start w:val="1"/>
    </w:lvl>
  </w:abstractNum>
  <w:abstractNum w:abstractNumId="120">
    <w:nsid w:val="BFFAE18"/>
    <w:multiLevelType w:val="hybridMultilevel"/>
    <w:lvl w:ilvl="0">
      <w:lvlJc w:val="left"/>
      <w:lvlText w:val="(%1)"/>
      <w:numFmt w:val="lowerLetter"/>
      <w:start w:val="1"/>
    </w:lvl>
  </w:abstractNum>
  <w:abstractNum w:abstractNumId="121">
    <w:nsid w:val="E3E47A8"/>
    <w:multiLevelType w:val="hybridMultilevel"/>
    <w:lvl w:ilvl="0">
      <w:lvlJc w:val="left"/>
      <w:lvlText w:val="(%1)"/>
      <w:numFmt w:val="lowerLetter"/>
      <w:start w:val="1"/>
    </w:lvl>
  </w:abstractNum>
  <w:abstractNum w:abstractNumId="122">
    <w:nsid w:val="2E48F044"/>
    <w:multiLevelType w:val="hybridMultilevel"/>
    <w:lvl w:ilvl="0">
      <w:lvlJc w:val="left"/>
      <w:lvlText w:val="(%1)"/>
      <w:numFmt w:val="lowerLetter"/>
      <w:start w:val="1"/>
    </w:lvl>
  </w:abstractNum>
  <w:abstractNum w:abstractNumId="123">
    <w:nsid w:val="49D0FEAC"/>
    <w:multiLevelType w:val="hybridMultilevel"/>
    <w:lvl w:ilvl="0">
      <w:lvlJc w:val="left"/>
      <w:lvlText w:val="%1."/>
      <w:numFmt w:val="decimal"/>
      <w:start w:val="1"/>
    </w:lvl>
  </w:abstractNum>
  <w:abstractNum w:abstractNumId="124">
    <w:nsid w:val="4BEE5A5B"/>
    <w:multiLevelType w:val="hybridMultilevel"/>
    <w:lvl w:ilvl="0">
      <w:lvlJc w:val="left"/>
      <w:lvlText w:val="%1."/>
      <w:numFmt w:val="decimal"/>
      <w:start w:val="3"/>
    </w:lvl>
  </w:abstractNum>
  <w:abstractNum w:abstractNumId="125">
    <w:nsid w:val="5551B9F3"/>
    <w:multiLevelType w:val="hybridMultilevel"/>
    <w:lvl w:ilvl="0">
      <w:lvlJc w:val="left"/>
      <w:lvlText w:val="%1."/>
      <w:numFmt w:val="decimal"/>
      <w:start w:val="5"/>
    </w:lvl>
  </w:abstractNum>
  <w:abstractNum w:abstractNumId="126">
    <w:nsid w:val="24F6AB8E"/>
    <w:multiLevelType w:val="hybridMultilevel"/>
    <w:lvl w:ilvl="0">
      <w:lvlJc w:val="left"/>
      <w:lvlText w:val="%1."/>
      <w:numFmt w:val="decimal"/>
      <w:start w:val="6"/>
    </w:lvl>
  </w:abstractNum>
  <w:abstractNum w:abstractNumId="127">
    <w:nsid w:val="634C574C"/>
    <w:multiLevelType w:val="hybridMultilevel"/>
    <w:lvl w:ilvl="0">
      <w:lvlJc w:val="left"/>
      <w:lvlText w:val="(%1)"/>
      <w:numFmt w:val="lowerRoman"/>
      <w:start w:val="2"/>
    </w:lvl>
  </w:abstractNum>
  <w:abstractNum w:abstractNumId="128">
    <w:nsid w:val="24E99DD7"/>
    <w:multiLevelType w:val="hybridMultilevel"/>
    <w:lvl w:ilvl="0">
      <w:lvlJc w:val="left"/>
      <w:lvlText w:val="%1."/>
      <w:numFmt w:val="decimal"/>
      <w:start w:val="7"/>
    </w:lvl>
  </w:abstractNum>
  <w:abstractNum w:abstractNumId="129">
    <w:nsid w:val="2A31B62D"/>
    <w:multiLevelType w:val="hybridMultilevel"/>
    <w:lvl w:ilvl="0">
      <w:lvlJc w:val="left"/>
      <w:lvlText w:val="%1."/>
      <w:numFmt w:val="decimal"/>
      <w:start w:val="8"/>
    </w:lvl>
  </w:abstractNum>
  <w:abstractNum w:abstractNumId="130">
    <w:nsid w:val="1849C29B"/>
    <w:multiLevelType w:val="hybridMultilevel"/>
    <w:lvl w:ilvl="0">
      <w:lvlJc w:val="left"/>
      <w:lvlText w:val="%1."/>
      <w:numFmt w:val="decimal"/>
      <w:start w:val="9"/>
    </w:lvl>
  </w:abstractNum>
  <w:abstractNum w:abstractNumId="131">
    <w:nsid w:val="7DFF9D09"/>
    <w:multiLevelType w:val="hybridMultilevel"/>
    <w:lvl w:ilvl="0">
      <w:lvlJc w:val="left"/>
      <w:lvlText w:val="%1."/>
      <w:numFmt w:val="decimal"/>
      <w:start w:val="11"/>
    </w:lvl>
  </w:abstractNum>
  <w:abstractNum w:abstractNumId="132">
    <w:nsid w:val="754342"/>
    <w:multiLevelType w:val="hybridMultilevel"/>
    <w:lvl w:ilvl="0">
      <w:lvlJc w:val="left"/>
      <w:lvlText w:val="%1."/>
      <w:numFmt w:val="decimal"/>
      <w:start w:val="1"/>
    </w:lvl>
  </w:abstractNum>
  <w:abstractNum w:abstractNumId="133">
    <w:nsid w:val="69E7F3E5"/>
    <w:multiLevelType w:val="hybridMultilevel"/>
    <w:lvl w:ilvl="0">
      <w:lvlJc w:val="left"/>
      <w:lvlText w:val="%1."/>
      <w:numFmt w:val="decimal"/>
      <w:start w:val="3"/>
    </w:lvl>
  </w:abstractNum>
  <w:abstractNum w:abstractNumId="134">
    <w:nsid w:val="2A6DE806"/>
    <w:multiLevelType w:val="hybridMultilevel"/>
    <w:lvl w:ilvl="0">
      <w:lvlJc w:val="left"/>
      <w:lvlText w:val="%1."/>
      <w:numFmt w:val="decimal"/>
      <w:start w:val="5"/>
    </w:lvl>
  </w:abstractNum>
  <w:abstractNum w:abstractNumId="135">
    <w:nsid w:val="1816F8C4"/>
    <w:multiLevelType w:val="hybridMultilevel"/>
    <w:lvl w:ilvl="0">
      <w:lvlJc w:val="left"/>
      <w:lvlText w:val="%1."/>
      <w:numFmt w:val="decimal"/>
      <w:start w:val="6"/>
    </w:lvl>
  </w:abstractNum>
  <w:abstractNum w:abstractNumId="136">
    <w:nsid w:val="37DF2233"/>
    <w:multiLevelType w:val="hybridMultilevel"/>
    <w:lvl w:ilvl="0">
      <w:lvlJc w:val="left"/>
      <w:lvlText w:val="%1."/>
      <w:numFmt w:val="decimal"/>
      <w:start w:val="7"/>
    </w:lvl>
  </w:abstractNum>
  <w:abstractNum w:abstractNumId="137">
    <w:nsid w:val="7AB49DAF"/>
    <w:multiLevelType w:val="hybridMultilevel"/>
    <w:lvl w:ilvl="0">
      <w:lvlJc w:val="left"/>
      <w:lvlText w:val="%1."/>
      <w:numFmt w:val="decimal"/>
      <w:start w:val="8"/>
    </w:lvl>
  </w:abstractNum>
  <w:abstractNum w:abstractNumId="138">
    <w:nsid w:val="759F82CD"/>
    <w:multiLevelType w:val="hybridMultilevel"/>
    <w:lvl w:ilvl="0">
      <w:lvlJc w:val="left"/>
      <w:lvlText w:val="%1."/>
      <w:numFmt w:val="decimal"/>
      <w:start w:val="9"/>
    </w:lvl>
  </w:abstractNum>
  <w:abstractNum w:abstractNumId="139">
    <w:nsid w:val="61E74EA3"/>
    <w:multiLevelType w:val="hybridMultilevel"/>
    <w:lvl w:ilvl="0">
      <w:lvlJc w:val="left"/>
      <w:lvlText w:val="%1."/>
      <w:numFmt w:val="decimal"/>
      <w:start w:val="10"/>
    </w:lvl>
  </w:abstractNum>
  <w:abstractNum w:abstractNumId="140">
    <w:nsid w:val="597B4D84"/>
    <w:multiLevelType w:val="hybridMultilevel"/>
    <w:lvl w:ilvl="0">
      <w:lvlJc w:val="left"/>
      <w:lvlText w:val="$"/>
      <w:numFmt w:val="bullet"/>
      <w:start w:val="1"/>
    </w:lvl>
  </w:abstractNum>
  <w:abstractNum w:abstractNumId="141">
    <w:nsid w:val="F819E7F"/>
    <w:multiLevelType w:val="hybridMultilevel"/>
    <w:lvl w:ilvl="0">
      <w:lvlJc w:val="left"/>
      <w:lvlText w:val="(%1)"/>
      <w:numFmt w:val="decimal"/>
      <w:start w:val="4"/>
    </w:lvl>
  </w:abstractNum>
  <w:abstractNum w:abstractNumId="142">
    <w:nsid w:val="57C7D42D"/>
    <w:multiLevelType w:val="hybridMultilevel"/>
    <w:lvl w:ilvl="0">
      <w:lvlJc w:val="left"/>
      <w:lvlText w:val="(%1)"/>
      <w:numFmt w:val="decimal"/>
      <w:start w:val="1"/>
    </w:lvl>
  </w:abstractNum>
  <w:abstractNum w:abstractNumId="143">
    <w:nsid w:val="312167AD"/>
    <w:multiLevelType w:val="hybridMultilevel"/>
    <w:lvl w:ilvl="0">
      <w:lvlJc w:val="left"/>
      <w:lvlText w:val="(%1)"/>
      <w:numFmt w:val="decimal"/>
      <w:start w:val="4"/>
    </w:lvl>
  </w:abstractNum>
  <w:abstractNum w:abstractNumId="144">
    <w:nsid w:val="631B64D4"/>
    <w:multiLevelType w:val="hybridMultilevel"/>
    <w:lvl w:ilvl="0">
      <w:lvlJc w:val="left"/>
      <w:lvlText w:val="(%1)"/>
      <w:numFmt w:val="decimal"/>
      <w:start w:val="2"/>
    </w:lvl>
  </w:abstractNum>
  <w:abstractNum w:abstractNumId="145">
    <w:nsid w:val="78B5E776"/>
    <w:multiLevelType w:val="hybridMultilevel"/>
    <w:lvl w:ilvl="0">
      <w:lvlJc w:val="left"/>
      <w:lvlText w:val="(%1)"/>
      <w:numFmt w:val="decimal"/>
      <w:start w:val="1"/>
    </w:lvl>
  </w:abstractNum>
  <w:abstractNum w:abstractNumId="146">
    <w:nsid w:val="75486E47"/>
    <w:multiLevelType w:val="hybridMultilevel"/>
    <w:lvl w:ilvl="0">
      <w:lvlJc w:val="left"/>
      <w:lvlText w:val="^"/>
      <w:numFmt w:val="bullet"/>
      <w:start w:val="1"/>
    </w:lvl>
  </w:abstractNum>
  <w:abstractNum w:abstractNumId="147">
    <w:nsid w:val="6E534CDE"/>
    <w:multiLevelType w:val="hybridMultilevel"/>
    <w:lvl w:ilvl="0">
      <w:lvlJc w:val="left"/>
      <w:lvlText w:val="+"/>
      <w:numFmt w:val="bullet"/>
      <w:start w:val="1"/>
    </w:lvl>
  </w:abstractNum>
  <w:abstractNum w:abstractNumId="148">
    <w:nsid w:val="1A0DDE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38" Type="http://schemas.openxmlformats.org/officeDocument/2006/relationships/image" Target="media/image305.png"/><Relationship Id="rId339" Type="http://schemas.openxmlformats.org/officeDocument/2006/relationships/image" Target="media/image306.png"/><Relationship Id="rId340" Type="http://schemas.openxmlformats.org/officeDocument/2006/relationships/image" Target="media/image307.png"/><Relationship Id="rId312" Type="http://schemas.openxmlformats.org/officeDocument/2006/relationships/hyperlink" Target="http://www.sec.gov/Archives/edgar/data/0001653087/000119312519003772/d550248dex11.htm" TargetMode="External"/><Relationship Id="rId313" Type="http://schemas.openxmlformats.org/officeDocument/2006/relationships/hyperlink" Target="http://www.sec.gov/Archives/edgar/data/0001653087/000119312519003772/d550248dex31.htm" TargetMode="External"/><Relationship Id="rId314" Type="http://schemas.openxmlformats.org/officeDocument/2006/relationships/hyperlink" Target="http://www.sec.gov/Archives/edgar/data/0001653087/000119312519003772/d550248dex32.htm" TargetMode="External"/><Relationship Id="rId315" Type="http://schemas.openxmlformats.org/officeDocument/2006/relationships/hyperlink" Target="http://www.sec.gov/Archives/edgar/data/0001653087/000119312519003772/d550248dex33.htm" TargetMode="External"/><Relationship Id="rId316" Type="http://schemas.openxmlformats.org/officeDocument/2006/relationships/hyperlink" Target="http://www.sec.gov/Archives/edgar/data/1653087/000119312519019648/d550248dex34.htm" TargetMode="External"/><Relationship Id="rId317" Type="http://schemas.openxmlformats.org/officeDocument/2006/relationships/hyperlink" Target="http://www.sec.gov/Archives/edgar/data/0001653087/000119312519003772/d550248dex41.htm" TargetMode="External"/><Relationship Id="rId318" Type="http://schemas.openxmlformats.org/officeDocument/2006/relationships/hyperlink" Target="http://www.sec.gov/Archives/edgar/data/0001653087/000119312519003772/d550248dex42.htm" TargetMode="External"/><Relationship Id="rId319" Type="http://schemas.openxmlformats.org/officeDocument/2006/relationships/hyperlink" Target="http://www.sec.gov/Archives/edgar/data/1653087/000119312519019648/d550248dex51.htm" TargetMode="External"/><Relationship Id="rId320" Type="http://schemas.openxmlformats.org/officeDocument/2006/relationships/hyperlink" Target="http://www.sec.gov/Archives/edgar/data/0001653087/000119312519003772/d550248dex101.htm" TargetMode="External"/><Relationship Id="rId321" Type="http://schemas.openxmlformats.org/officeDocument/2006/relationships/hyperlink" Target="http://www.sec.gov/Archives/edgar/data/0001653087/000119312519003772/d550248dex102.htm" TargetMode="External"/><Relationship Id="rId322" Type="http://schemas.openxmlformats.org/officeDocument/2006/relationships/hyperlink" Target="http://www.sec.gov/Archives/edgar/data/0001653087/000119312519003772/d550248dex103.htm" TargetMode="External"/><Relationship Id="rId323" Type="http://schemas.openxmlformats.org/officeDocument/2006/relationships/hyperlink" Target="http://www.sec.gov/Archives/edgar/data/0001653087/000119312519003772/d550248dex104.htm" TargetMode="External"/><Relationship Id="rId324" Type="http://schemas.openxmlformats.org/officeDocument/2006/relationships/hyperlink" Target="http://www.sec.gov/Archives/edgar/data/1653087/000119312519019648/d550248dex105.htm" TargetMode="External"/><Relationship Id="rId325" Type="http://schemas.openxmlformats.org/officeDocument/2006/relationships/hyperlink" Target="http://www.sec.gov/Archives/edgar/data/1653087/000119312519019648/d550248dex106.htm" TargetMode="External"/><Relationship Id="rId326" Type="http://schemas.openxmlformats.org/officeDocument/2006/relationships/hyperlink" Target="http://www.sec.gov/Archives/edgar/data/1653087/000119312519019648/d550248dex107.htm" TargetMode="External"/><Relationship Id="rId327" Type="http://schemas.openxmlformats.org/officeDocument/2006/relationships/hyperlink" Target="http://www.sec.gov/Archives/edgar/data/1653087/000119312519019648/d550248dex108.htm" TargetMode="External"/><Relationship Id="rId328" Type="http://schemas.openxmlformats.org/officeDocument/2006/relationships/hyperlink" Target="http://www.sec.gov/Archives/edgar/data/1653087/000119312519019648/d550248dex109.htm" TargetMode="External"/><Relationship Id="rId329" Type="http://schemas.openxmlformats.org/officeDocument/2006/relationships/hyperlink" Target="http://www.sec.gov/Archives/edgar/data/0001653087/000119312519003772/d550248dex1010.htm" TargetMode="External"/><Relationship Id="rId330" Type="http://schemas.openxmlformats.org/officeDocument/2006/relationships/hyperlink" Target="http://www.sec.gov/Archives/edgar/data/0001653087/000119312519003772/d550248dex1011.htm" TargetMode="External"/><Relationship Id="rId331" Type="http://schemas.openxmlformats.org/officeDocument/2006/relationships/hyperlink" Target="http://www.sec.gov/Archives/edgar/data/0001653087/000119312519003772/d550248dex1012.htm" TargetMode="External"/><Relationship Id="rId332" Type="http://schemas.openxmlformats.org/officeDocument/2006/relationships/hyperlink" Target="http://www.sec.gov/Archives/edgar/data/0001653087/000119312519003772/d550248dex1013.htm" TargetMode="External"/><Relationship Id="rId333" Type="http://schemas.openxmlformats.org/officeDocument/2006/relationships/hyperlink" Target="http://www.sec.gov/Archives/edgar/data/0001653087/000119312519003772/d550248dex1014.htm" TargetMode="External"/><Relationship Id="rId334" Type="http://schemas.openxmlformats.org/officeDocument/2006/relationships/hyperlink" Target="http://www.sec.gov/Archives/edgar/data/0001653087/000119312519003772/d550248dex1015.htm" TargetMode="External"/><Relationship Id="rId335" Type="http://schemas.openxmlformats.org/officeDocument/2006/relationships/hyperlink" Target="http://www.sec.gov/Archives/edgar/data/0001653087/000119312519003772/d550248dex1016.htm" TargetMode="External"/><Relationship Id="rId336" Type="http://schemas.openxmlformats.org/officeDocument/2006/relationships/hyperlink" Target="http://www.sec.gov/Archives/edgar/data/0001653087/000119312519003772/d550248dex211.htm" TargetMode="External"/><Relationship Id="rId337" Type="http://schemas.openxmlformats.org/officeDocument/2006/relationships/hyperlink" Target="http://www.sec.gov/Archives/edgar/data/1653087/000119312519003772/d550248ds1.htm#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2019-12-15T18:23:20Z</dcterms:created>
  <dcterms:modified xsi:type="dcterms:W3CDTF">2019-12-15T18:23:20Z</dcterms:modified>
</cp:coreProperties>
</file>